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b w:val="0"/>
          <w:kern w:val="2"/>
          <w:szCs w:val="44"/>
        </w:rPr>
      </w:pPr>
      <w:r>
        <w:rPr>
          <w:rFonts w:hint="eastAsia" w:ascii="方正小标宋简体" w:eastAsia="方正小标宋简体"/>
          <w:b w:val="0"/>
          <w:kern w:val="2"/>
          <w:szCs w:val="44"/>
        </w:rPr>
        <w:t>医院服务器存储等设备的预算价调研公示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第一部分 须知前附表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6"/>
        <w:tblW w:w="8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调研报名公示开始时间： 2021年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日上午10点30分北京时间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调研报名截止时间：2021年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8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日下午17点30分北京时间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报名请携带加盖公章的项目文件回执单、营业执照复印件、公司简介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>具体调研会时间将提前3个工作日另行通知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项目：医院服务器存储等设备的预算价调研公示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文件正本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份，副本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4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文件递交处：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福建省肿瘤医院 网络办会议室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上述时间、地点如有变动，以单位届时通知为准。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　址： 福建省福州市福马路420号省肿瘤医院科研楼四楼网络办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　编： 350001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　话： 0591-83660063-8822</w:t>
      </w: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联系人：杜工</w:t>
      </w: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为满足医院业务增长的需要和信息系统的稳定运行，本次拟公开招标采购下述服务器存储等设备，主要参数如下：</w:t>
      </w:r>
    </w:p>
    <w:tbl>
      <w:tblPr>
        <w:tblStyle w:val="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"/>
        <w:gridCol w:w="1379"/>
        <w:gridCol w:w="4831"/>
        <w:gridCol w:w="82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设备名称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主要参数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服务器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2U机架式服务器，非OEM产品，配置2个Intel处理器，单个CPU≥2.1Ghz，核数≥20核；内存插槽≥24个，配置≥1.5T DDR4内存；配置≥8个2.5寸热插拔硬盘槽位，配置≥2个480GB SSD硬盘；配置≥2块双端口16GB FC卡，≥2个万兆端口（含≥2块万兆光模块），≥4千兆电口；配置≥2G缓存raid卡，≥2个800W电源，≥6个热插拔风扇；为保证可扩展性，支持≥8个PCIe 3.0扩展槽；支持≥2个USB3.0接口；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DELL EMC;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HPE;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H3C;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影像存储节点扩容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在现有影像归档存储Isilon上扩容存储节点；每节点缓存64GB，15块8TB SATA盘，裸容量120TB，支持存储访问负载均衡，支持校验和多副本镜像方式双重保护；支持同一节点对外提供多种访问接口，同时支持并配置NFS、SMB、FTP、HTTP，HDFS和SWIFT等协议；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同时对当前在用的4节点影像归档存储扩容缓存，每节点由现有的16GB升级至64GB；提供原厂实施部署服务；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DELL EMC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全闪存存储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全闪存存储架构，同时提供IP SAN和FC SAN服务；支持最大扩展至4个控制器，本次配置2个控制器，4颗CPU，配置≥256GB缓存，配置企业级闪存盘，单盘裸容量≥1.92TB；总闪存容量≥38.4TB；扩展柜最大扩展容量≥400TB；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配置独立双活容量授权许可，2台实施双活高可靠容灾，配置在线重复数据删除技术。提供连续数据保护；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DELL EMC;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HPE;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H3C;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存储双活引擎升级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数据中心级别的硬件高可用设备，在原有设备基础上升级扩展，独立于主机和存储，不含硬盘，支持横向扩展，配置双控制器，缓存≥256GB，配置≥16个16Gb FC端口，配置双活容量授权许可，实现存储镜像；支持管理数据中心多台存储设备，包括医院现有的VNX5400,VNX5600,HPE 等,可以实现存储资源的统一整合和一对多、多对一、多对多的双活多方式保护；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DELL EMC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5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光纤存储交换机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配置≥48口16G光纤交换机；本次激活≥36口，支持级联；配置34个16Gb多模模块，2个单模模块；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DELL EMC;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HPE;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BROCADE;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配置≥24口16G光纤交换机；本次激活≥24口，支持级联；配置23个16Gb多模模块，1个单模模块；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2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配置≥24口16G光纤交换机；本次激活≥8口，支持级联；配置8个16Gb多模模块；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提供5年原厂7*24保修服务；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服务器虚拟化软件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Vmware虚拟化软件，支持x86服务器，兼容主流操作系统，提供HA功能，提供虚拟机的备份功能，支持跨数据中心在线迁移功能，配置虚拟化管理软件1套，企业增强版≥4 CPU授权许可；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原厂商五年技术支持服务；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</w:t>
            </w: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VMWARE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预计项目工作量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具体见调研说明5；实施工作量：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90天/人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</w:t>
            </w:r>
          </w:p>
        </w:tc>
        <w:tc>
          <w:tcPr>
            <w:tcW w:w="7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该项目为交钥匙工程。</w:t>
            </w:r>
          </w:p>
        </w:tc>
      </w:tr>
    </w:tbl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为保障服务器、存储设备的稳定性与兼容性，各品牌名称见表格中的“品牌名称”。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欢迎有意向的集成商、厂商等参与本次调研。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调研说明：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本次报名截止时间为2021年7月8日，具体调研会时间将提前3个工作日另行通知；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本预算价调研会的会议结论仅做为本项目公开招标的预算限价；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本预算价调研会不做参与投标的限制条件；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上述各参数将做为本项目招标的主要参数，不代表本项目公开招标的最终参数；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实施主要工作为：各设备上架调试、系统集成等软硬件安装安装工作，同时必须结合医院现有设备及应用情况，实施现有及本项目规划、等保安全、系统集成、数据迁移、服务器及虚拟化版本升级统一、虚拟化裸盘改造、虚拟服务器迁移、存储迁移等各项工作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本预算价应包含设备价格、实施费用、集成费用、设备配件费用等，本预算价为含税开票价格；</w:t>
      </w:r>
    </w:p>
    <w:p>
      <w:pPr>
        <w:numPr>
          <w:ilvl w:val="0"/>
          <w:numId w:val="9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报名单位（集成商、厂商）应准备PPT材料（含产品介绍、服务及集成能力、应用案例等），讲解时间30分钟。</w:t>
      </w:r>
    </w:p>
    <w:p>
      <w:pPr>
        <w:spacing w:line="590" w:lineRule="exac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  <w:t>项目文件回执单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请各公司在一周内将此项目文件回执单送到“福建省肿瘤医院网络办”。</w:t>
      </w:r>
    </w:p>
    <w:tbl>
      <w:tblPr>
        <w:tblStyle w:val="6"/>
        <w:tblW w:w="6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139"/>
        <w:gridCol w:w="2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邮箱号：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　　　　　　　　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公司盖章：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 2021年　月　日</w:t>
      </w:r>
    </w:p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2"/>
        <w:jc w:val="center"/>
        <w:rPr>
          <w:rFonts w:ascii="方正小标宋简体" w:eastAsia="方正小标宋简体"/>
          <w:b w:val="0"/>
          <w:kern w:val="2"/>
          <w:szCs w:val="44"/>
        </w:rPr>
      </w:pPr>
      <w:r>
        <w:rPr>
          <w:rFonts w:hint="eastAsia" w:ascii="方正小标宋简体" w:eastAsia="方正小标宋简体"/>
          <w:b w:val="0"/>
          <w:kern w:val="2"/>
          <w:szCs w:val="44"/>
        </w:rPr>
        <w:t>报价格式</w:t>
      </w:r>
    </w:p>
    <w:tbl>
      <w:tblPr>
        <w:tblStyle w:val="6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230"/>
        <w:gridCol w:w="1209"/>
        <w:gridCol w:w="784"/>
        <w:gridCol w:w="887"/>
        <w:gridCol w:w="1028"/>
        <w:gridCol w:w="1028"/>
        <w:gridCol w:w="1029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30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</w:t>
            </w:r>
          </w:p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209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参数</w:t>
            </w:r>
          </w:p>
        </w:tc>
        <w:tc>
          <w:tcPr>
            <w:tcW w:w="784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是否满足</w:t>
            </w:r>
          </w:p>
        </w:tc>
        <w:tc>
          <w:tcPr>
            <w:tcW w:w="887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</w:t>
            </w:r>
          </w:p>
        </w:tc>
        <w:tc>
          <w:tcPr>
            <w:tcW w:w="102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102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</w:t>
            </w:r>
          </w:p>
        </w:tc>
        <w:tc>
          <w:tcPr>
            <w:tcW w:w="102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102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4" w:type="dxa"/>
            <w:gridSpan w:val="6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项目实施费</w:t>
            </w:r>
          </w:p>
        </w:tc>
        <w:tc>
          <w:tcPr>
            <w:tcW w:w="2057" w:type="dxa"/>
            <w:gridSpan w:val="2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4" w:type="dxa"/>
            <w:gridSpan w:val="6"/>
          </w:tcPr>
          <w:p>
            <w:pPr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合计（上述金额为含税开票金额）</w:t>
            </w:r>
          </w:p>
        </w:tc>
        <w:tc>
          <w:tcPr>
            <w:tcW w:w="2057" w:type="dxa"/>
            <w:gridSpan w:val="2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spacing w:line="59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</w:p>
    <w:p>
      <w:pPr>
        <w:numPr>
          <w:ilvl w:val="0"/>
          <w:numId w:val="10"/>
        </w:num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表格项目应按主要参数表中的序号、设备规格顺序进行对应报价。必须所有项目均需报价，受单一品牌限制原因无法报价的请在备注中予以说明；</w:t>
      </w:r>
    </w:p>
    <w:p>
      <w:pPr>
        <w:numPr>
          <w:ilvl w:val="0"/>
          <w:numId w:val="10"/>
        </w:num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项目实施费若已包含在上述各设备报价中的，则可不填写；</w:t>
      </w:r>
    </w:p>
    <w:p>
      <w:pPr>
        <w:numPr>
          <w:ilvl w:val="0"/>
          <w:numId w:val="10"/>
        </w:num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报价单待参会时提交。</w:t>
      </w:r>
    </w:p>
    <w:sectPr>
      <w:footerReference r:id="rId3" w:type="default"/>
      <w:pgSz w:w="12240" w:h="15840"/>
      <w:pgMar w:top="1814" w:right="1587" w:bottom="1701" w:left="1587" w:header="720" w:footer="720" w:gutter="0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1" o:spid="_x0000_s4097" o:spt="1" style="position:absolute;left:0pt;margin-top:0pt;height:12.8pt;width:5.35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4ED2C"/>
    <w:multiLevelType w:val="singleLevel"/>
    <w:tmpl w:val="80A4ED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8BB4314"/>
    <w:multiLevelType w:val="singleLevel"/>
    <w:tmpl w:val="88BB43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CCD6645"/>
    <w:multiLevelType w:val="singleLevel"/>
    <w:tmpl w:val="0CCD66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3DEB660"/>
    <w:multiLevelType w:val="singleLevel"/>
    <w:tmpl w:val="33DEB6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4AD29D3"/>
    <w:multiLevelType w:val="singleLevel"/>
    <w:tmpl w:val="34AD29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50AA6FD"/>
    <w:multiLevelType w:val="singleLevel"/>
    <w:tmpl w:val="350AA6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638494E"/>
    <w:multiLevelType w:val="singleLevel"/>
    <w:tmpl w:val="563849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0C9760C"/>
    <w:multiLevelType w:val="singleLevel"/>
    <w:tmpl w:val="60C9760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5DEDE95"/>
    <w:multiLevelType w:val="singleLevel"/>
    <w:tmpl w:val="65DEDE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B9492AA"/>
    <w:multiLevelType w:val="singleLevel"/>
    <w:tmpl w:val="7B9492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6DB"/>
    <w:rsid w:val="00004C2B"/>
    <w:rsid w:val="00090F27"/>
    <w:rsid w:val="00091897"/>
    <w:rsid w:val="000B1EAF"/>
    <w:rsid w:val="000B6083"/>
    <w:rsid w:val="001B050A"/>
    <w:rsid w:val="001D4C8B"/>
    <w:rsid w:val="00200087"/>
    <w:rsid w:val="00291379"/>
    <w:rsid w:val="002D6606"/>
    <w:rsid w:val="00315B76"/>
    <w:rsid w:val="003556CF"/>
    <w:rsid w:val="004316DB"/>
    <w:rsid w:val="004B17D4"/>
    <w:rsid w:val="004F65DC"/>
    <w:rsid w:val="005B6242"/>
    <w:rsid w:val="006B2D52"/>
    <w:rsid w:val="00712C80"/>
    <w:rsid w:val="007306EC"/>
    <w:rsid w:val="007408D7"/>
    <w:rsid w:val="00761537"/>
    <w:rsid w:val="007D702D"/>
    <w:rsid w:val="0083213B"/>
    <w:rsid w:val="00845F7E"/>
    <w:rsid w:val="00847CCC"/>
    <w:rsid w:val="00887E04"/>
    <w:rsid w:val="0098335E"/>
    <w:rsid w:val="009A7266"/>
    <w:rsid w:val="009F2654"/>
    <w:rsid w:val="00A93161"/>
    <w:rsid w:val="00AF0709"/>
    <w:rsid w:val="00AF554D"/>
    <w:rsid w:val="00B70F78"/>
    <w:rsid w:val="00BA2314"/>
    <w:rsid w:val="00C074A2"/>
    <w:rsid w:val="00C1662D"/>
    <w:rsid w:val="00C34482"/>
    <w:rsid w:val="00C47174"/>
    <w:rsid w:val="00CB63F0"/>
    <w:rsid w:val="00D05B66"/>
    <w:rsid w:val="00D84A85"/>
    <w:rsid w:val="00E35A6C"/>
    <w:rsid w:val="00E6189E"/>
    <w:rsid w:val="00F047B6"/>
    <w:rsid w:val="00F2504C"/>
    <w:rsid w:val="00F505E6"/>
    <w:rsid w:val="00FB0C46"/>
    <w:rsid w:val="02535F86"/>
    <w:rsid w:val="09A873FF"/>
    <w:rsid w:val="0A1546A7"/>
    <w:rsid w:val="0B4D35A4"/>
    <w:rsid w:val="0BD075CD"/>
    <w:rsid w:val="0C256E06"/>
    <w:rsid w:val="0FE13E8A"/>
    <w:rsid w:val="12B8433F"/>
    <w:rsid w:val="147E2946"/>
    <w:rsid w:val="160113A1"/>
    <w:rsid w:val="17967A00"/>
    <w:rsid w:val="19167219"/>
    <w:rsid w:val="1D9A4E8A"/>
    <w:rsid w:val="1F341DB2"/>
    <w:rsid w:val="224003F5"/>
    <w:rsid w:val="23257205"/>
    <w:rsid w:val="24E25AF5"/>
    <w:rsid w:val="27731112"/>
    <w:rsid w:val="28CC77D3"/>
    <w:rsid w:val="2912264B"/>
    <w:rsid w:val="2B2E7312"/>
    <w:rsid w:val="2C705E5A"/>
    <w:rsid w:val="333D0C89"/>
    <w:rsid w:val="34777F95"/>
    <w:rsid w:val="347E195B"/>
    <w:rsid w:val="36146A2D"/>
    <w:rsid w:val="36603515"/>
    <w:rsid w:val="36B4010C"/>
    <w:rsid w:val="3B9E1F68"/>
    <w:rsid w:val="3C9657A0"/>
    <w:rsid w:val="3D474BF1"/>
    <w:rsid w:val="40B00CD4"/>
    <w:rsid w:val="40B27011"/>
    <w:rsid w:val="41E87660"/>
    <w:rsid w:val="476A4243"/>
    <w:rsid w:val="47F841A7"/>
    <w:rsid w:val="4AB110D0"/>
    <w:rsid w:val="4BCD4424"/>
    <w:rsid w:val="4D941616"/>
    <w:rsid w:val="4E8D5605"/>
    <w:rsid w:val="502471CE"/>
    <w:rsid w:val="50C324B4"/>
    <w:rsid w:val="51B5197F"/>
    <w:rsid w:val="53E10C30"/>
    <w:rsid w:val="56E1021E"/>
    <w:rsid w:val="5A4B7763"/>
    <w:rsid w:val="602873F8"/>
    <w:rsid w:val="605867B7"/>
    <w:rsid w:val="60647350"/>
    <w:rsid w:val="61465F48"/>
    <w:rsid w:val="662D5A0C"/>
    <w:rsid w:val="682372E5"/>
    <w:rsid w:val="6A651714"/>
    <w:rsid w:val="6AB720AD"/>
    <w:rsid w:val="6CDD4F2A"/>
    <w:rsid w:val="6E324280"/>
    <w:rsid w:val="6FCE3B46"/>
    <w:rsid w:val="719F18C4"/>
    <w:rsid w:val="72677E7C"/>
    <w:rsid w:val="75B401F6"/>
    <w:rsid w:val="75C55391"/>
    <w:rsid w:val="76925349"/>
    <w:rsid w:val="778A6E28"/>
    <w:rsid w:val="78394A15"/>
    <w:rsid w:val="7B9F2F6E"/>
    <w:rsid w:val="7BE24299"/>
    <w:rsid w:val="7CE74458"/>
    <w:rsid w:val="7DFE3A91"/>
    <w:rsid w:val="7E382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336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303</Words>
  <Characters>1731</Characters>
  <Lines>14</Lines>
  <Paragraphs>4</Paragraphs>
  <TotalTime>2</TotalTime>
  <ScaleCrop>false</ScaleCrop>
  <LinksUpToDate>false</LinksUpToDate>
  <CharactersWithSpaces>2030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2021-06-15T09:43:00Z</dcterms:created>
  <dc:creator>air</dc:creator>
  <cp:lastModifiedBy>蓝风</cp:lastModifiedBy>
  <cp:lastPrinted>2021-06-30T03:29:00Z</cp:lastPrinted>
  <dcterms:modified xsi:type="dcterms:W3CDTF">2021-07-05T02:23:56Z</dcterms:modified>
  <dc:title>关于网络及安全设备的采购、更新报告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1B07C8D39DBD44079CAC88B901AF53E3</vt:lpwstr>
  </property>
</Properties>
</file>