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ascii="方正小标宋简体" w:eastAsia="方正小标宋简体"/>
          <w:b w:val="0"/>
          <w:kern w:val="2"/>
          <w:sz w:val="36"/>
          <w:szCs w:val="36"/>
        </w:rPr>
      </w:pPr>
      <w:r>
        <w:rPr>
          <w:rFonts w:hint="eastAsia" w:ascii="方正小标宋简体" w:eastAsia="方正小标宋简体"/>
          <w:b w:val="0"/>
          <w:kern w:val="2"/>
          <w:sz w:val="36"/>
          <w:szCs w:val="36"/>
        </w:rPr>
        <w:t>检验LIS、微生物系统升级项目调研公示</w:t>
      </w:r>
    </w:p>
    <w:p>
      <w:pPr>
        <w:widowControl/>
        <w:shd w:val="clear" w:color="auto" w:fill="FFFFFF"/>
        <w:spacing w:line="336" w:lineRule="auto"/>
        <w:jc w:val="center"/>
      </w:pPr>
      <w:r>
        <w:rPr>
          <w:rFonts w:hint="eastAsia" w:ascii="宋体" w:hAnsi="宋体" w:cs="宋体"/>
          <w:b/>
          <w:color w:val="000000"/>
          <w:kern w:val="0"/>
          <w:sz w:val="36"/>
          <w:szCs w:val="36"/>
          <w:shd w:val="clear" w:color="auto" w:fill="FFFFFF"/>
        </w:rPr>
        <w:t> </w:t>
      </w:r>
    </w:p>
    <w:p>
      <w:pPr>
        <w:widowControl/>
        <w:shd w:val="clear" w:color="auto" w:fill="FFFFFF"/>
        <w:spacing w:line="336" w:lineRule="auto"/>
        <w:jc w:val="center"/>
        <w:rPr>
          <w:rFonts w:ascii="仿宋" w:hAnsi="仿宋" w:eastAsia="仿宋" w:cs="仿宋"/>
        </w:rPr>
      </w:pPr>
      <w:r>
        <w:rPr>
          <w:rFonts w:hint="eastAsia" w:ascii="仿宋" w:hAnsi="仿宋" w:eastAsia="仿宋" w:cs="仿宋"/>
          <w:b/>
          <w:color w:val="000000"/>
          <w:kern w:val="0"/>
          <w:sz w:val="24"/>
          <w:shd w:val="clear" w:color="auto" w:fill="FFFFFF"/>
        </w:rPr>
        <w:t>第一部分 须知前附表</w:t>
      </w:r>
    </w:p>
    <w:p>
      <w:pPr>
        <w:widowControl/>
        <w:shd w:val="clear" w:color="auto" w:fill="FFFFFF"/>
        <w:spacing w:line="336" w:lineRule="auto"/>
      </w:pPr>
      <w:r>
        <w:rPr>
          <w:rFonts w:hint="eastAsia" w:ascii="宋体" w:hAnsi="宋体" w:cs="宋体"/>
          <w:b/>
          <w:color w:val="000000"/>
          <w:kern w:val="0"/>
          <w:sz w:val="24"/>
          <w:shd w:val="clear" w:color="auto" w:fill="FFFFFF"/>
        </w:rPr>
        <w:t> </w:t>
      </w:r>
    </w:p>
    <w:tbl>
      <w:tblPr>
        <w:tblW w:w="8745" w:type="dxa"/>
        <w:jc w:val="center"/>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jc w:val="center"/>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tLeast"/>
              <w:jc w:val="center"/>
              <w:rPr>
                <w:rFonts w:ascii="仿宋" w:hAnsi="仿宋" w:eastAsia="仿宋" w:cs="仿宋"/>
              </w:rPr>
            </w:pPr>
            <w:r>
              <w:rPr>
                <w:rFonts w:hint="eastAsia" w:ascii="仿宋" w:hAnsi="仿宋" w:eastAsia="仿宋" w:cs="仿宋"/>
                <w:b/>
                <w:color w:val="000000"/>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b/>
                <w:color w:val="000000"/>
                <w:kern w:val="0"/>
                <w:sz w:val="24"/>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sz w:val="24"/>
              </w:rPr>
            </w:pPr>
            <w:r>
              <w:rPr>
                <w:rFonts w:hint="eastAsia" w:ascii="仿宋" w:hAnsi="仿宋" w:eastAsia="仿宋" w:cs="仿宋"/>
                <w:color w:val="000000"/>
                <w:kern w:val="0"/>
                <w:sz w:val="24"/>
              </w:rPr>
              <w:t>调研报名公示开始时间： 2021年 </w:t>
            </w:r>
            <w:r>
              <w:rPr>
                <w:rFonts w:hint="eastAsia" w:ascii="仿宋" w:hAnsi="仿宋" w:eastAsia="仿宋" w:cs="仿宋"/>
                <w:color w:val="000000"/>
                <w:kern w:val="0"/>
                <w:sz w:val="24"/>
                <w:u w:val="single"/>
              </w:rPr>
              <w:t> 8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13　</w:t>
            </w:r>
            <w:r>
              <w:rPr>
                <w:rFonts w:hint="eastAsia" w:ascii="仿宋" w:hAnsi="仿宋" w:eastAsia="仿宋" w:cs="仿宋"/>
                <w:color w:val="000000"/>
                <w:kern w:val="0"/>
                <w:sz w:val="24"/>
              </w:rPr>
              <w:t>日上午10点30分北京时间</w:t>
            </w:r>
          </w:p>
          <w:p>
            <w:pPr>
              <w:widowControl/>
              <w:spacing w:line="315" w:lineRule="atLeast"/>
              <w:rPr>
                <w:rFonts w:ascii="仿宋" w:hAnsi="仿宋" w:eastAsia="仿宋" w:cs="仿宋"/>
                <w:color w:val="000000"/>
                <w:kern w:val="0"/>
                <w:sz w:val="24"/>
              </w:rPr>
            </w:pPr>
            <w:r>
              <w:rPr>
                <w:rFonts w:hint="eastAsia" w:ascii="仿宋" w:hAnsi="仿宋" w:eastAsia="仿宋" w:cs="仿宋"/>
                <w:color w:val="000000"/>
                <w:kern w:val="0"/>
                <w:sz w:val="24"/>
              </w:rPr>
              <w:t>调研报名截止时间：2021年</w:t>
            </w:r>
            <w:r>
              <w:rPr>
                <w:rFonts w:hint="eastAsia" w:ascii="仿宋" w:hAnsi="仿宋" w:eastAsia="仿宋" w:cs="仿宋"/>
                <w:color w:val="000000"/>
                <w:kern w:val="0"/>
                <w:sz w:val="24"/>
                <w:u w:val="single"/>
              </w:rPr>
              <w:t>　8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19　</w:t>
            </w:r>
            <w:r>
              <w:rPr>
                <w:rFonts w:hint="eastAsia" w:ascii="仿宋" w:hAnsi="仿宋" w:eastAsia="仿宋" w:cs="仿宋"/>
                <w:color w:val="000000"/>
                <w:kern w:val="0"/>
                <w:sz w:val="24"/>
              </w:rPr>
              <w:t>日下午17点30分北京时间</w:t>
            </w:r>
          </w:p>
          <w:p>
            <w:pPr>
              <w:widowControl/>
              <w:spacing w:line="315" w:lineRule="atLeast"/>
              <w:rPr>
                <w:rFonts w:ascii="仿宋" w:hAnsi="仿宋" w:eastAsia="仿宋" w:cs="仿宋"/>
                <w:color w:val="000000"/>
                <w:kern w:val="0"/>
                <w:sz w:val="24"/>
              </w:rPr>
            </w:pPr>
            <w:r>
              <w:rPr>
                <w:rFonts w:hint="eastAsia" w:ascii="仿宋" w:hAnsi="仿宋" w:eastAsia="仿宋" w:cs="仿宋"/>
                <w:color w:val="000000"/>
                <w:kern w:val="0"/>
                <w:sz w:val="24"/>
              </w:rPr>
              <w:t>(报名请携带加盖公章的项目文件回执单、营业执照复印件、公司简介)</w:t>
            </w:r>
          </w:p>
          <w:p>
            <w:pPr>
              <w:widowControl/>
              <w:spacing w:line="315" w:lineRule="atLeast"/>
              <w:rPr>
                <w:rFonts w:ascii="仿宋" w:hAnsi="仿宋" w:eastAsia="仿宋" w:cs="仿宋"/>
                <w:color w:val="000000"/>
                <w:kern w:val="0"/>
                <w:sz w:val="24"/>
                <w:u w:val="single"/>
              </w:rPr>
            </w:pPr>
            <w:r>
              <w:rPr>
                <w:rFonts w:hint="eastAsia" w:ascii="仿宋" w:hAnsi="仿宋" w:eastAsia="仿宋" w:cs="仿宋"/>
                <w:color w:val="000000"/>
                <w:kern w:val="0"/>
                <w:sz w:val="24"/>
              </w:rPr>
              <w:t>调研会时间：</w:t>
            </w:r>
            <w:r>
              <w:rPr>
                <w:rFonts w:hint="eastAsia" w:ascii="仿宋_GB2312" w:eastAsia="仿宋_GB2312"/>
                <w:sz w:val="24"/>
                <w:u w:val="single"/>
              </w:rPr>
              <w:t>调研会议时间另行通知</w:t>
            </w:r>
            <w:r>
              <w:rPr>
                <w:rFonts w:hint="eastAsia" w:ascii="仿宋" w:hAnsi="仿宋" w:eastAsia="仿宋" w:cs="仿宋"/>
                <w:color w:val="000000"/>
                <w:kern w:val="0"/>
                <w:sz w:val="24"/>
                <w:u w:val="single"/>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59"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项目：检验LIS、微生物系统升级项目调研公示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文件正本</w:t>
            </w:r>
            <w:r>
              <w:rPr>
                <w:rFonts w:hint="eastAsia" w:ascii="仿宋" w:hAnsi="仿宋" w:eastAsia="仿宋" w:cs="仿宋"/>
                <w:color w:val="000000"/>
                <w:kern w:val="0"/>
                <w:sz w:val="24"/>
                <w:u w:val="single"/>
              </w:rPr>
              <w:t>　 1　</w:t>
            </w:r>
            <w:r>
              <w:rPr>
                <w:rFonts w:hint="eastAsia" w:ascii="仿宋" w:hAnsi="仿宋" w:eastAsia="仿宋" w:cs="仿宋"/>
                <w:color w:val="000000"/>
                <w:kern w:val="0"/>
                <w:sz w:val="24"/>
              </w:rPr>
              <w:t>份，副本</w:t>
            </w:r>
            <w:r>
              <w:rPr>
                <w:rFonts w:hint="eastAsia" w:ascii="仿宋" w:hAnsi="仿宋" w:eastAsia="仿宋" w:cs="仿宋"/>
                <w:color w:val="000000"/>
                <w:kern w:val="0"/>
                <w:sz w:val="24"/>
                <w:u w:val="single"/>
              </w:rPr>
              <w:t>　 4　</w:t>
            </w:r>
            <w:r>
              <w:rPr>
                <w:rFonts w:hint="eastAsia" w:ascii="仿宋" w:hAnsi="仿宋" w:eastAsia="仿宋" w:cs="仿宋"/>
                <w:color w:val="000000"/>
                <w:kern w:val="0"/>
                <w:sz w:val="24"/>
              </w:rPr>
              <w:t>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文件递交处：</w:t>
            </w:r>
            <w:r>
              <w:rPr>
                <w:rFonts w:hint="eastAsia" w:ascii="仿宋" w:hAnsi="仿宋" w:eastAsia="仿宋" w:cs="仿宋"/>
                <w:color w:val="000000"/>
                <w:kern w:val="0"/>
                <w:sz w:val="24"/>
                <w:u w:val="single"/>
              </w:rPr>
              <w:t>　福建省肿瘤医院 网络办会议室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67"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 w:hAnsi="仿宋" w:eastAsia="仿宋" w:cs="仿宋"/>
              </w:rPr>
            </w:pPr>
            <w:r>
              <w:rPr>
                <w:rFonts w:hint="eastAsia" w:ascii="仿宋" w:hAnsi="仿宋" w:eastAsia="仿宋" w:cs="仿宋"/>
                <w:color w:val="000000"/>
                <w:kern w:val="0"/>
                <w:sz w:val="24"/>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 w:hAnsi="仿宋" w:eastAsia="仿宋" w:cs="仿宋"/>
              </w:rPr>
            </w:pPr>
            <w:r>
              <w:rPr>
                <w:rFonts w:hint="eastAsia" w:ascii="仿宋" w:hAnsi="仿宋" w:eastAsia="仿宋" w:cs="仿宋"/>
                <w:color w:val="000000"/>
                <w:kern w:val="0"/>
                <w:sz w:val="24"/>
              </w:rPr>
              <w:t>上述时间、地点如有变动，以单位届时通知为准。</w:t>
            </w:r>
          </w:p>
        </w:tc>
      </w:tr>
    </w:tbl>
    <w:p>
      <w:pPr>
        <w:widowControl/>
        <w:shd w:val="clear" w:color="auto" w:fill="FFFFFF"/>
        <w:spacing w:line="440" w:lineRule="atLeast"/>
        <w:rPr>
          <w:rFonts w:ascii="仿宋" w:hAnsi="仿宋" w:eastAsia="仿宋" w:cs="仿宋"/>
        </w:rPr>
      </w:pPr>
      <w:r>
        <w:rPr>
          <w:rFonts w:hint="eastAsia" w:ascii="仿宋" w:hAnsi="仿宋" w:eastAsia="仿宋" w:cs="仿宋"/>
          <w:b/>
          <w:color w:val="000000"/>
          <w:kern w:val="0"/>
          <w:sz w:val="24"/>
          <w:shd w:val="clear" w:color="auto" w:fill="FFFFFF"/>
        </w:rPr>
        <w:t>地　址： 福建省福州市福马路420号省肿瘤医院科研楼四楼网络办</w:t>
      </w:r>
    </w:p>
    <w:p>
      <w:pPr>
        <w:widowControl/>
        <w:shd w:val="clear" w:color="auto" w:fill="FFFFFF"/>
        <w:spacing w:line="440" w:lineRule="atLeast"/>
        <w:rPr>
          <w:rFonts w:ascii="仿宋" w:hAnsi="仿宋" w:eastAsia="仿宋" w:cs="仿宋"/>
        </w:rPr>
      </w:pPr>
      <w:r>
        <w:rPr>
          <w:rFonts w:hint="eastAsia" w:ascii="仿宋" w:hAnsi="仿宋" w:eastAsia="仿宋" w:cs="仿宋"/>
          <w:b/>
          <w:color w:val="000000"/>
          <w:kern w:val="0"/>
          <w:sz w:val="24"/>
          <w:shd w:val="clear" w:color="auto" w:fill="FFFFFF"/>
        </w:rPr>
        <w:t>邮　编： 350000　 </w:t>
      </w:r>
    </w:p>
    <w:p>
      <w:pPr>
        <w:widowControl/>
        <w:shd w:val="clear" w:color="auto" w:fill="FFFFFF"/>
        <w:spacing w:line="440" w:lineRule="atLeast"/>
        <w:rPr>
          <w:rFonts w:ascii="仿宋" w:hAnsi="仿宋" w:eastAsia="仿宋" w:cs="仿宋"/>
        </w:rPr>
      </w:pPr>
      <w:r>
        <w:rPr>
          <w:rFonts w:hint="eastAsia" w:ascii="仿宋" w:hAnsi="仿宋" w:eastAsia="仿宋" w:cs="仿宋"/>
          <w:b/>
          <w:color w:val="000000"/>
          <w:kern w:val="0"/>
          <w:sz w:val="24"/>
          <w:shd w:val="clear" w:color="auto" w:fill="FFFFFF"/>
        </w:rPr>
        <w:t>电　话： 0591-83660063-8822</w:t>
      </w:r>
    </w:p>
    <w:p>
      <w:pPr>
        <w:widowControl/>
        <w:shd w:val="clear" w:color="auto" w:fill="FFFFFF"/>
        <w:spacing w:line="440" w:lineRule="atLeast"/>
      </w:pPr>
      <w:r>
        <w:rPr>
          <w:rFonts w:hint="eastAsia" w:ascii="仿宋" w:hAnsi="仿宋" w:eastAsia="仿宋" w:cs="仿宋"/>
          <w:b/>
          <w:color w:val="000000"/>
          <w:kern w:val="0"/>
          <w:sz w:val="24"/>
          <w:shd w:val="clear" w:color="auto" w:fill="FFFFFF"/>
        </w:rPr>
        <w:t>联系人： 金工</w:t>
      </w:r>
    </w:p>
    <w:p>
      <w:pPr>
        <w:widowControl/>
        <w:shd w:val="clear" w:color="auto" w:fill="FFFFFF"/>
        <w:spacing w:line="440" w:lineRule="atLeast"/>
        <w:ind w:firstLine="480"/>
      </w:pPr>
      <w:r>
        <w:rPr>
          <w:rFonts w:hint="eastAsia" w:ascii="宋体" w:hAnsi="宋体" w:cs="宋体"/>
          <w:b/>
          <w:color w:val="000000"/>
          <w:kern w:val="0"/>
          <w:sz w:val="24"/>
          <w:shd w:val="clear" w:color="auto" w:fill="FFFFFF"/>
        </w:rPr>
        <w:t> </w:t>
      </w:r>
    </w:p>
    <w:p>
      <w:pPr>
        <w:widowControl/>
        <w:shd w:val="clear" w:color="auto" w:fill="FFFFFF"/>
        <w:spacing w:line="440" w:lineRule="atLeast"/>
        <w:ind w:firstLine="480"/>
        <w:rPr>
          <w:rFonts w:ascii="宋体" w:hAnsi="宋体" w:cs="宋体"/>
          <w:b/>
          <w:color w:val="000000"/>
          <w:kern w:val="0"/>
          <w:sz w:val="24"/>
          <w:shd w:val="clear" w:color="auto" w:fill="FFFFFF"/>
        </w:rPr>
      </w:pPr>
      <w:r>
        <w:rPr>
          <w:rFonts w:hint="eastAsia" w:ascii="宋体" w:hAnsi="宋体" w:cs="宋体"/>
          <w:b/>
          <w:color w:val="000000"/>
          <w:kern w:val="0"/>
          <w:sz w:val="24"/>
          <w:shd w:val="clear" w:color="auto" w:fill="FFFFFF"/>
        </w:rPr>
        <w:t> </w:t>
      </w: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widowControl/>
        <w:shd w:val="clear" w:color="auto" w:fill="FFFFFF"/>
        <w:spacing w:line="440" w:lineRule="atLeast"/>
        <w:ind w:firstLine="480"/>
        <w:rPr>
          <w:rFonts w:ascii="宋体" w:hAnsi="宋体" w:cs="宋体"/>
          <w:b/>
          <w:color w:val="000000"/>
          <w:kern w:val="0"/>
          <w:sz w:val="24"/>
          <w:shd w:val="clear" w:color="auto" w:fill="FFFFFF"/>
        </w:rPr>
      </w:pPr>
    </w:p>
    <w:p>
      <w:pPr>
        <w:keepNext/>
        <w:widowControl/>
        <w:numPr>
          <w:ilvl w:val="0"/>
          <w:numId w:val="1"/>
        </w:numPr>
        <w:shd w:val="clear" w:color="auto" w:fill="FFFFFF"/>
        <w:autoSpaceDE w:val="0"/>
        <w:spacing w:before="120" w:after="120"/>
        <w:ind w:left="420" w:hanging="420"/>
        <w:rPr>
          <w:rFonts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采购内容</w:t>
      </w:r>
    </w:p>
    <w:p>
      <w:pPr>
        <w:widowControl/>
        <w:shd w:val="clear" w:color="auto" w:fill="FFFFFF"/>
        <w:ind w:firstLine="480"/>
        <w:rPr>
          <w:rFonts w:ascii="宋体" w:hAnsi="宋体" w:cs="宋体"/>
          <w:b/>
          <w:color w:val="000000"/>
          <w:kern w:val="0"/>
          <w:sz w:val="24"/>
          <w:shd w:val="clear" w:color="auto" w:fill="FFFFFF"/>
        </w:rPr>
      </w:pPr>
    </w:p>
    <w:tbl>
      <w:tblPr>
        <w:tblW w:w="71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986"/>
        <w:gridCol w:w="3121"/>
        <w:gridCol w:w="1532"/>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986" w:type="dxa"/>
            <w:vAlign w:val="center"/>
          </w:tcPr>
          <w:p>
            <w:pPr>
              <w:spacing w:line="360" w:lineRule="auto"/>
              <w:jc w:val="center"/>
              <w:rPr>
                <w:rFonts w:ascii="仿宋" w:hAnsi="仿宋" w:eastAsia="仿宋" w:cs="仿宋"/>
                <w:sz w:val="24"/>
              </w:rPr>
            </w:pPr>
            <w:r>
              <w:rPr>
                <w:rFonts w:hint="eastAsia" w:ascii="仿宋" w:hAnsi="仿宋" w:eastAsia="仿宋" w:cs="仿宋"/>
                <w:sz w:val="24"/>
              </w:rPr>
              <w:t>合同包</w:t>
            </w:r>
          </w:p>
        </w:tc>
        <w:tc>
          <w:tcPr>
            <w:tcW w:w="3121"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采购标的</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数量/单位</w:t>
            </w:r>
          </w:p>
        </w:tc>
        <w:tc>
          <w:tcPr>
            <w:tcW w:w="1532" w:type="dxa"/>
            <w:vAlign w:val="top"/>
          </w:tcPr>
          <w:p>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预算限价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986" w:type="dxa"/>
            <w:vAlign w:val="center"/>
          </w:tcPr>
          <w:p>
            <w:pPr>
              <w:spacing w:line="360" w:lineRule="auto"/>
              <w:jc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-1</w:t>
            </w:r>
          </w:p>
        </w:tc>
        <w:tc>
          <w:tcPr>
            <w:tcW w:w="3121"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检验LIS升级项目</w:t>
            </w:r>
          </w:p>
        </w:tc>
        <w:tc>
          <w:tcPr>
            <w:tcW w:w="1532" w:type="dxa"/>
            <w:vAlign w:val="top"/>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532" w:type="dxa"/>
            <w:vAlign w:val="top"/>
          </w:tcPr>
          <w:p>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280万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jc w:val="center"/>
        </w:trPr>
        <w:tc>
          <w:tcPr>
            <w:tcW w:w="986"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p>
        </w:tc>
        <w:tc>
          <w:tcPr>
            <w:tcW w:w="3121" w:type="dxa"/>
            <w:vAlign w:val="top"/>
          </w:tcPr>
          <w:p>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微生物系统升级项目</w:t>
            </w:r>
          </w:p>
        </w:tc>
        <w:tc>
          <w:tcPr>
            <w:tcW w:w="1532" w:type="dxa"/>
            <w:vAlign w:val="top"/>
          </w:tcPr>
          <w:p>
            <w:pPr>
              <w:widowControl/>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w:t>
            </w:r>
          </w:p>
        </w:tc>
        <w:tc>
          <w:tcPr>
            <w:tcW w:w="1532" w:type="dxa"/>
            <w:vAlign w:val="top"/>
          </w:tcPr>
          <w:p>
            <w:pPr>
              <w:widowControl/>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25万</w:t>
            </w:r>
          </w:p>
        </w:tc>
      </w:tr>
    </w:tbl>
    <w:p>
      <w:pPr>
        <w:keepNext/>
        <w:widowControl/>
        <w:numPr>
          <w:ilvl w:val="0"/>
          <w:numId w:val="1"/>
        </w:numPr>
        <w:shd w:val="clear" w:color="auto" w:fill="FFFFFF"/>
        <w:autoSpaceDE w:val="0"/>
        <w:spacing w:before="120" w:after="120"/>
        <w:ind w:left="420" w:hanging="420"/>
        <w:rPr>
          <w:rFonts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软件技术功能及服务要求</w:t>
      </w:r>
    </w:p>
    <w:p>
      <w:pPr>
        <w:pStyle w:val="3"/>
        <w:spacing w:line="240" w:lineRule="auto"/>
        <w:rPr>
          <w:rFonts w:ascii="仿宋" w:hAnsi="仿宋" w:eastAsia="仿宋" w:cs="仿宋"/>
          <w:sz w:val="28"/>
          <w:szCs w:val="28"/>
        </w:rPr>
      </w:pPr>
      <w:r>
        <w:rPr>
          <w:rFonts w:hint="eastAsia" w:ascii="仿宋" w:hAnsi="仿宋" w:eastAsia="仿宋" w:cs="仿宋"/>
          <w:sz w:val="28"/>
          <w:szCs w:val="28"/>
        </w:rPr>
        <w:t>(一)、技术参数要求</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统一登录</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对所有子模块进行了封装，实现了单点统一登录，并实现了子系统的权限授权，实现了科内消息通讯，实现了待办事项提醒</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系统数据管理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系统数据管理是智慧实验室运行参数的控制中枢。共分医疗机构级、科室级、分组级三个组织层级以及知识库级一个应用层级。管理的数据涉及如医疗机构、院区、检验科室、专业组、检验分组、质控管理组、质控管理单元、设备管理组、设备管理单元、仪器通讯单元、标本存储单元、采集单元、接收单元等一系列管理组织代码；如科别、病区、护理单元、送检机构、临床诊断、民族、患者年龄、患者性别、医生、护士、护工等一系列检验申请、采集、流转属性字典；如模块注册、仪器注册、系统用户、用户角色等一系列授权；如标本种类分类、标本种类、标本容器类型、试管颜色、抗凝剂种类、稳定剂种类、标本采存等一系列标本与容器相关代码；依附于分析项目的如项目分类（疾病）、项目分类（专业）、项目代码、项目名称、单位、参考区间、分析区间、危急值范围、仪器通道对应等属性；依附于诊疗项目的如诊疗项目、诊疗项目组套、收费项目对应、分析项目对应、检验申请相关、条形码生成相关、采存相关、流转相关、接收与分配相关、报告相关、获取报告相关、报告TAT相关等一系列属性。</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条形码标签管理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支持对条形码序号、标签数量、开展院区、开展就诊类别、开展临床科室、开展标本种类、合并标记、自动编号规则等属性设置实现与条形码相关内容管理。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支持对包含项目数、最高死腔量、最低分析量、采集部位、标本采集要求等属性设置实现标本采集要求相关内容管理。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支持对标本送检地点、开展的检验时间、送检TAT预警时间等实现送检及相关内容管理。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支持对标本容器费代码、标本采集费代码、检验工作量、收费单价、折扣实现费用及相关内容管理。</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室内质控管理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常规定量、半定量、定性项目室内质控；准确的质控规则判断；项目质量计划；室内质控行为管理；实验室大、小比对；质控评价&amp;第三方质控集成；质控月报自动归档；质控结果人机料法环标识；质控分析；患者标本质控。</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室间质评</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完成对实验室室间质评数据的管理、上报以及成绩登记管理。</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临床报告浏览器</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全面对常规检验、微生物检验、图形图像检验以数据和PDF展现，支持历史结果分析，支持报告单归档，支持报告召回闭环管理。</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检验护士站</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有效性控制、流程管理、智能辅助、检验知识库。</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提供第三方调用的完整界面。涵盖条形码生成、打印、采集确认，标本归集、打包、送出，退回不合格标本处理，危急值处理，床旁结果录入，检验报告浏览等一系列管理。适应现打条形码、预制条形码两种应用模式。</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标本采集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可以集成采血排队叫号，集成采血流水线，自动生成标本标签，融入标本采集知识库，不合格标本有效控制，多采血单元联动，精准的检验回执单，标本源图像采集。</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门诊采血排队叫号</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支持同一医疗机构内多院区、多采血点部署，多个采血单元组实现联动，不同的采血单元组可以设置不同的服务时间。</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提供第三方系统调用接口。</w:t>
      </w:r>
    </w:p>
    <w:p>
      <w:pPr>
        <w:pStyle w:val="13"/>
        <w:numPr>
          <w:ilvl w:val="0"/>
          <w:numId w:val="2"/>
        </w:numPr>
        <w:adjustRightInd w:val="0"/>
        <w:snapToGrid w:val="0"/>
        <w:spacing w:line="400" w:lineRule="exact"/>
        <w:ind w:firstLineChars="0"/>
        <w:rPr>
          <w:rFonts w:ascii="仿宋" w:hAnsi="仿宋" w:eastAsia="仿宋" w:cs="仿宋"/>
          <w:b/>
          <w:sz w:val="24"/>
        </w:rPr>
      </w:pPr>
      <w:r>
        <w:rPr>
          <w:rFonts w:hint="eastAsia" w:ascii="仿宋" w:hAnsi="仿宋" w:eastAsia="仿宋" w:cs="仿宋"/>
          <w:sz w:val="24"/>
        </w:rPr>
        <w:t>前处理工作站</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引入了接收单元管理机制，实现了多院区、多检验科室复杂条件下的部署和管理。它通过扫描标本条形码完成对样本的核收，对部分不完全合格标本进行让步接收并作登记，并完成对标本检验费用的确认；对完全不合格标本进行拒收，并依据国家相关标准作不合格标本登记。通过外接高拍仪等设备采集或从前处理设备读取不合格标本快照，提高可溯源性。对不合格标本作退回处理时，可与杏和小临通进行消息互动，形成从退回-临床确认-取消执行或重新采集电子化闭环管理。依据诊疗项目的相关属性对流转地错误、接收地错误、不合格标本、重复标本、漏检标本进行有效控制，并依据诊疗项目的TAT时间控制属性对标本送检超时进行预警和报警。具备智能分配功能，依据诊疗项目的实验室检验相关属性，自动对标本进行分类、分样和编号，自动将检验申请生成任务单，并根据任务分配机制，自动生成检验单，如需物理分样则自动生成分样标签，对于检验过程中存在手工记录数据的标本自动生成相应的跟单，有效提高工作效率，有效减少统一样本多处检验错检、漏检等情况的发生。对于非当日开展项目的标本，自动转入实验室标本管理单元；对于外送标本，自动转入外送标本管理单元。能够与前序自动化传输设备衔接，后续自动化分拣设备或前处理、流水线进行深度多设备、多层级集成，形成完整的实验室分析前自动化。</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自助报告</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为客户提供界面集成与数据集成两种实现方式。数据集成提供PDF格式报告单，以及提供标准化调用接口。界面集成提供完整的自助报告界面，并实现用户自定义界面。</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常规检验管理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自定义工作界面&amp;功能，内嵌检验知识库，检验结果自动解释，个体&amp;分组信息全面展现，结果自动合并&amp;汇总，丰富的结果处理手段，丰富的审核类型，详尽的检验记录，检验有效性控制，丰富的报告行为，内嵌各种管理，内嵌各种警示和报警。具备危急值全过程闭环管理。</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检验工具箱</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提供实验室在数据处理及报告过程中涉及的如不合格标本登记、复查标本管理、延时报告处理、特殊样本登记等检验特殊信息处理和登记相关的闭环管理；如试剂装载等相关实验室事务项执行；如自动审核启停在内的业务功能管理；报告库PDF报告预览、报告库报告生成异常情况查看、报告发布情况浏览、报告应用记录以及报告召回闭环管理等检验报告相关处理；多条件、多范围的结果回顾，同批次检验等相关检验结果浏览，医嘱、申请单、标本、检验单多角度的全时间轴样本详细信息浏览，诊疗项目浏览，样本信息统计，各种方式的通用项目查询以及针对性的如传染病查询等各种查询；包含常规的中位数、最大值、最小值分析，均值分析，移动均值，SD值分析，CV值分析，包含整体通过率、项目通过率和规则通过率在内的自动审核分析等相关分析。</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实验室监控</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通过大屏幕对实验室异常情况进行监控报警的智能化构件。用户可以根据实验室布局和监控位置的实际工作需求布置设定监控内容，并自定义屏幕刷新间隔时间，报警形式可以通过颜色警示或闪烁以及声音等。监控和报警内容包括但不仅限于标本送检超时、中央运输监控、报告TAT超时、危急值预警、危急值感知超时、危急值报告超时预警、危急值报告超时报警、危急值接报超时报警、检验质控失控报警、患者数据质控实时监控、仪器及流水线警示信息及报警、实验室环境报警等，也可以同时进行科室消息发布以及科室宣教信息等。</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实验室标本管理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支持非当日开展标本的存用、部分未完成检验标本的存用以及归档标本的存放、使用、销毁等管理，与智能标本接收与分配、智能检验、智能检测相互衔接，实现了实验室对检验标本的全程定位管理和追踪。它引入存储单元的概念，实现了多院区、多检验科室复杂情况下的统一部署和管理，支持医疗机构-存储单元-存储体-存储架-存储盒-标本多阶管理层次。用户可以自定义存储体、存储架以及存储盒的规格，并以形象的图形形式进行精准展现。提供单个标本扫描存储、按照仪器试管架子整体顺序存储、接收样本顺序号范围进行顺序存储、接收分配时按照接收分配的顺序进行存储等四种方式进行入库存储；根据待检项目自动筛选、编号并自动生成标本清单方便非当日检验标本的前处理工作，自动定位复查标本位置，能与流水线中的存储单元集成，获取归档标本的位置信息，并能够一键提取流水线中存储单元的标本自动进行复查。能够与智能实验室环境监控系统衔接，记录并表达标本存储时期的温湿度曲线。</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图文报告</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支持图文报告管理及图像采集、处理功能。</w:t>
      </w:r>
    </w:p>
    <w:p>
      <w:pPr>
        <w:pStyle w:val="13"/>
        <w:numPr>
          <w:ilvl w:val="0"/>
          <w:numId w:val="2"/>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外部系统接口</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与集成平台接口；CA接口。</w:t>
      </w:r>
    </w:p>
    <w:p>
      <w:pPr>
        <w:pStyle w:val="3"/>
        <w:spacing w:line="240" w:lineRule="auto"/>
        <w:rPr>
          <w:rFonts w:ascii="仿宋" w:hAnsi="仿宋" w:eastAsia="仿宋" w:cs="仿宋"/>
          <w:sz w:val="24"/>
          <w:szCs w:val="24"/>
        </w:rPr>
      </w:pPr>
      <w:r>
        <w:rPr>
          <w:rFonts w:hint="eastAsia" w:ascii="仿宋" w:hAnsi="仿宋" w:eastAsia="仿宋" w:cs="仿宋"/>
          <w:sz w:val="24"/>
          <w:szCs w:val="24"/>
        </w:rPr>
        <w:t>（二）、实验室管理技术要求</w:t>
      </w:r>
    </w:p>
    <w:p>
      <w:pPr>
        <w:pStyle w:val="13"/>
        <w:numPr>
          <w:ilvl w:val="0"/>
          <w:numId w:val="3"/>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人员管理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依据ISO15189：2012（5.1）相关要求，传统模式与互联网+模式相结合，固化方式与智能管理内容、流程自定义设计方式相互补充，自定义管理单元，实现了实验室人员多层级、全方位、多角度管理，并可以人为管理主体实现个人信息集中浏览，也可以以分类为主体，实现分类主体报表集中展现，所有档案信息自动归档到实验室档案中心。</w:t>
      </w:r>
    </w:p>
    <w:p>
      <w:pPr>
        <w:pStyle w:val="13"/>
        <w:numPr>
          <w:ilvl w:val="0"/>
          <w:numId w:val="3"/>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岗位管理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以全新的角度和视野实现实验室人员岗位管理；根据实验室具体布局、业务流程、任务、分工设置工作岗位，在信息系统各管理模块根据不同的用户需求，在功能、时间和项目上进行角色定义和授权，不同的工作岗位赋予不同的信息系统用户角色，按人入岗，并形成人员岗位记录和授权记录，从时间、空间、项目、软件授权等各种角度实现实验室人员授权管理，并形成成体系的完整的授权记录。</w:t>
      </w:r>
    </w:p>
    <w:p>
      <w:pPr>
        <w:pStyle w:val="13"/>
        <w:numPr>
          <w:ilvl w:val="0"/>
          <w:numId w:val="3"/>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交接班管理</w:t>
      </w:r>
      <w:r>
        <w:rPr>
          <w:rFonts w:hint="eastAsia" w:ascii="仿宋" w:hAnsi="仿宋" w:eastAsia="仿宋" w:cs="仿宋"/>
          <w:sz w:val="24"/>
        </w:rPr>
        <w:tab/>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包括：交办提醒、安全巡查、费用核对、仪器运行、物资试剂核查、记录核查、温湿度核查、日工作量核对、交接清单、特殊说明、交接确认、交班要求等。</w:t>
      </w:r>
    </w:p>
    <w:p>
      <w:pPr>
        <w:pStyle w:val="13"/>
        <w:numPr>
          <w:ilvl w:val="0"/>
          <w:numId w:val="3"/>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设备管理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依据ISO15189：2012（5.3.1）相关要求，传统模式与互联网+模式相结合，固化方式与智能管理内容、流程自定义设计方式相互补充，自定义管理单元，实现了实验室设备多层级、全方位、多角度管理，并可以设备为管理主体实现设备信息集中浏览，也可以以分类为主体，实现分类主体报表集中展现，所有档案信息自动归档到实验室档案中心。</w:t>
      </w:r>
    </w:p>
    <w:p>
      <w:pPr>
        <w:pStyle w:val="13"/>
        <w:numPr>
          <w:ilvl w:val="0"/>
          <w:numId w:val="3"/>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档案管理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按照ISO15189体系要求，对实验室人机料法环样测等管理活动中所产生的档案实现了集中统一管理，并能够按照管理主体和分类进行档案查询、浏览和打印。</w:t>
      </w:r>
    </w:p>
    <w:p>
      <w:pPr>
        <w:pStyle w:val="13"/>
        <w:numPr>
          <w:ilvl w:val="0"/>
          <w:numId w:val="3"/>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事务管理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主要用于对各个实验室日常工作中多批次执行独立事件事务项、多事件组合成的事务项、流程化事件分割的事务项等涉及的非标准性功能事件及事务项进行设计和管理流程定义，最终实现实验室包含人机料法环样测在内的以及其它非标准化事务项的电子化管理。</w:t>
      </w:r>
    </w:p>
    <w:p>
      <w:pPr>
        <w:pStyle w:val="3"/>
        <w:spacing w:line="240" w:lineRule="auto"/>
        <w:rPr>
          <w:rFonts w:ascii="仿宋" w:hAnsi="仿宋" w:eastAsia="仿宋" w:cs="仿宋"/>
          <w:sz w:val="24"/>
          <w:szCs w:val="24"/>
        </w:rPr>
      </w:pPr>
      <w:r>
        <w:rPr>
          <w:rFonts w:hint="eastAsia" w:ascii="仿宋" w:hAnsi="仿宋" w:eastAsia="仿宋" w:cs="仿宋"/>
          <w:sz w:val="24"/>
          <w:szCs w:val="24"/>
        </w:rPr>
        <w:t>(三)、智能检验技术要求</w:t>
      </w:r>
    </w:p>
    <w:p>
      <w:pPr>
        <w:pStyle w:val="13"/>
        <w:numPr>
          <w:ilvl w:val="0"/>
          <w:numId w:val="4"/>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检验医生站</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有效性控制、智能辅助申请、智能报告解读、检验知识库</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提供第三方调用的完整界面。功能含盖检验申请的开具、变更、智能辅助申请、检验知识库浏览以及检验结果及报告的浏览与打印。</w:t>
      </w:r>
    </w:p>
    <w:p>
      <w:pPr>
        <w:pStyle w:val="13"/>
        <w:numPr>
          <w:ilvl w:val="0"/>
          <w:numId w:val="4"/>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智能审核</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通过专门的管理终端对检验审核规则进行管理，并通过推理机实现检验信息与规则信息的自动匹配计算，并形成自动拦截和拦截规则提示，实现检验智能审核和自动审核。</w:t>
      </w:r>
    </w:p>
    <w:p>
      <w:pPr>
        <w:pStyle w:val="13"/>
        <w:numPr>
          <w:ilvl w:val="0"/>
          <w:numId w:val="4"/>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结构化检验知识库</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将检验医学领域各医学检验机构在检验服务与管理中各种形式的知识按照一定的知识表示方法集中存放的数据库，具有强大的知识集成、分类、存储、发布、决策支持等功能。引入了检验认知计算，从各种结构化和非结构化检验相关信息中学习和构建检验知识，提高检验专业人士的认知过程，从而改善决策；理解检验自然语言并更自然地与检验人员、临床医师、临床护士、医疗服务需求者互动，提高实验室内的决策质量和一致性，捕获优秀检验人员的专业知识并通过分享促进其他检验人员专业知识的增长。</w:t>
      </w:r>
    </w:p>
    <w:p>
      <w:pPr>
        <w:pStyle w:val="13"/>
        <w:numPr>
          <w:ilvl w:val="0"/>
          <w:numId w:val="4"/>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实验室数据分析工具</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运用专用清洗工具定时对生产库业务数据的清洗，形成完整的诸如包含检验全过程信息、标本全过程信息、出院诊断的检验分析结果、检验标本的TAT时间阶差数据、危急值全过程信息等分析基础数据存入分析数据库，并运用大数据分析工具进行个性化分析方案定义和分析。</w:t>
      </w:r>
    </w:p>
    <w:p>
      <w:pPr>
        <w:pStyle w:val="13"/>
        <w:numPr>
          <w:ilvl w:val="0"/>
          <w:numId w:val="4"/>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检验专业质量指标管理</w:t>
      </w:r>
    </w:p>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满足2015年3月31日国家卫计委颁布了临床检验专业15项质量指标管理。通过LIS主体业务管理中的不合格标本登记、标本流转TAT管理、检验报告管理、危急值管理等实验室辅助管理模块的优化和深度应用，实现对检验前、中、后质量的全面管理，通过数据清洗形成分析基础数据，最终实现临床检验专业检验质量指标键上报。</w:t>
      </w:r>
    </w:p>
    <w:p>
      <w:pPr>
        <w:pStyle w:val="13"/>
        <w:numPr>
          <w:ilvl w:val="0"/>
          <w:numId w:val="4"/>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院感统计终端：支持院感统计</w:t>
      </w:r>
    </w:p>
    <w:p>
      <w:pPr>
        <w:pStyle w:val="13"/>
        <w:numPr>
          <w:ilvl w:val="0"/>
          <w:numId w:val="4"/>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传染病统计终端：支持传染病统计</w:t>
      </w:r>
    </w:p>
    <w:p>
      <w:pPr>
        <w:pStyle w:val="13"/>
        <w:numPr>
          <w:ilvl w:val="0"/>
          <w:numId w:val="4"/>
        </w:numPr>
        <w:adjustRightInd w:val="0"/>
        <w:snapToGrid w:val="0"/>
        <w:spacing w:line="400" w:lineRule="exact"/>
        <w:ind w:firstLineChars="0"/>
        <w:rPr>
          <w:rFonts w:ascii="仿宋" w:hAnsi="仿宋" w:eastAsia="仿宋" w:cs="仿宋"/>
          <w:sz w:val="24"/>
        </w:rPr>
      </w:pPr>
      <w:r>
        <w:rPr>
          <w:rFonts w:hint="eastAsia" w:ascii="仿宋" w:hAnsi="仿宋" w:eastAsia="仿宋" w:cs="仿宋"/>
          <w:sz w:val="24"/>
        </w:rPr>
        <w:t>样本库位管理</w:t>
      </w:r>
    </w:p>
    <w:p>
      <w:pPr>
        <w:adjustRightInd w:val="0"/>
        <w:snapToGrid w:val="0"/>
        <w:spacing w:line="400" w:lineRule="exact"/>
        <w:ind w:firstLine="480" w:firstLineChars="200"/>
        <w:rPr>
          <w:rFonts w:ascii="微软雅黑" w:hAnsi="微软雅黑"/>
          <w:szCs w:val="21"/>
        </w:rPr>
      </w:pPr>
      <w:r>
        <w:rPr>
          <w:rFonts w:hint="eastAsia" w:ascii="仿宋" w:hAnsi="仿宋" w:eastAsia="仿宋" w:cs="仿宋"/>
          <w:sz w:val="24"/>
        </w:rPr>
        <w:t>临床实验室科研随访平台及标本库主要是将各临床实验室收集的各种重要疾病的血液标本信息通过计算机进行科学存储，建立大规模的标准化标本库，为临床疾病的发病机理的研究、诊断、治疗及易感性分析提供一个信息化的平台。</w:t>
      </w:r>
    </w:p>
    <w:p>
      <w:pPr>
        <w:pStyle w:val="3"/>
        <w:spacing w:line="240" w:lineRule="auto"/>
        <w:rPr>
          <w:rFonts w:ascii="仿宋" w:hAnsi="仿宋" w:eastAsia="仿宋" w:cs="仿宋"/>
          <w:sz w:val="24"/>
          <w:szCs w:val="24"/>
        </w:rPr>
      </w:pPr>
    </w:p>
    <w:p>
      <w:pPr>
        <w:pStyle w:val="3"/>
        <w:spacing w:line="240" w:lineRule="auto"/>
        <w:rPr>
          <w:rFonts w:ascii="仿宋" w:hAnsi="仿宋" w:eastAsia="仿宋" w:cs="仿宋"/>
          <w:sz w:val="28"/>
          <w:szCs w:val="28"/>
        </w:rPr>
      </w:pPr>
      <w:r>
        <w:rPr>
          <w:rFonts w:hint="eastAsia" w:ascii="仿宋" w:hAnsi="仿宋" w:eastAsia="仿宋" w:cs="仿宋"/>
          <w:sz w:val="28"/>
          <w:szCs w:val="28"/>
        </w:rPr>
        <w:t>(四)、★其他事项</w:t>
      </w:r>
    </w:p>
    <w:p>
      <w:pPr>
        <w:ind w:firstLine="480" w:firstLineChars="200"/>
        <w:rPr>
          <w:rFonts w:ascii="仿宋" w:hAnsi="仿宋" w:eastAsia="仿宋" w:cs="仿宋"/>
          <w:sz w:val="24"/>
        </w:rPr>
      </w:pPr>
      <w:r>
        <w:rPr>
          <w:rFonts w:hint="eastAsia" w:ascii="仿宋" w:hAnsi="仿宋" w:eastAsia="仿宋" w:cs="仿宋"/>
          <w:sz w:val="24"/>
        </w:rPr>
        <w:t>4.1 ★系统应与医院HIS，电子病历、等系统无缝对接，符合电子病历6级、医院的互联互通5乙、智慧医院4级建设要求，上述各评级不涉及本系统的除外。</w:t>
      </w:r>
    </w:p>
    <w:p>
      <w:pPr>
        <w:ind w:firstLine="480" w:firstLineChars="200"/>
        <w:rPr>
          <w:rFonts w:ascii="仿宋" w:hAnsi="仿宋" w:eastAsia="仿宋" w:cs="仿宋"/>
          <w:sz w:val="24"/>
        </w:rPr>
      </w:pPr>
      <w:r>
        <w:rPr>
          <w:rFonts w:hint="eastAsia" w:ascii="仿宋" w:hAnsi="仿宋" w:eastAsia="仿宋" w:cs="仿宋"/>
          <w:sz w:val="24"/>
        </w:rPr>
        <w:t>4.2 ★具备与集成平台通过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ind w:firstLine="480" w:firstLineChars="200"/>
        <w:rPr>
          <w:rFonts w:ascii="仿宋" w:hAnsi="仿宋" w:eastAsia="仿宋" w:cs="仿宋"/>
          <w:sz w:val="24"/>
        </w:rPr>
      </w:pPr>
      <w:r>
        <w:rPr>
          <w:rFonts w:hint="eastAsia" w:ascii="仿宋" w:hAnsi="仿宋" w:eastAsia="仿宋" w:cs="仿宋"/>
          <w:sz w:val="24"/>
        </w:rPr>
        <w:t>4.3 ★系统需符合《信息安全技术网络安全等级保护基本要求》GB/T22239-2019（三级）要求（下文简称：三级等保2.0），并在三级等保2.0评审中协助完成本系统评审工作。</w:t>
      </w:r>
    </w:p>
    <w:p>
      <w:pPr>
        <w:widowControl/>
        <w:shd w:val="clear" w:color="auto" w:fill="FFFFFF"/>
        <w:ind w:firstLine="480"/>
        <w:rPr>
          <w:rFonts w:ascii="仿宋" w:hAnsi="仿宋" w:eastAsia="仿宋" w:cs="仿宋"/>
          <w:b/>
          <w:color w:val="000000"/>
          <w:kern w:val="0"/>
          <w:sz w:val="24"/>
          <w:shd w:val="clear" w:color="auto" w:fill="FFFFFF"/>
        </w:rPr>
      </w:pPr>
      <w:r>
        <w:rPr>
          <w:rFonts w:hint="eastAsia" w:ascii="仿宋" w:hAnsi="仿宋" w:eastAsia="仿宋" w:cs="仿宋"/>
          <w:b/>
          <w:color w:val="000000"/>
          <w:kern w:val="0"/>
          <w:sz w:val="24"/>
          <w:shd w:val="clear" w:color="auto" w:fill="FFFFFF"/>
        </w:rPr>
        <w:t> </w:t>
      </w:r>
    </w:p>
    <w:p>
      <w:pPr>
        <w:widowControl/>
        <w:shd w:val="clear" w:color="auto" w:fill="FFFFFF"/>
        <w:rPr>
          <w:rFonts w:ascii="仿宋" w:hAnsi="仿宋" w:eastAsia="仿宋" w:cs="仿宋"/>
          <w:b/>
          <w:color w:val="000000"/>
          <w:kern w:val="0"/>
          <w:sz w:val="24"/>
          <w:shd w:val="clear" w:color="auto" w:fill="FFFFFF"/>
        </w:rPr>
      </w:pPr>
    </w:p>
    <w:p>
      <w:pPr>
        <w:widowControl/>
        <w:shd w:val="clear" w:color="auto" w:fill="FFFFFF"/>
        <w:rPr>
          <w:rFonts w:ascii="仿宋" w:hAnsi="仿宋" w:eastAsia="仿宋" w:cs="仿宋"/>
          <w:b/>
          <w:color w:val="000000"/>
          <w:kern w:val="0"/>
          <w:sz w:val="24"/>
          <w:shd w:val="clear" w:color="auto" w:fill="FFFFFF"/>
        </w:rPr>
      </w:pPr>
    </w:p>
    <w:p>
      <w:pPr>
        <w:keepNext/>
        <w:widowControl/>
        <w:numPr>
          <w:ilvl w:val="0"/>
          <w:numId w:val="1"/>
        </w:numPr>
        <w:shd w:val="clear" w:color="auto" w:fill="FFFFFF"/>
        <w:autoSpaceDE w:val="0"/>
        <w:spacing w:before="120" w:after="120"/>
        <w:ind w:left="420" w:hanging="420"/>
        <w:rPr>
          <w:rFonts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本次调研说明</w:t>
      </w:r>
    </w:p>
    <w:p>
      <w:pPr>
        <w:spacing w:line="590" w:lineRule="exact"/>
        <w:ind w:firstLine="562" w:firstLineChars="200"/>
        <w:rPr>
          <w:rFonts w:ascii="仿宋_GB2312" w:eastAsia="仿宋_GB2312"/>
          <w:b/>
          <w:bCs/>
          <w:sz w:val="28"/>
          <w:szCs w:val="28"/>
        </w:rPr>
      </w:pPr>
      <w:r>
        <w:rPr>
          <w:rFonts w:hint="eastAsia" w:ascii="仿宋_GB2312" w:eastAsia="仿宋_GB2312"/>
          <w:b/>
          <w:bCs/>
          <w:sz w:val="28"/>
          <w:szCs w:val="28"/>
        </w:rPr>
        <w:t>欢迎有意向的供应商参与本次调研。</w:t>
      </w:r>
    </w:p>
    <w:p>
      <w:pPr>
        <w:numPr>
          <w:ilvl w:val="0"/>
          <w:numId w:val="5"/>
        </w:numPr>
        <w:spacing w:line="590" w:lineRule="exact"/>
        <w:ind w:firstLine="560" w:firstLineChars="200"/>
        <w:rPr>
          <w:rFonts w:ascii="仿宋_GB2312" w:eastAsia="仿宋_GB2312"/>
          <w:sz w:val="28"/>
          <w:szCs w:val="28"/>
        </w:rPr>
      </w:pPr>
      <w:r>
        <w:rPr>
          <w:rFonts w:hint="eastAsia" w:ascii="仿宋_GB2312" w:eastAsia="仿宋_GB2312"/>
          <w:sz w:val="28"/>
          <w:szCs w:val="28"/>
        </w:rPr>
        <w:t>本调研会的报价仅做为本项目公开招标的预算限价；</w:t>
      </w:r>
    </w:p>
    <w:p>
      <w:pPr>
        <w:numPr>
          <w:ilvl w:val="0"/>
          <w:numId w:val="5"/>
        </w:numPr>
        <w:spacing w:line="590" w:lineRule="exact"/>
        <w:ind w:firstLine="560" w:firstLineChars="200"/>
        <w:rPr>
          <w:rFonts w:ascii="仿宋_GB2312" w:eastAsia="仿宋_GB2312"/>
          <w:sz w:val="28"/>
          <w:szCs w:val="28"/>
        </w:rPr>
      </w:pPr>
      <w:r>
        <w:rPr>
          <w:rFonts w:hint="eastAsia" w:ascii="仿宋_GB2312" w:eastAsia="仿宋_GB2312"/>
          <w:sz w:val="28"/>
          <w:szCs w:val="28"/>
        </w:rPr>
        <w:t>本调研会不做参与投标的限制条件；</w:t>
      </w:r>
    </w:p>
    <w:p>
      <w:pPr>
        <w:numPr>
          <w:ilvl w:val="0"/>
          <w:numId w:val="5"/>
        </w:numPr>
        <w:spacing w:line="590" w:lineRule="exact"/>
        <w:ind w:firstLine="560" w:firstLineChars="200"/>
        <w:rPr>
          <w:rFonts w:ascii="仿宋_GB2312" w:eastAsia="仿宋_GB2312"/>
          <w:sz w:val="28"/>
          <w:szCs w:val="28"/>
        </w:rPr>
      </w:pPr>
      <w:r>
        <w:rPr>
          <w:rFonts w:hint="eastAsia" w:ascii="仿宋_GB2312" w:eastAsia="仿宋_GB2312"/>
          <w:sz w:val="28"/>
          <w:szCs w:val="28"/>
        </w:rPr>
        <w:t>上述各参数将做为本项目招标的主要参数，不代表本项目公开招标的最终参数；</w:t>
      </w:r>
    </w:p>
    <w:p>
      <w:pPr>
        <w:numPr>
          <w:ilvl w:val="0"/>
          <w:numId w:val="5"/>
        </w:numPr>
        <w:spacing w:line="590" w:lineRule="exact"/>
        <w:ind w:firstLine="560" w:firstLineChars="200"/>
        <w:rPr>
          <w:rFonts w:ascii="仿宋_GB2312" w:eastAsia="仿宋_GB2312"/>
          <w:sz w:val="28"/>
          <w:szCs w:val="28"/>
        </w:rPr>
      </w:pPr>
      <w:r>
        <w:rPr>
          <w:rFonts w:hint="eastAsia" w:ascii="仿宋_GB2312" w:eastAsia="仿宋_GB2312"/>
          <w:sz w:val="28"/>
          <w:szCs w:val="28"/>
        </w:rPr>
        <w:t>参加公司应准备PPT材料（1、公司简介；2、福建省实际应用情况；3、</w:t>
      </w:r>
      <w:r>
        <w:rPr>
          <w:rFonts w:hint="eastAsia" w:ascii="仿宋_GB2312" w:eastAsia="仿宋_GB2312"/>
          <w:sz w:val="28"/>
          <w:szCs w:val="28"/>
          <w:lang w:val="en-US" w:eastAsia="zh-CN"/>
        </w:rPr>
        <w:t>LIS</w:t>
      </w:r>
      <w:bookmarkStart w:id="0" w:name="_GoBack"/>
      <w:bookmarkEnd w:id="0"/>
      <w:r>
        <w:rPr>
          <w:rFonts w:hint="eastAsia" w:ascii="仿宋_GB2312" w:eastAsia="仿宋_GB2312"/>
          <w:sz w:val="28"/>
          <w:szCs w:val="28"/>
        </w:rPr>
        <w:t>系统功能介绍及发展规划；4、项目报价），每公司讲解时间30分钟；</w:t>
      </w:r>
    </w:p>
    <w:p>
      <w:pPr>
        <w:widowControl/>
        <w:shd w:val="clear" w:color="auto" w:fill="FFFFFF"/>
        <w:spacing w:line="336" w:lineRule="auto"/>
        <w:jc w:val="center"/>
        <w:rPr>
          <w:rFonts w:ascii="宋体" w:hAnsi="宋体" w:cs="宋体"/>
          <w:b/>
          <w:bCs/>
          <w:color w:val="000000"/>
          <w:sz w:val="28"/>
          <w:szCs w:val="28"/>
          <w:shd w:val="clear" w:color="auto" w:fill="FFFFFF"/>
        </w:rPr>
      </w:pPr>
    </w:p>
    <w:p>
      <w:pPr>
        <w:widowControl/>
        <w:shd w:val="clear" w:color="auto" w:fill="FFFFFF"/>
        <w:spacing w:line="336" w:lineRule="auto"/>
        <w:jc w:val="center"/>
        <w:rPr>
          <w:rFonts w:ascii="宋体" w:hAnsi="宋体" w:cs="宋体"/>
          <w:b/>
          <w:bCs/>
          <w:color w:val="000000"/>
          <w:sz w:val="28"/>
          <w:szCs w:val="28"/>
          <w:shd w:val="clear" w:color="auto" w:fill="FFFFFF"/>
        </w:rPr>
        <w:sectPr>
          <w:footerReference r:id="rId4" w:type="default"/>
          <w:pgSz w:w="12240" w:h="15840"/>
          <w:pgMar w:top="1134" w:right="1587" w:bottom="1134" w:left="1587" w:header="720" w:footer="720" w:gutter="0"/>
          <w:cols w:space="720" w:num="1"/>
          <w:docGrid w:type="lines" w:linePitch="316" w:charSpace="0"/>
        </w:sectPr>
      </w:pPr>
    </w:p>
    <w:p>
      <w:pPr>
        <w:widowControl/>
        <w:shd w:val="clear" w:color="auto" w:fill="FFFFFF"/>
        <w:spacing w:line="336" w:lineRule="auto"/>
        <w:jc w:val="center"/>
        <w:rPr>
          <w:rFonts w:ascii="仿宋" w:hAnsi="仿宋" w:eastAsia="仿宋" w:cs="仿宋"/>
          <w:b/>
          <w:bCs/>
          <w:sz w:val="28"/>
          <w:szCs w:val="28"/>
        </w:rPr>
      </w:pPr>
      <w:r>
        <w:rPr>
          <w:rFonts w:hint="eastAsia" w:ascii="仿宋" w:hAnsi="仿宋" w:eastAsia="仿宋" w:cs="仿宋"/>
          <w:b/>
          <w:bCs/>
          <w:color w:val="000000"/>
          <w:sz w:val="28"/>
          <w:szCs w:val="28"/>
          <w:shd w:val="clear" w:color="auto" w:fill="FFFFFF"/>
        </w:rPr>
        <w:t>项目文件回执单</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请各公司在一周内将此项目文件回执单送到“福建省肿瘤医院网络办”。</w:t>
      </w:r>
    </w:p>
    <w:tbl>
      <w:tblPr>
        <w:tblW w:w="8519" w:type="dxa"/>
        <w:jc w:val="center"/>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1336"/>
        <w:gridCol w:w="3139"/>
        <w:gridCol w:w="2022"/>
        <w:gridCol w:w="202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439" w:hRule="atLeast"/>
          <w:jc w:val="center"/>
        </w:trPr>
        <w:tc>
          <w:tcPr>
            <w:tcW w:w="13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序号</w:t>
            </w:r>
          </w:p>
        </w:tc>
        <w:tc>
          <w:tcPr>
            <w:tcW w:w="31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公司名称</w:t>
            </w:r>
          </w:p>
        </w:tc>
        <w:tc>
          <w:tcPr>
            <w:tcW w:w="20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产品名称</w:t>
            </w:r>
          </w:p>
        </w:tc>
        <w:tc>
          <w:tcPr>
            <w:tcW w:w="20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b/>
                <w:kern w:val="0"/>
                <w:sz w:val="28"/>
                <w:szCs w:val="28"/>
              </w:rPr>
              <w:t>报价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1</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2</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3</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4</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5</w:t>
            </w:r>
          </w:p>
        </w:tc>
        <w:tc>
          <w:tcPr>
            <w:tcW w:w="31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c>
          <w:tcPr>
            <w:tcW w:w="2022"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36" w:lineRule="auto"/>
              <w:jc w:val="center"/>
              <w:rPr>
                <w:rFonts w:ascii="仿宋" w:hAnsi="仿宋" w:eastAsia="仿宋" w:cs="仿宋"/>
                <w:sz w:val="28"/>
                <w:szCs w:val="28"/>
              </w:rPr>
            </w:pPr>
            <w:r>
              <w:rPr>
                <w:rFonts w:hint="eastAsia" w:ascii="仿宋" w:hAnsi="仿宋" w:eastAsia="仿宋" w:cs="仿宋"/>
                <w:kern w:val="0"/>
                <w:sz w:val="28"/>
                <w:szCs w:val="28"/>
              </w:rPr>
              <w:t> </w:t>
            </w:r>
          </w:p>
        </w:tc>
      </w:tr>
    </w:tbl>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 </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公司名称：</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联系人：　</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联系电话：</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邮箱号：　</w:t>
      </w:r>
      <w:r>
        <w:rPr>
          <w:rFonts w:hint="eastAsia" w:ascii="仿宋" w:hAnsi="仿宋" w:eastAsia="仿宋" w:cs="仿宋"/>
          <w:b/>
          <w:color w:val="000000"/>
          <w:kern w:val="0"/>
          <w:sz w:val="28"/>
          <w:szCs w:val="28"/>
          <w:u w:val="single"/>
          <w:shd w:val="clear" w:color="auto" w:fill="FFFFFF"/>
        </w:rPr>
        <w:t>　　　　　　　　　　　　　　 </w:t>
      </w:r>
    </w:p>
    <w:p>
      <w:pPr>
        <w:widowControl/>
        <w:shd w:val="clear" w:color="auto" w:fill="FFFFFF"/>
        <w:spacing w:line="336" w:lineRule="auto"/>
        <w:rPr>
          <w:rFonts w:ascii="仿宋" w:hAnsi="仿宋" w:eastAsia="仿宋" w:cs="仿宋"/>
          <w:sz w:val="28"/>
          <w:szCs w:val="28"/>
        </w:rPr>
      </w:pPr>
      <w:r>
        <w:rPr>
          <w:rFonts w:hint="eastAsia" w:ascii="仿宋" w:hAnsi="仿宋" w:eastAsia="仿宋" w:cs="仿宋"/>
          <w:b/>
          <w:color w:val="000000"/>
          <w:kern w:val="0"/>
          <w:sz w:val="28"/>
          <w:szCs w:val="28"/>
          <w:shd w:val="clear" w:color="auto" w:fill="FFFFFF"/>
        </w:rPr>
        <w:t>公司盖章：</w:t>
      </w:r>
    </w:p>
    <w:p>
      <w:pPr>
        <w:widowControl/>
        <w:shd w:val="clear" w:color="auto" w:fill="FFFFFF"/>
        <w:spacing w:line="336" w:lineRule="auto"/>
        <w:jc w:val="center"/>
        <w:rPr>
          <w:sz w:val="28"/>
          <w:szCs w:val="28"/>
        </w:rPr>
      </w:pPr>
      <w:r>
        <w:rPr>
          <w:rFonts w:hint="eastAsia" w:ascii="宋体" w:hAnsi="宋体" w:cs="宋体"/>
          <w:b/>
          <w:color w:val="000000"/>
          <w:kern w:val="0"/>
          <w:sz w:val="28"/>
          <w:szCs w:val="28"/>
          <w:shd w:val="clear" w:color="auto" w:fill="FFFFFF"/>
        </w:rPr>
        <w:t> </w:t>
      </w:r>
    </w:p>
    <w:p>
      <w:pPr>
        <w:spacing w:line="590" w:lineRule="exact"/>
        <w:jc w:val="right"/>
        <w:rPr>
          <w:rFonts w:ascii="仿宋_GB2312" w:eastAsia="仿宋_GB2312"/>
          <w:sz w:val="32"/>
          <w:szCs w:val="32"/>
        </w:rPr>
      </w:pPr>
      <w:r>
        <w:rPr>
          <w:rFonts w:hint="eastAsia" w:ascii="宋体" w:hAnsi="宋体" w:cs="宋体"/>
          <w:b/>
          <w:color w:val="000000"/>
          <w:kern w:val="0"/>
          <w:sz w:val="28"/>
          <w:szCs w:val="28"/>
          <w:shd w:val="clear" w:color="auto" w:fill="FFFFFF"/>
        </w:rPr>
        <w:t>　　　　　　　</w:t>
      </w:r>
      <w:r>
        <w:rPr>
          <w:rFonts w:hint="eastAsia" w:ascii="仿宋" w:hAnsi="仿宋" w:eastAsia="仿宋" w:cs="仿宋"/>
          <w:b/>
          <w:color w:val="000000"/>
          <w:kern w:val="0"/>
          <w:sz w:val="28"/>
          <w:szCs w:val="28"/>
          <w:shd w:val="clear" w:color="auto" w:fill="FFFFFF"/>
        </w:rPr>
        <w:t>　　　　　　 2021年　月　日　</w:t>
      </w:r>
      <w:r>
        <w:rPr>
          <w:rFonts w:hint="eastAsia" w:ascii="宋体" w:hAnsi="宋体" w:cs="宋体"/>
          <w:b/>
          <w:color w:val="000000"/>
          <w:kern w:val="0"/>
          <w:sz w:val="28"/>
          <w:szCs w:val="28"/>
          <w:shd w:val="clear" w:color="auto" w:fill="FFFFFF"/>
        </w:rPr>
        <w:t>　</w:t>
      </w:r>
    </w:p>
    <w:sectPr>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Quad Arrow 1025"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90564288">
    <w:nsid w:val="1D3D6AC0"/>
    <w:multiLevelType w:val="multilevel"/>
    <w:tmpl w:val="1D3D6AC0"/>
    <w:lvl w:ilvl="0" w:tentative="1">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25110862">
    <w:nsid w:val="2B38504E"/>
    <w:multiLevelType w:val="multilevel"/>
    <w:tmpl w:val="2B38504E"/>
    <w:lvl w:ilvl="0" w:tentative="1">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23815692">
    <w:nsid w:val="60C9760C"/>
    <w:multiLevelType w:val="singleLevel"/>
    <w:tmpl w:val="60C9760C"/>
    <w:lvl w:ilvl="0" w:tentative="1">
      <w:start w:val="1"/>
      <w:numFmt w:val="decimal"/>
      <w:suff w:val="nothing"/>
      <w:lvlText w:val="%1、"/>
      <w:lvlJc w:val="left"/>
    </w:lvl>
  </w:abstractNum>
  <w:abstractNum w:abstractNumId="2455590503">
    <w:nsid w:val="925D5667"/>
    <w:multiLevelType w:val="singleLevel"/>
    <w:tmpl w:val="925D5667"/>
    <w:lvl w:ilvl="0" w:tentative="1">
      <w:start w:val="1"/>
      <w:numFmt w:val="chineseCounting"/>
      <w:suff w:val="nothing"/>
      <w:lvlText w:val="%1、"/>
      <w:lvlJc w:val="left"/>
      <w:rPr>
        <w:rFonts w:hint="eastAsia"/>
      </w:rPr>
    </w:lvl>
  </w:abstractNum>
  <w:abstractNum w:abstractNumId="901211994">
    <w:nsid w:val="35B7675A"/>
    <w:multiLevelType w:val="multilevel"/>
    <w:tmpl w:val="35B7675A"/>
    <w:lvl w:ilvl="0" w:tentative="1">
      <w:start w:val="1"/>
      <w:numFmt w:val="decimal"/>
      <w:lvlText w:val="%1."/>
      <w:lvlJc w:val="left"/>
      <w:pPr>
        <w:ind w:left="420" w:hanging="420"/>
      </w:pPr>
      <w:rPr>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455590503"/>
  </w:num>
  <w:num w:numId="2">
    <w:abstractNumId w:val="490564288"/>
  </w:num>
  <w:num w:numId="3">
    <w:abstractNumId w:val="725110862"/>
  </w:num>
  <w:num w:numId="4">
    <w:abstractNumId w:val="901211994"/>
  </w:num>
  <w:num w:numId="5">
    <w:abstractNumId w:val="16238156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8"/>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libri Light" w:hAnsi="Calibri Light"/>
      <w:b/>
      <w:bCs/>
      <w:sz w:val="32"/>
      <w:szCs w:val="32"/>
    </w:rPr>
  </w:style>
  <w:style w:type="character" w:default="1" w:styleId="11">
    <w:name w:val="Default Paragraph Font"/>
    <w:semiHidden/>
    <w:unhideWhenUsed/>
    <w:uiPriority w:val="1"/>
  </w:style>
  <w:style w:type="paragraph" w:styleId="4">
    <w:name w:val="Body Text First Indent"/>
    <w:basedOn w:val="5"/>
    <w:unhideWhenUsed/>
    <w:qFormat/>
    <w:uiPriority w:val="99"/>
    <w:pPr>
      <w:ind w:firstLine="420" w:firstLineChars="100"/>
    </w:pPr>
  </w:style>
  <w:style w:type="paragraph" w:styleId="5">
    <w:name w:val="Body Text"/>
    <w:basedOn w:val="1"/>
    <w:semiHidden/>
    <w:unhideWhenUsed/>
    <w:qFormat/>
    <w:uiPriority w:val="99"/>
    <w:pPr>
      <w:spacing w:after="120"/>
    </w:pPr>
  </w:style>
  <w:style w:type="paragraph" w:styleId="6">
    <w:name w:val="Normal Indent"/>
    <w:basedOn w:val="1"/>
    <w:qFormat/>
    <w:uiPriority w:val="0"/>
    <w:pPr>
      <w:ind w:firstLine="420" w:firstLineChars="200"/>
    </w:p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paragraph" w:styleId="10">
    <w:name w:val="Title"/>
    <w:basedOn w:val="1"/>
    <w:next w:val="1"/>
    <w:qFormat/>
    <w:uiPriority w:val="10"/>
    <w:pPr>
      <w:spacing w:before="240" w:after="60"/>
      <w:jc w:val="center"/>
      <w:outlineLvl w:val="0"/>
    </w:pPr>
    <w:rPr>
      <w:rFonts w:ascii="Calibri Light" w:hAnsi="Calibri Light" w:cs="宋体"/>
      <w:b/>
      <w:bCs/>
      <w:sz w:val="32"/>
      <w:szCs w:val="32"/>
    </w:rPr>
  </w:style>
  <w:style w:type="character" w:styleId="12">
    <w:name w:val="Strong"/>
    <w:qFormat/>
    <w:uiPriority w:val="0"/>
    <w:rPr>
      <w:b/>
    </w:rPr>
  </w:style>
  <w:style w:type="paragraph" w:customStyle="1" w:styleId="13">
    <w:name w:val="列出段落1"/>
    <w:basedOn w:val="1"/>
    <w:unhideWhenUsed/>
    <w:qFormat/>
    <w:uiPriority w:val="99"/>
    <w:pPr>
      <w:ind w:firstLine="420" w:firstLineChars="200"/>
    </w:pPr>
  </w:style>
  <w:style w:type="character" w:customStyle="1" w:styleId="14">
    <w:name w:val="页眉 Char"/>
    <w:link w:val="8"/>
    <w:qFormat/>
    <w:uiPriority w:val="0"/>
    <w:rPr>
      <w:rFonts w:ascii="Calibri" w:hAnsi="Calibri" w:eastAsia="宋体"/>
      <w:kern w:val="2"/>
      <w:sz w:val="18"/>
      <w:szCs w:val="18"/>
    </w:rPr>
  </w:style>
  <w:style w:type="character" w:customStyle="1" w:styleId="15">
    <w:name w:val="页脚 Char"/>
    <w:link w:val="7"/>
    <w:qFormat/>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868</Words>
  <Characters>4949</Characters>
  <Lines>41</Lines>
  <Paragraphs>11</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2021-03-25T00:06:00Z</dcterms:created>
  <dc:creator>air</dc:creator>
  <cp:lastModifiedBy>Administrator</cp:lastModifiedBy>
  <cp:lastPrinted>2021-06-16T01:18:00Z</cp:lastPrinted>
  <dcterms:modified xsi:type="dcterms:W3CDTF">2021-08-23T02:46:07Z</dcterms:modified>
  <dc:title>关于网络及安全设备的采购、更新报告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ies>
</file>