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方正小标宋简体" w:eastAsia="方正小标宋简体"/>
          <w:b w:val="0"/>
          <w:kern w:val="2"/>
          <w:sz w:val="36"/>
          <w:szCs w:val="36"/>
        </w:rPr>
      </w:pPr>
      <w:r>
        <w:rPr>
          <w:rFonts w:hint="eastAsia" w:ascii="方正小标宋简体" w:eastAsia="方正小标宋简体"/>
          <w:b w:val="0"/>
          <w:kern w:val="2"/>
          <w:sz w:val="36"/>
          <w:szCs w:val="36"/>
        </w:rPr>
        <w:t>医院临床数据中心（CDR）系统及BI系统项目</w:t>
      </w:r>
    </w:p>
    <w:p>
      <w:pPr>
        <w:pStyle w:val="2"/>
        <w:jc w:val="center"/>
        <w:rPr>
          <w:rFonts w:ascii="方正小标宋简体" w:eastAsia="方正小标宋简体"/>
          <w:b w:val="0"/>
          <w:kern w:val="2"/>
          <w:sz w:val="36"/>
          <w:szCs w:val="36"/>
        </w:rPr>
      </w:pPr>
      <w:r>
        <w:rPr>
          <w:rFonts w:hint="eastAsia" w:ascii="方正小标宋简体" w:eastAsia="方正小标宋简体"/>
          <w:b w:val="0"/>
          <w:kern w:val="2"/>
          <w:sz w:val="36"/>
          <w:szCs w:val="36"/>
          <w:lang w:val="en-US" w:eastAsia="zh-CN"/>
        </w:rPr>
        <w:t>预算价</w:t>
      </w:r>
      <w:bookmarkStart w:id="1" w:name="_GoBack"/>
      <w:bookmarkEnd w:id="1"/>
      <w:r>
        <w:rPr>
          <w:rFonts w:hint="eastAsia" w:ascii="方正小标宋简体" w:eastAsia="方正小标宋简体"/>
          <w:b w:val="0"/>
          <w:kern w:val="2"/>
          <w:sz w:val="36"/>
          <w:szCs w:val="36"/>
        </w:rPr>
        <w:t>调研公示</w:t>
      </w:r>
    </w:p>
    <w:p>
      <w:pPr>
        <w:widowControl/>
        <w:shd w:val="clear" w:color="auto" w:fill="FFFFFF"/>
        <w:spacing w:line="336" w:lineRule="auto"/>
        <w:jc w:val="center"/>
      </w:pPr>
      <w:r>
        <w:rPr>
          <w:rFonts w:hint="eastAsia" w:ascii="宋体" w:hAnsi="宋体" w:cs="宋体"/>
          <w:b/>
          <w:color w:val="000000"/>
          <w:kern w:val="0"/>
          <w:sz w:val="36"/>
          <w:szCs w:val="36"/>
          <w:shd w:val="clear" w:color="auto" w:fill="FFFFFF"/>
        </w:rPr>
        <w:t> </w:t>
      </w:r>
    </w:p>
    <w:p>
      <w:pPr>
        <w:widowControl/>
        <w:shd w:val="clear" w:color="auto" w:fill="FFFFFF"/>
        <w:spacing w:line="336" w:lineRule="auto"/>
        <w:jc w:val="center"/>
        <w:rPr>
          <w:rFonts w:ascii="仿宋" w:hAnsi="仿宋" w:eastAsia="仿宋" w:cs="仿宋"/>
        </w:rPr>
      </w:pPr>
      <w:r>
        <w:rPr>
          <w:rFonts w:hint="eastAsia" w:ascii="仿宋" w:hAnsi="仿宋" w:eastAsia="仿宋" w:cs="仿宋"/>
          <w:b/>
          <w:color w:val="000000"/>
          <w:kern w:val="0"/>
          <w:sz w:val="24"/>
          <w:shd w:val="clear" w:color="auto" w:fill="FFFFFF"/>
        </w:rPr>
        <w:t>第一部分 须知前附表</w:t>
      </w:r>
    </w:p>
    <w:p>
      <w:pPr>
        <w:widowControl/>
        <w:shd w:val="clear" w:color="auto" w:fill="FFFFFF"/>
        <w:spacing w:line="336" w:lineRule="auto"/>
      </w:pPr>
      <w:r>
        <w:rPr>
          <w:rFonts w:hint="eastAsia" w:ascii="宋体" w:hAnsi="宋体" w:cs="宋体"/>
          <w:b/>
          <w:color w:val="000000"/>
          <w:kern w:val="0"/>
          <w:sz w:val="24"/>
          <w:shd w:val="clear" w:color="auto" w:fill="FFFFFF"/>
        </w:rPr>
        <w:t> </w:t>
      </w:r>
    </w:p>
    <w:tbl>
      <w:tblPr>
        <w:tblW w:w="8745"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1"/>
              <w:widowControl/>
              <w:spacing w:line="360" w:lineRule="atLeast"/>
              <w:jc w:val="center"/>
              <w:rPr>
                <w:rFonts w:ascii="仿宋" w:hAnsi="仿宋" w:eastAsia="仿宋" w:cs="仿宋"/>
              </w:rPr>
            </w:pPr>
            <w:r>
              <w:rPr>
                <w:rFonts w:hint="eastAsia" w:ascii="仿宋" w:hAnsi="仿宋" w:eastAsia="仿宋" w:cs="仿宋"/>
                <w:b/>
                <w:color w:val="000000"/>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b/>
                <w:color w:val="000000"/>
                <w:kern w:val="0"/>
                <w:sz w:val="24"/>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sz w:val="24"/>
              </w:rPr>
            </w:pPr>
            <w:r>
              <w:rPr>
                <w:rFonts w:hint="eastAsia" w:ascii="仿宋" w:hAnsi="仿宋" w:eastAsia="仿宋" w:cs="仿宋"/>
                <w:color w:val="000000"/>
                <w:kern w:val="0"/>
                <w:sz w:val="24"/>
              </w:rPr>
              <w:t>调研报名公示开始时间：202</w:t>
            </w:r>
            <w:r>
              <w:rPr>
                <w:rFonts w:ascii="仿宋" w:hAnsi="仿宋" w:eastAsia="仿宋" w:cs="仿宋"/>
                <w:color w:val="000000"/>
                <w:kern w:val="0"/>
                <w:sz w:val="24"/>
              </w:rPr>
              <w:t>2</w:t>
            </w:r>
            <w:r>
              <w:rPr>
                <w:rFonts w:hint="eastAsia" w:ascii="仿宋" w:hAnsi="仿宋" w:eastAsia="仿宋" w:cs="仿宋"/>
                <w:color w:val="000000"/>
                <w:kern w:val="0"/>
                <w:sz w:val="24"/>
              </w:rPr>
              <w:t>年 </w:t>
            </w:r>
            <w:r>
              <w:rPr>
                <w:rFonts w:ascii="仿宋" w:hAnsi="仿宋" w:eastAsia="仿宋" w:cs="仿宋"/>
                <w:color w:val="000000"/>
                <w:kern w:val="0"/>
                <w:sz w:val="24"/>
              </w:rPr>
              <w:t>1</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 月　</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　日北京时间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调研报名截止时间：202</w:t>
            </w:r>
            <w:r>
              <w:rPr>
                <w:rFonts w:ascii="仿宋" w:hAnsi="仿宋" w:eastAsia="仿宋" w:cs="仿宋"/>
                <w:color w:val="000000"/>
                <w:kern w:val="0"/>
                <w:sz w:val="24"/>
              </w:rPr>
              <w:t>2</w:t>
            </w:r>
            <w:r>
              <w:rPr>
                <w:rFonts w:hint="eastAsia" w:ascii="仿宋" w:hAnsi="仿宋" w:eastAsia="仿宋" w:cs="仿宋"/>
                <w:color w:val="000000"/>
                <w:kern w:val="0"/>
                <w:sz w:val="24"/>
              </w:rPr>
              <w:t>年　</w:t>
            </w:r>
            <w:r>
              <w:rPr>
                <w:rFonts w:ascii="仿宋" w:hAnsi="仿宋" w:eastAsia="仿宋" w:cs="仿宋"/>
                <w:color w:val="000000"/>
                <w:kern w:val="0"/>
                <w:sz w:val="24"/>
              </w:rPr>
              <w:t>11</w:t>
            </w:r>
            <w:r>
              <w:rPr>
                <w:rFonts w:hint="eastAsia" w:ascii="仿宋" w:hAnsi="仿宋" w:eastAsia="仿宋" w:cs="仿宋"/>
                <w:color w:val="000000"/>
                <w:kern w:val="0"/>
                <w:sz w:val="24"/>
              </w:rPr>
              <w:t> 月　</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日下午17分北京时间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(报名请携带加盖公章的项目文件回执单、营业执照复印件、公司简介)</w:t>
            </w:r>
          </w:p>
          <w:p>
            <w:pPr>
              <w:widowControl/>
              <w:spacing w:line="315" w:lineRule="atLeast"/>
              <w:rPr>
                <w:rFonts w:ascii="仿宋" w:hAnsi="仿宋" w:eastAsia="仿宋" w:cs="仿宋"/>
                <w:color w:val="000000"/>
                <w:kern w:val="0"/>
                <w:sz w:val="24"/>
              </w:rPr>
            </w:pPr>
          </w:p>
          <w:p>
            <w:pPr>
              <w:widowControl/>
              <w:spacing w:line="315" w:lineRule="atLeast"/>
              <w:rPr>
                <w:rFonts w:ascii="仿宋" w:hAnsi="仿宋" w:eastAsia="仿宋" w:cs="仿宋"/>
                <w:color w:val="000000"/>
                <w:kern w:val="0"/>
                <w:sz w:val="24"/>
                <w:u w:val="single"/>
              </w:rPr>
            </w:pPr>
            <w:r>
              <w:rPr>
                <w:rFonts w:hint="eastAsia" w:ascii="仿宋" w:hAnsi="仿宋" w:eastAsia="仿宋" w:cs="仿宋"/>
                <w:color w:val="000000"/>
                <w:kern w:val="0"/>
                <w:sz w:val="24"/>
              </w:rPr>
              <w:t>调研会时间：</w:t>
            </w:r>
            <w:r>
              <w:rPr>
                <w:rFonts w:hint="eastAsia" w:ascii="仿宋_GB2312" w:eastAsia="仿宋_GB2312"/>
                <w:sz w:val="24"/>
                <w:u w:val="single"/>
              </w:rPr>
              <w:t>调研会议时间另行通知</w:t>
            </w:r>
            <w:r>
              <w:rPr>
                <w:rFonts w:hint="eastAsia" w:ascii="仿宋" w:hAnsi="仿宋" w:eastAsia="仿宋" w:cs="仿宋"/>
                <w:color w:val="000000"/>
                <w:kern w:val="0"/>
                <w:sz w:val="24"/>
                <w:u w:val="single"/>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 xml:space="preserve">项目： </w:t>
            </w:r>
            <w:r>
              <w:rPr>
                <w:rFonts w:ascii="仿宋" w:hAnsi="仿宋" w:eastAsia="仿宋" w:cs="仿宋"/>
                <w:color w:val="000000"/>
                <w:kern w:val="0"/>
                <w:sz w:val="24"/>
              </w:rPr>
              <w:t xml:space="preserve">   </w:t>
            </w:r>
            <w:r>
              <w:rPr>
                <w:rFonts w:hint="eastAsia" w:ascii="方正小标宋简体" w:eastAsia="方正小标宋简体"/>
                <w:sz w:val="28"/>
                <w:szCs w:val="28"/>
              </w:rPr>
              <w:t>医院临床数据中心（CDR）系统 及BI系统项目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文件正本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hint="eastAsia" w:ascii="仿宋" w:hAnsi="仿宋" w:eastAsia="仿宋" w:cs="仿宋"/>
                <w:color w:val="000000"/>
                <w:kern w:val="0"/>
                <w:sz w:val="24"/>
                <w:u w:val="single"/>
              </w:rPr>
              <w:t>1　</w:t>
            </w:r>
            <w:r>
              <w:rPr>
                <w:rFonts w:hint="eastAsia" w:ascii="仿宋" w:hAnsi="仿宋" w:eastAsia="仿宋" w:cs="仿宋"/>
                <w:color w:val="000000"/>
                <w:kern w:val="0"/>
                <w:sz w:val="24"/>
              </w:rPr>
              <w:t>份，副本</w:t>
            </w:r>
            <w:r>
              <w:rPr>
                <w:rFonts w:hint="eastAsia" w:ascii="仿宋" w:hAnsi="仿宋" w:eastAsia="仿宋" w:cs="仿宋"/>
                <w:color w:val="000000"/>
                <w:kern w:val="0"/>
                <w:sz w:val="24"/>
                <w:u w:val="single"/>
              </w:rPr>
              <w:t>　</w:t>
            </w:r>
            <w:r>
              <w:rPr>
                <w:rFonts w:eastAsia="仿宋" w:cs="Calibri"/>
                <w:color w:val="000000"/>
                <w:kern w:val="0"/>
                <w:sz w:val="24"/>
                <w:u w:val="single"/>
              </w:rPr>
              <w:t> </w:t>
            </w:r>
            <w:r>
              <w:rPr>
                <w:rFonts w:ascii="仿宋" w:hAnsi="仿宋" w:eastAsia="仿宋" w:cs="仿宋"/>
                <w:color w:val="000000"/>
                <w:kern w:val="0"/>
                <w:sz w:val="24"/>
                <w:u w:val="single"/>
              </w:rPr>
              <w:t>2</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文件递交处：</w:t>
            </w:r>
            <w:r>
              <w:rPr>
                <w:rFonts w:hint="eastAsia" w:ascii="仿宋" w:hAnsi="仿宋" w:eastAsia="仿宋" w:cs="仿宋"/>
                <w:color w:val="000000"/>
                <w:kern w:val="0"/>
                <w:sz w:val="24"/>
                <w:u w:val="single"/>
              </w:rPr>
              <w:t>　福建省肿瘤医院 网络办会议室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上述时间、地点如有变动，以单位届时通知为准。</w:t>
            </w:r>
          </w:p>
        </w:tc>
      </w:tr>
    </w:tbl>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地　址： 福建省福州市福马路420号 福建省肿瘤医院科研楼四楼网络办</w:t>
      </w:r>
    </w:p>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邮　编： 3500</w:t>
      </w:r>
      <w:r>
        <w:rPr>
          <w:rFonts w:ascii="仿宋" w:hAnsi="仿宋" w:eastAsia="仿宋" w:cs="仿宋"/>
          <w:b/>
          <w:color w:val="000000"/>
          <w:kern w:val="0"/>
          <w:sz w:val="24"/>
          <w:shd w:val="clear" w:color="auto" w:fill="FFFFFF"/>
        </w:rPr>
        <w:t>14</w:t>
      </w:r>
      <w:r>
        <w:rPr>
          <w:rFonts w:hint="eastAsia" w:ascii="仿宋" w:hAnsi="仿宋" w:eastAsia="仿宋" w:cs="仿宋"/>
          <w:b/>
          <w:color w:val="000000"/>
          <w:kern w:val="0"/>
          <w:sz w:val="24"/>
          <w:shd w:val="clear" w:color="auto" w:fill="FFFFFF"/>
        </w:rPr>
        <w:t>　 </w:t>
      </w:r>
    </w:p>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电　话： 0591-83660063-8822</w:t>
      </w:r>
    </w:p>
    <w:p>
      <w:pPr>
        <w:widowControl/>
        <w:shd w:val="clear" w:color="auto" w:fill="FFFFFF"/>
        <w:spacing w:line="440" w:lineRule="atLeast"/>
      </w:pPr>
      <w:r>
        <w:rPr>
          <w:rFonts w:hint="eastAsia" w:ascii="仿宋" w:hAnsi="仿宋" w:eastAsia="仿宋" w:cs="仿宋"/>
          <w:b/>
          <w:color w:val="000000"/>
          <w:kern w:val="0"/>
          <w:sz w:val="24"/>
          <w:shd w:val="clear" w:color="auto" w:fill="FFFFFF"/>
        </w:rPr>
        <w:t>联系人： 金工</w:t>
      </w:r>
    </w:p>
    <w:p>
      <w:pPr>
        <w:widowControl/>
        <w:shd w:val="clear" w:color="auto" w:fill="FFFFFF"/>
        <w:spacing w:line="440" w:lineRule="atLeast"/>
        <w:ind w:firstLine="480"/>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80"/>
        <w:rPr>
          <w:rFonts w:ascii="宋体" w:hAnsi="宋体" w:cs="宋体"/>
          <w:b/>
          <w:color w:val="000000"/>
          <w:kern w:val="0"/>
          <w:sz w:val="24"/>
          <w:shd w:val="clear" w:color="auto" w:fill="FFFFFF"/>
        </w:rPr>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采购内容</w:t>
      </w:r>
    </w:p>
    <w:p>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86"/>
        <w:gridCol w:w="3121"/>
        <w:gridCol w:w="1532"/>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合同包</w:t>
            </w:r>
          </w:p>
        </w:tc>
        <w:tc>
          <w:tcPr>
            <w:tcW w:w="3121"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采购标的</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数量/单位</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预算限价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1-1</w:t>
            </w:r>
          </w:p>
        </w:tc>
        <w:tc>
          <w:tcPr>
            <w:tcW w:w="3121" w:type="dxa"/>
            <w:vAlign w:val="top"/>
          </w:tcPr>
          <w:p>
            <w:pPr>
              <w:widowControl/>
              <w:spacing w:line="360" w:lineRule="auto"/>
              <w:jc w:val="center"/>
              <w:rPr>
                <w:rFonts w:ascii="仿宋" w:hAnsi="仿宋" w:eastAsia="仿宋" w:cs="仿宋"/>
                <w:kern w:val="0"/>
                <w:sz w:val="24"/>
              </w:rPr>
            </w:pPr>
            <w:r>
              <w:rPr>
                <w:rFonts w:hint="eastAsia" w:ascii="方正小标宋简体" w:eastAsia="方正小标宋简体"/>
                <w:sz w:val="28"/>
                <w:szCs w:val="28"/>
              </w:rPr>
              <w:t>医院临床数据中心（CDR）系统项目</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4</w:t>
            </w:r>
            <w:r>
              <w:rPr>
                <w:rFonts w:ascii="仿宋" w:hAnsi="仿宋" w:eastAsia="仿宋" w:cs="仿宋"/>
                <w:kern w:val="0"/>
                <w:sz w:val="24"/>
              </w:rPr>
              <w:t>50</w:t>
            </w:r>
            <w:r>
              <w:rPr>
                <w:rFonts w:hint="eastAsia" w:ascii="仿宋" w:hAnsi="仿宋" w:eastAsia="仿宋" w:cs="仿宋"/>
                <w:kern w:val="0"/>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1-2</w:t>
            </w:r>
          </w:p>
        </w:tc>
        <w:tc>
          <w:tcPr>
            <w:tcW w:w="3121" w:type="dxa"/>
            <w:vAlign w:val="top"/>
          </w:tcPr>
          <w:p>
            <w:pPr>
              <w:widowControl/>
              <w:spacing w:line="360" w:lineRule="auto"/>
              <w:jc w:val="center"/>
              <w:rPr>
                <w:rFonts w:ascii="方正小标宋简体" w:eastAsia="方正小标宋简体"/>
                <w:sz w:val="28"/>
                <w:szCs w:val="28"/>
              </w:rPr>
            </w:pPr>
            <w:r>
              <w:rPr>
                <w:rFonts w:hint="eastAsia" w:ascii="方正小标宋简体" w:eastAsia="方正小标宋简体"/>
                <w:sz w:val="28"/>
                <w:szCs w:val="28"/>
              </w:rPr>
              <w:t>BI系统项目</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350万</w:t>
            </w:r>
          </w:p>
        </w:tc>
      </w:tr>
    </w:tbl>
    <w:p>
      <w:pPr>
        <w:keepNext/>
        <w:widowControl/>
        <w:numPr>
          <w:ilvl w:val="0"/>
          <w:numId w:val="1"/>
        </w:numPr>
        <w:shd w:val="clear" w:color="auto" w:fill="FFFFFF"/>
        <w:autoSpaceDE w:val="0"/>
        <w:spacing w:before="120" w:after="120"/>
        <w:ind w:left="420" w:hanging="420"/>
        <w:rPr>
          <w:rFonts w:hint="eastAsia"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包1软件技术功能及服务要求</w:t>
      </w:r>
    </w:p>
    <w:p>
      <w:pPr>
        <w:pStyle w:val="3"/>
        <w:rPr>
          <w:sz w:val="28"/>
          <w:szCs w:val="28"/>
        </w:rPr>
      </w:pPr>
      <w:r>
        <w:rPr>
          <w:rFonts w:hint="eastAsia"/>
          <w:sz w:val="28"/>
          <w:szCs w:val="28"/>
        </w:rPr>
        <w:t>1.数据接入平台</w:t>
      </w:r>
      <w:r>
        <w:rPr>
          <w:sz w:val="28"/>
          <w:szCs w:val="28"/>
        </w:rPr>
        <w:t xml:space="preserve"> </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9"/>
        <w:gridCol w:w="1423"/>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2552" w:type="dxa"/>
            <w:gridSpan w:val="2"/>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5523"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8" w:hRule="atLeast"/>
        </w:trPr>
        <w:tc>
          <w:tcPr>
            <w:tcW w:w="1129" w:type="dxa"/>
            <w:vMerge w:val="restart"/>
            <w:vAlign w:val="center"/>
          </w:tcPr>
          <w:p>
            <w:pPr>
              <w:spacing w:line="360" w:lineRule="auto"/>
              <w:jc w:val="center"/>
              <w:rPr>
                <w:rFonts w:ascii="宋体" w:hAnsi="宋体"/>
                <w:color w:val="000000"/>
                <w:kern w:val="0"/>
                <w:sz w:val="22"/>
              </w:rPr>
            </w:pPr>
            <w:r>
              <w:rPr>
                <w:rFonts w:hint="eastAsia" w:ascii="宋体" w:hAnsi="宋体"/>
                <w:color w:val="000000"/>
                <w:kern w:val="0"/>
                <w:szCs w:val="21"/>
              </w:rPr>
              <w:t>1</w:t>
            </w:r>
            <w:r>
              <w:rPr>
                <w:rFonts w:ascii="宋体" w:hAnsi="宋体"/>
                <w:color w:val="000000"/>
                <w:kern w:val="0"/>
                <w:szCs w:val="21"/>
              </w:rPr>
              <w:t>.1</w:t>
            </w:r>
            <w:r>
              <w:rPr>
                <w:rFonts w:hint="eastAsia" w:ascii="宋体" w:hAnsi="宋体"/>
                <w:color w:val="000000"/>
                <w:kern w:val="0"/>
                <w:szCs w:val="21"/>
              </w:rPr>
              <w:t>基础功能</w:t>
            </w: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1.数据获取</w:t>
            </w:r>
          </w:p>
        </w:tc>
        <w:tc>
          <w:tcPr>
            <w:tcW w:w="5523" w:type="dxa"/>
            <w:vAlign w:val="center"/>
          </w:tcPr>
          <w:p>
            <w:pPr>
              <w:rPr>
                <w:rFonts w:ascii="宋体" w:hAnsi="宋体"/>
                <w:color w:val="000000"/>
                <w:kern w:val="0"/>
                <w:szCs w:val="21"/>
              </w:rPr>
            </w:pPr>
            <w:r>
              <w:rPr>
                <w:rFonts w:hint="eastAsia" w:ascii="宋体" w:hAnsi="宋体"/>
                <w:color w:val="000000"/>
                <w:kern w:val="0"/>
                <w:szCs w:val="21"/>
              </w:rPr>
              <w:t>采用国际知名品牌数据同步工具，采用数据库动态日志捕获同步技术，降低对生产系统的资源消耗，确保业务数据源和数据中心数据的一致性控制在用户接受范围以内；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2.数据清洗</w:t>
            </w:r>
          </w:p>
        </w:tc>
        <w:tc>
          <w:tcPr>
            <w:tcW w:w="5523" w:type="dxa"/>
            <w:vAlign w:val="center"/>
          </w:tcPr>
          <w:p>
            <w:pPr>
              <w:rPr>
                <w:rFonts w:ascii="宋体" w:hAnsi="宋体"/>
                <w:color w:val="000000"/>
                <w:kern w:val="0"/>
                <w:szCs w:val="21"/>
              </w:rPr>
            </w:pPr>
            <w:r>
              <w:rPr>
                <w:rFonts w:hint="eastAsia" w:ascii="宋体" w:hAnsi="宋体"/>
                <w:color w:val="000000"/>
                <w:kern w:val="0"/>
                <w:szCs w:val="21"/>
              </w:rPr>
              <w:t>过滤那些不符合要求的数据，将过滤的结果交给业务主管部门确认是否过滤掉，还是由业务单位修正之后再进行抽取。不符合要求的数据主要是有不完整的数据、错误的数据和重复的数据三大类；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3.转换</w:t>
            </w:r>
          </w:p>
        </w:tc>
        <w:tc>
          <w:tcPr>
            <w:tcW w:w="5523" w:type="dxa"/>
            <w:vAlign w:val="center"/>
          </w:tcPr>
          <w:p>
            <w:pPr>
              <w:rPr>
                <w:rFonts w:ascii="宋体" w:hAnsi="宋体"/>
                <w:color w:val="000000"/>
                <w:kern w:val="0"/>
                <w:szCs w:val="21"/>
              </w:rPr>
            </w:pPr>
            <w:r>
              <w:rPr>
                <w:rFonts w:hint="eastAsia" w:ascii="宋体" w:hAnsi="宋体"/>
                <w:color w:val="000000"/>
                <w:kern w:val="0"/>
                <w:szCs w:val="21"/>
              </w:rPr>
              <w:t>主要是进行不一致的数据转换、数据粒度的转换和一些业务规则的计算。实现将各个接入系统的业务数据按照规范要求进行转换，确保数据的标准性；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4.装载</w:t>
            </w:r>
          </w:p>
        </w:tc>
        <w:tc>
          <w:tcPr>
            <w:tcW w:w="5523" w:type="dxa"/>
            <w:vAlign w:val="center"/>
          </w:tcPr>
          <w:p>
            <w:pPr>
              <w:rPr>
                <w:rFonts w:ascii="宋体" w:hAnsi="宋体"/>
                <w:color w:val="000000"/>
                <w:kern w:val="0"/>
                <w:szCs w:val="21"/>
              </w:rPr>
            </w:pPr>
            <w:r>
              <w:rPr>
                <w:rFonts w:hint="eastAsia" w:ascii="宋体" w:hAnsi="宋体"/>
                <w:color w:val="000000"/>
                <w:kern w:val="0"/>
                <w:szCs w:val="21"/>
              </w:rPr>
              <w:t>加载经转换和汇总的数据到目标数据结构中，可实现SQL或批量加载；同时对实时性要求高的业务，支持实时数据同步，使数据能够实时反映最新变化的情况；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rPr>
              <w:t>5.录入/导入</w:t>
            </w:r>
          </w:p>
        </w:tc>
        <w:tc>
          <w:tcPr>
            <w:tcW w:w="5523" w:type="dxa"/>
            <w:vAlign w:val="center"/>
          </w:tcPr>
          <w:p>
            <w:r>
              <w:rPr>
                <w:rFonts w:hint="eastAsia"/>
              </w:rPr>
              <w:t>将指标生成所缺失的数据元以及手工记录的指标信息，通过.txt或者是.xls文件导入到数据中心或直接录入到系统中，以保证决策分析平台指标的完整性；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widowControl/>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6.日志</w:t>
            </w:r>
          </w:p>
        </w:tc>
        <w:tc>
          <w:tcPr>
            <w:tcW w:w="5523" w:type="dxa"/>
            <w:vAlign w:val="center"/>
          </w:tcPr>
          <w:p>
            <w:pPr>
              <w:rPr>
                <w:rFonts w:ascii="宋体" w:hAnsi="宋体"/>
                <w:color w:val="000000"/>
                <w:kern w:val="0"/>
                <w:szCs w:val="21"/>
              </w:rPr>
            </w:pPr>
            <w:r>
              <w:rPr>
                <w:rFonts w:hint="eastAsia" w:ascii="宋体" w:hAnsi="宋体"/>
                <w:color w:val="000000"/>
                <w:kern w:val="0"/>
                <w:szCs w:val="21"/>
              </w:rPr>
              <w:t>记录日志的目的是随时可以知道数据同步及抽取运行情况，以便于在错误发生的情况下，快速定位错误原因和位置；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129" w:type="dxa"/>
            <w:vMerge w:val="continue"/>
            <w:vAlign w:val="center"/>
          </w:tcPr>
          <w:p>
            <w:pPr>
              <w:widowControl/>
              <w:jc w:val="center"/>
              <w:rPr>
                <w:rFonts w:ascii="宋体" w:hAnsi="宋体"/>
                <w:color w:val="000000"/>
                <w:kern w:val="0"/>
                <w:sz w:val="22"/>
              </w:rPr>
            </w:pPr>
          </w:p>
        </w:tc>
        <w:tc>
          <w:tcPr>
            <w:tcW w:w="1423" w:type="dxa"/>
            <w:vAlign w:val="center"/>
          </w:tcPr>
          <w:p>
            <w:pPr>
              <w:spacing w:line="360" w:lineRule="auto"/>
              <w:rPr>
                <w:rFonts w:ascii="宋体" w:hAnsi="宋体"/>
                <w:color w:val="000000"/>
                <w:kern w:val="0"/>
                <w:szCs w:val="21"/>
              </w:rPr>
            </w:pPr>
            <w:r>
              <w:rPr>
                <w:rFonts w:hint="eastAsia" w:ascii="宋体" w:hAnsi="宋体"/>
                <w:color w:val="000000"/>
                <w:kern w:val="0"/>
                <w:szCs w:val="21"/>
              </w:rPr>
              <w:t>7.警告发送</w:t>
            </w:r>
          </w:p>
        </w:tc>
        <w:tc>
          <w:tcPr>
            <w:tcW w:w="5523" w:type="dxa"/>
            <w:vAlign w:val="center"/>
          </w:tcPr>
          <w:p>
            <w:pPr>
              <w:rPr>
                <w:rFonts w:ascii="宋体" w:hAnsi="宋体"/>
                <w:color w:val="000000"/>
                <w:kern w:val="0"/>
                <w:szCs w:val="21"/>
              </w:rPr>
            </w:pPr>
            <w:r>
              <w:rPr>
                <w:rFonts w:hint="eastAsia" w:ascii="宋体" w:hAnsi="宋体"/>
                <w:color w:val="000000"/>
                <w:kern w:val="0"/>
                <w:szCs w:val="21"/>
              </w:rPr>
              <w:t>向系统管理员发送警告，发送警告的方式有多种，常用的就是给系统管理员发送邮件，并附上出错的信息，方便管理员排查错误。</w:t>
            </w:r>
          </w:p>
        </w:tc>
      </w:tr>
    </w:tbl>
    <w:p/>
    <w:p>
      <w:pPr>
        <w:pStyle w:val="3"/>
        <w:rPr>
          <w:sz w:val="28"/>
          <w:szCs w:val="28"/>
        </w:rPr>
      </w:pPr>
      <w:r>
        <w:rPr>
          <w:sz w:val="28"/>
          <w:szCs w:val="28"/>
        </w:rPr>
        <w:t>2</w:t>
      </w:r>
      <w:r>
        <w:rPr>
          <w:rFonts w:hint="eastAsia"/>
          <w:sz w:val="28"/>
          <w:szCs w:val="28"/>
        </w:rPr>
        <w:t>.授权安全管理</w:t>
      </w:r>
      <w:r>
        <w:rPr>
          <w:sz w:val="28"/>
          <w:szCs w:val="28"/>
        </w:rPr>
        <w:t xml:space="preserve"> </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01"/>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2" w:hRule="atLeast"/>
        </w:trPr>
        <w:tc>
          <w:tcPr>
            <w:tcW w:w="1701"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374"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trPr>
        <w:tc>
          <w:tcPr>
            <w:tcW w:w="1701" w:type="dxa"/>
            <w:vMerge w:val="restart"/>
            <w:vAlign w:val="center"/>
          </w:tcPr>
          <w:p>
            <w:pPr>
              <w:spacing w:line="360" w:lineRule="auto"/>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.1</w:t>
            </w:r>
            <w:r>
              <w:rPr>
                <w:rFonts w:hint="eastAsia" w:ascii="宋体" w:hAnsi="宋体"/>
                <w:color w:val="000000"/>
                <w:kern w:val="0"/>
                <w:szCs w:val="21"/>
              </w:rPr>
              <w:t>基础功能</w:t>
            </w:r>
          </w:p>
        </w:tc>
        <w:tc>
          <w:tcPr>
            <w:tcW w:w="6374" w:type="dxa"/>
            <w:vAlign w:val="center"/>
          </w:tcPr>
          <w:p>
            <w:pPr>
              <w:rPr>
                <w:rFonts w:ascii="宋体" w:hAnsi="宋体"/>
                <w:color w:val="000000"/>
                <w:kern w:val="0"/>
                <w:szCs w:val="21"/>
              </w:rPr>
            </w:pPr>
            <w:r>
              <w:rPr>
                <w:rFonts w:hint="eastAsia" w:ascii="宋体" w:hAnsi="宋体"/>
                <w:color w:val="000000"/>
                <w:kern w:val="0"/>
                <w:szCs w:val="21"/>
              </w:rPr>
              <w:t>1.提供用户的统一管理，支持对用户进行授权访问；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Merge w:val="continue"/>
            <w:vAlign w:val="center"/>
          </w:tcPr>
          <w:p>
            <w:pPr>
              <w:spacing w:line="360" w:lineRule="auto"/>
              <w:rPr>
                <w:rFonts w:ascii="宋体" w:hAnsi="宋体"/>
                <w:color w:val="000000"/>
                <w:kern w:val="0"/>
                <w:szCs w:val="21"/>
              </w:rPr>
            </w:pPr>
          </w:p>
        </w:tc>
        <w:tc>
          <w:tcPr>
            <w:tcW w:w="6374" w:type="dxa"/>
            <w:vAlign w:val="center"/>
          </w:tcPr>
          <w:p>
            <w:pPr>
              <w:rPr>
                <w:rFonts w:ascii="宋体" w:hAnsi="宋体"/>
                <w:color w:val="000000"/>
                <w:kern w:val="0"/>
                <w:szCs w:val="21"/>
              </w:rPr>
            </w:pPr>
            <w:r>
              <w:rPr>
                <w:rFonts w:hint="eastAsia" w:ascii="宋体" w:hAnsi="宋体"/>
                <w:color w:val="000000"/>
                <w:kern w:val="0"/>
                <w:szCs w:val="21"/>
              </w:rPr>
              <w:t>2.在对用户授权访问时，支持不同分类的授权，包括：是否可访问重点患者；授权医生、授权科室、授权内容、患者信息脱敏；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Merge w:val="continue"/>
            <w:vAlign w:val="center"/>
          </w:tcPr>
          <w:p>
            <w:pPr>
              <w:spacing w:line="360" w:lineRule="auto"/>
              <w:rPr>
                <w:rFonts w:ascii="宋体" w:hAnsi="宋体"/>
                <w:color w:val="000000"/>
                <w:kern w:val="0"/>
                <w:szCs w:val="21"/>
              </w:rPr>
            </w:pPr>
          </w:p>
        </w:tc>
        <w:tc>
          <w:tcPr>
            <w:tcW w:w="6374" w:type="dxa"/>
            <w:vAlign w:val="center"/>
          </w:tcPr>
          <w:p>
            <w:pPr>
              <w:rPr>
                <w:rFonts w:ascii="宋体" w:hAnsi="宋体"/>
                <w:color w:val="000000"/>
                <w:kern w:val="0"/>
                <w:szCs w:val="21"/>
              </w:rPr>
            </w:pPr>
            <w:r>
              <w:rPr>
                <w:rFonts w:hint="eastAsia" w:ascii="宋体" w:hAnsi="宋体"/>
                <w:color w:val="000000"/>
                <w:kern w:val="0"/>
                <w:szCs w:val="21"/>
              </w:rPr>
              <w:t>3.提供用户对应的角色管理，可设置各角色能够访问的模块及功能，同时支持对数据层面的权限控制，如分配科室级、医疗组、个人的数据权限；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Merge w:val="continue"/>
            <w:vAlign w:val="center"/>
          </w:tcPr>
          <w:p>
            <w:pPr>
              <w:spacing w:line="360" w:lineRule="auto"/>
              <w:rPr>
                <w:rFonts w:ascii="宋体" w:hAnsi="宋体"/>
                <w:color w:val="000000"/>
                <w:kern w:val="0"/>
                <w:szCs w:val="21"/>
              </w:rPr>
            </w:pPr>
          </w:p>
        </w:tc>
        <w:tc>
          <w:tcPr>
            <w:tcW w:w="6374" w:type="dxa"/>
            <w:vAlign w:val="center"/>
          </w:tcPr>
          <w:p>
            <w:pPr>
              <w:rPr>
                <w:rFonts w:ascii="宋体" w:hAnsi="宋体"/>
                <w:color w:val="000000"/>
                <w:kern w:val="0"/>
                <w:szCs w:val="21"/>
              </w:rPr>
            </w:pPr>
            <w:r>
              <w:rPr>
                <w:rFonts w:hint="eastAsia" w:ascii="宋体" w:hAnsi="宋体"/>
                <w:color w:val="000000"/>
                <w:kern w:val="0"/>
                <w:szCs w:val="21"/>
              </w:rPr>
              <w:t>4.提供系统自身的功能管理，支持分别授权访问；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701" w:type="dxa"/>
            <w:vMerge w:val="continue"/>
            <w:vAlign w:val="center"/>
          </w:tcPr>
          <w:p>
            <w:pPr>
              <w:spacing w:line="360" w:lineRule="auto"/>
              <w:rPr>
                <w:rFonts w:ascii="宋体" w:hAnsi="宋体"/>
                <w:color w:val="000000"/>
                <w:kern w:val="0"/>
                <w:szCs w:val="21"/>
              </w:rPr>
            </w:pPr>
          </w:p>
        </w:tc>
        <w:tc>
          <w:tcPr>
            <w:tcW w:w="6374" w:type="dxa"/>
            <w:vAlign w:val="center"/>
          </w:tcPr>
          <w:p>
            <w:r>
              <w:rPr>
                <w:rFonts w:hint="eastAsia"/>
              </w:rPr>
              <w:t>5.提供患者信息的安全管理，可应患者要求自定义患者信息的可阅读性。</w:t>
            </w:r>
          </w:p>
        </w:tc>
      </w:tr>
    </w:tbl>
    <w:p/>
    <w:p>
      <w:pPr>
        <w:pStyle w:val="3"/>
        <w:rPr>
          <w:sz w:val="28"/>
          <w:szCs w:val="28"/>
        </w:rPr>
      </w:pPr>
      <w:r>
        <w:rPr>
          <w:sz w:val="28"/>
          <w:szCs w:val="28"/>
        </w:rPr>
        <w:t>3</w:t>
      </w:r>
      <w:r>
        <w:rPr>
          <w:rFonts w:hint="eastAsia"/>
          <w:sz w:val="28"/>
          <w:szCs w:val="28"/>
        </w:rPr>
        <w:t>.临床3</w:t>
      </w:r>
      <w:r>
        <w:rPr>
          <w:sz w:val="28"/>
          <w:szCs w:val="28"/>
        </w:rPr>
        <w:t>60</w:t>
      </w:r>
      <w:r>
        <w:rPr>
          <w:rFonts w:hint="eastAsia"/>
          <w:sz w:val="28"/>
          <w:szCs w:val="28"/>
        </w:rPr>
        <w:t>视图</w:t>
      </w:r>
      <w:r>
        <w:rPr>
          <w:sz w:val="28"/>
          <w:szCs w:val="28"/>
        </w:rPr>
        <w:t xml:space="preserve"> </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01"/>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1" w:hRule="atLeast"/>
        </w:trPr>
        <w:tc>
          <w:tcPr>
            <w:tcW w:w="1701"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374"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trPr>
        <w:tc>
          <w:tcPr>
            <w:tcW w:w="1701" w:type="dxa"/>
            <w:vAlign w:val="center"/>
          </w:tcPr>
          <w:p>
            <w:pPr>
              <w:spacing w:line="360" w:lineRule="auto"/>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.1</w:t>
            </w:r>
            <w:r>
              <w:rPr>
                <w:rFonts w:hint="eastAsia" w:ascii="宋体" w:hAnsi="宋体"/>
                <w:color w:val="000000"/>
                <w:kern w:val="0"/>
                <w:szCs w:val="21"/>
              </w:rPr>
              <w:t>时间轴视图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需提供时间轴视图功能，通过时间轴总览满足以下要求：</w:t>
            </w:r>
          </w:p>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提供时间轴视图展示患者的历次就诊情况，采集患者历次就诊在电子病历系统中记录的诊疗信息；</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支持将患者历次诊疗信息进行摘要提取，以时间轴顺序的方式进行展示，可通过时间轴的滚动操作来查找多次的就诊信息；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spacing w:line="360" w:lineRule="auto"/>
              <w:jc w:val="center"/>
              <w:rPr>
                <w:rFonts w:ascii="宋体" w:hAnsi="宋体"/>
                <w:color w:val="000000"/>
                <w:kern w:val="0"/>
                <w:szCs w:val="21"/>
              </w:rPr>
            </w:pPr>
            <w:r>
              <w:rPr>
                <w:rFonts w:hint="eastAsia" w:ascii="宋体" w:hAnsi="宋体"/>
                <w:color w:val="000000"/>
                <w:kern w:val="0"/>
                <w:szCs w:val="21"/>
              </w:rPr>
              <w:t>3.2全息视图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全息视图与门诊、住院电子病历系统相对应，分别展示患者不同就诊类型的诊疗数据；</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全息视图通过图形化的界面展示患者诊疗记录的标识及详细内容，可通过颜色配套的门诊标识、住院标识对患者就诊进行一览查询；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3.3摘要视图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提供患者历次就诊的摘要信息展示功能，通过摘要视图满足以下要求：</w:t>
            </w:r>
          </w:p>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支持将患者身份信息进行摘要展示；</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支持将就诊的各个类别分模块展示，比如诊断信息、用药信息、检验检查信息等；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3.4诊断视图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提供以诊断为维度的视图查询功能，需满足以下要求：</w:t>
            </w:r>
          </w:p>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提供首诊诊断时间轴，支持将所有首诊诊断进行查询展示；</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支持对首诊诊断以诊断时间轴的方式展示首诊诊断之后的历次就诊情况；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5</w:t>
            </w:r>
            <w:r>
              <w:rPr>
                <w:rFonts w:hint="eastAsia" w:ascii="宋体" w:hAnsi="宋体"/>
                <w:color w:val="000000"/>
                <w:kern w:val="0"/>
                <w:szCs w:val="21"/>
              </w:rPr>
              <w:t>用药视图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提供用药医嘱信息分类查询功能，需满足以下要求：</w:t>
            </w:r>
          </w:p>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提供常规检索条件包括时间条件、科室、药品名称查询患者详细用药信息；</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查询到的用药信息需与患者在电子病历系统中的药品分类保持一致，以对应临床诊疗环节；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6</w:t>
            </w:r>
            <w:r>
              <w:rPr>
                <w:rFonts w:hint="eastAsia" w:ascii="宋体" w:hAnsi="宋体"/>
                <w:color w:val="000000"/>
                <w:kern w:val="0"/>
                <w:szCs w:val="21"/>
              </w:rPr>
              <w:t>检验视图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支持以检验为维度进行检验信息的全面查询展示；</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支持检验申请单与报告单的关联性，以检验申请单为索引，通过报告状态追溯报告详情；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7</w:t>
            </w:r>
            <w:r>
              <w:rPr>
                <w:rFonts w:hint="eastAsia" w:ascii="宋体" w:hAnsi="宋体"/>
                <w:color w:val="000000"/>
                <w:kern w:val="0"/>
                <w:szCs w:val="21"/>
              </w:rPr>
              <w:t>检查视图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支持以检查为维度进行检查信息的全面查询展示；</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支持检查申请单与报告单的关联性，以检查申请单为索引，通过报告状态追溯报告详情；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8</w:t>
            </w:r>
            <w:r>
              <w:rPr>
                <w:rFonts w:hint="eastAsia" w:ascii="宋体" w:hAnsi="宋体"/>
                <w:color w:val="000000"/>
                <w:kern w:val="0"/>
                <w:szCs w:val="21"/>
              </w:rPr>
              <w:t>手术视图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支持以手术时间轴展示患者对应的手术时间、手术名称、手术资料；</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手术资料支持展示本次手术相关的病历信息，包括手术记录、检验报告、检查报告、手术医嘱等。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701" w:type="dxa"/>
            <w:vAlign w:val="center"/>
          </w:tcPr>
          <w:p>
            <w:pPr>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9</w:t>
            </w:r>
            <w:r>
              <w:rPr>
                <w:rFonts w:hint="eastAsia" w:ascii="宋体" w:hAnsi="宋体"/>
                <w:color w:val="000000"/>
                <w:kern w:val="0"/>
                <w:szCs w:val="21"/>
              </w:rPr>
              <w:t>用血视图</w:t>
            </w:r>
          </w:p>
        </w:tc>
        <w:tc>
          <w:tcPr>
            <w:tcW w:w="6374"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提供输血成分时间轴，支持对所有输血进行查询；</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能够突出历次用血的用血成分、用血量、用血目的、用血反应等。</w:t>
            </w:r>
          </w:p>
        </w:tc>
      </w:tr>
    </w:tbl>
    <w:p/>
    <w:p>
      <w:pPr>
        <w:pStyle w:val="3"/>
        <w:rPr>
          <w:sz w:val="28"/>
          <w:szCs w:val="28"/>
        </w:rPr>
      </w:pPr>
      <w:r>
        <w:rPr>
          <w:sz w:val="28"/>
          <w:szCs w:val="28"/>
        </w:rPr>
        <w:t>4</w:t>
      </w:r>
      <w:r>
        <w:rPr>
          <w:rFonts w:hint="eastAsia"/>
          <w:sz w:val="28"/>
          <w:szCs w:val="28"/>
        </w:rPr>
        <w:t>.全流程闭环管理</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5"/>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trPr>
        <w:tc>
          <w:tcPr>
            <w:tcW w:w="1985"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090"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口服药闭环追溯</w:t>
            </w:r>
          </w:p>
        </w:tc>
        <w:tc>
          <w:tcPr>
            <w:tcW w:w="6090" w:type="dxa"/>
            <w:vAlign w:val="center"/>
          </w:tcPr>
          <w:p>
            <w:r>
              <w:rPr>
                <w:rFonts w:hint="eastAsia"/>
              </w:rPr>
              <w:t>1.</w:t>
            </w:r>
            <w:r>
              <w:rPr>
                <w:rFonts w:hint="eastAsia"/>
              </w:rPr>
              <w:tab/>
            </w:r>
            <w:r>
              <w:rPr>
                <w:rFonts w:hint="eastAsia"/>
              </w:rPr>
              <w:t xml:space="preserve">CDR与相关业务系统对接，获取口服药闭环业务节点数据； </w:t>
            </w:r>
          </w:p>
          <w:p>
            <w:r>
              <w:rPr>
                <w:rFonts w:hint="eastAsia"/>
              </w:rPr>
              <w:t>2.</w:t>
            </w:r>
            <w:r>
              <w:rPr>
                <w:rFonts w:hint="eastAsia"/>
              </w:rPr>
              <w:tab/>
            </w:r>
            <w:r>
              <w:rPr>
                <w:rFonts w:hint="eastAsia"/>
              </w:rPr>
              <w:t>CDR提供口服药闭环集成视图展示功能，展示口服药闭环的业务节点数据，并供相关业务系统调阅查看。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输血闭环追溯</w:t>
            </w:r>
          </w:p>
        </w:tc>
        <w:tc>
          <w:tcPr>
            <w:tcW w:w="609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 xml:space="preserve">CDR与相关业务系统对接，获取输血闭环业务节点数据； </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CDR提供输血闭环集成视图展示功能，展示输血闭环的业务节点数据，并供相关业务系统调阅查看。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985" w:type="dxa"/>
            <w:vAlign w:val="center"/>
          </w:tcPr>
          <w:p>
            <w:pP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3</w:t>
            </w:r>
            <w:r>
              <w:rPr>
                <w:rFonts w:hint="eastAsia" w:ascii="宋体" w:hAnsi="宋体"/>
                <w:color w:val="000000"/>
                <w:kern w:val="0"/>
                <w:szCs w:val="21"/>
              </w:rPr>
              <w:tab/>
            </w:r>
            <w:r>
              <w:rPr>
                <w:rFonts w:hint="eastAsia" w:ascii="宋体" w:hAnsi="宋体"/>
                <w:color w:val="000000"/>
                <w:kern w:val="0"/>
                <w:szCs w:val="21"/>
              </w:rPr>
              <w:t>检验闭环追溯</w:t>
            </w:r>
          </w:p>
        </w:tc>
        <w:tc>
          <w:tcPr>
            <w:tcW w:w="609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 xml:space="preserve">CDR与相关业务系统对接，获取检验闭环业务节点数据； </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CDR提供检验闭环集成视图展示功能，展示检验闭环的业务节点数据，并供相关业务系统调阅查看。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985" w:type="dxa"/>
            <w:vAlign w:val="center"/>
          </w:tcPr>
          <w:p>
            <w:pP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4</w:t>
            </w:r>
            <w:r>
              <w:rPr>
                <w:rFonts w:hint="eastAsia" w:ascii="宋体" w:hAnsi="宋体"/>
                <w:color w:val="000000"/>
                <w:kern w:val="0"/>
                <w:szCs w:val="21"/>
              </w:rPr>
              <w:tab/>
            </w:r>
            <w:r>
              <w:rPr>
                <w:rFonts w:hint="eastAsia" w:ascii="宋体" w:hAnsi="宋体"/>
                <w:color w:val="000000"/>
                <w:kern w:val="0"/>
                <w:szCs w:val="21"/>
              </w:rPr>
              <w:t>检查闭环追溯</w:t>
            </w:r>
          </w:p>
        </w:tc>
        <w:tc>
          <w:tcPr>
            <w:tcW w:w="609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 xml:space="preserve">CDR与相关业务系统对接，获取检查闭环业务节点数据； </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CDR提供检查闭环集成视图展示功能，展示检查闭环的业务节点数据，并供相关业务系统调阅查看。</w:t>
            </w:r>
          </w:p>
        </w:tc>
      </w:tr>
    </w:tbl>
    <w:p/>
    <w:p>
      <w:pPr>
        <w:pStyle w:val="3"/>
        <w:rPr>
          <w:sz w:val="28"/>
          <w:szCs w:val="28"/>
        </w:rPr>
      </w:pPr>
      <w:r>
        <w:rPr>
          <w:sz w:val="28"/>
          <w:szCs w:val="28"/>
        </w:rPr>
        <w:t>5</w:t>
      </w:r>
      <w:r>
        <w:rPr>
          <w:rFonts w:hint="eastAsia"/>
          <w:sz w:val="28"/>
          <w:szCs w:val="28"/>
        </w:rPr>
        <w:t>.电子病历（五级、六级）信息利用数据指标分析系统</w:t>
      </w:r>
      <w:r>
        <w:rPr>
          <w:sz w:val="28"/>
          <w:szCs w:val="28"/>
        </w:rPr>
        <w:t xml:space="preserve"> </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43"/>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9" w:hRule="atLeast"/>
        </w:trPr>
        <w:tc>
          <w:tcPr>
            <w:tcW w:w="1843"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232"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843" w:type="dxa"/>
            <w:vMerge w:val="restart"/>
            <w:vAlign w:val="center"/>
          </w:tcPr>
          <w:p>
            <w:pPr>
              <w:spacing w:line="360" w:lineRule="auto"/>
              <w:jc w:val="center"/>
              <w:rPr>
                <w:rFonts w:ascii="宋体" w:hAnsi="宋体"/>
                <w:color w:val="000000"/>
                <w:kern w:val="0"/>
                <w:szCs w:val="21"/>
              </w:rPr>
            </w:pPr>
            <w:r>
              <w:rPr>
                <w:rFonts w:ascii="宋体" w:hAnsi="宋体"/>
                <w:color w:val="000000"/>
                <w:kern w:val="0"/>
                <w:szCs w:val="21"/>
              </w:rPr>
              <w:t>5.1</w:t>
            </w:r>
            <w:r>
              <w:rPr>
                <w:rFonts w:hint="eastAsia" w:ascii="宋体" w:hAnsi="宋体"/>
                <w:color w:val="000000"/>
                <w:kern w:val="0"/>
                <w:szCs w:val="21"/>
              </w:rPr>
              <w:t>指标要求</w:t>
            </w:r>
          </w:p>
        </w:tc>
        <w:tc>
          <w:tcPr>
            <w:tcW w:w="6232" w:type="dxa"/>
            <w:vAlign w:val="center"/>
          </w:tcPr>
          <w:p>
            <w:pPr>
              <w:rPr>
                <w:rFonts w:ascii="宋体" w:hAnsi="宋体"/>
                <w:color w:val="000000"/>
                <w:kern w:val="0"/>
                <w:szCs w:val="21"/>
              </w:rPr>
            </w:pPr>
            <w:r>
              <w:rPr>
                <w:rFonts w:hint="eastAsia" w:ascii="宋体" w:hAnsi="宋体"/>
                <w:color w:val="000000"/>
                <w:kern w:val="0"/>
                <w:szCs w:val="21"/>
              </w:rPr>
              <w:t>电子病历系统功能应用水平六级评审的医疗质量控制项目中涉及到如下指标的考核要求，具体包括：</w:t>
            </w:r>
          </w:p>
          <w:p>
            <w:pPr>
              <w:rPr>
                <w:rFonts w:ascii="宋体" w:hAnsi="宋体"/>
                <w:color w:val="000000"/>
                <w:kern w:val="0"/>
                <w:szCs w:val="21"/>
              </w:rPr>
            </w:pPr>
            <w:r>
              <w:rPr>
                <w:rFonts w:hint="eastAsia" w:ascii="宋体" w:hAnsi="宋体"/>
                <w:color w:val="000000"/>
                <w:kern w:val="0"/>
                <w:szCs w:val="21"/>
              </w:rPr>
              <w:t>一、三级综合医院医疗质量管理与控制指标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二、《麻醉专业医疗质量控制指标(2015年版)》要求的所有指标</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三、《重症医学专业医疗质量控制指标(2015年版)》要求的所有指标</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四、《临床检验专业医疗质量控制指标(2015年版)》要求的所有指标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五、《急诊专业医疗质量控制指标(2015年版)》要求的所有指标</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六、《病理专业医疗质量控制指标（2015年版）》要求的所有指标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七《医院感染管理医疗质量质控指标（2015年版）》要求的所有指标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4" w:hRule="atLeast"/>
        </w:trPr>
        <w:tc>
          <w:tcPr>
            <w:tcW w:w="1843" w:type="dxa"/>
            <w:vMerge w:val="continue"/>
            <w:vAlign w:val="center"/>
          </w:tcPr>
          <w:p>
            <w:pPr>
              <w:spacing w:line="360" w:lineRule="auto"/>
              <w:rPr>
                <w:rFonts w:ascii="宋体" w:hAnsi="宋体"/>
                <w:color w:val="000000"/>
                <w:kern w:val="0"/>
                <w:szCs w:val="21"/>
              </w:rPr>
            </w:pPr>
          </w:p>
        </w:tc>
        <w:tc>
          <w:tcPr>
            <w:tcW w:w="6232" w:type="dxa"/>
            <w:vAlign w:val="center"/>
          </w:tcPr>
          <w:p>
            <w:pPr>
              <w:rPr>
                <w:rFonts w:ascii="宋体" w:hAnsi="宋体"/>
                <w:color w:val="000000"/>
                <w:kern w:val="0"/>
                <w:szCs w:val="21"/>
              </w:rPr>
            </w:pPr>
            <w:r>
              <w:rPr>
                <w:rFonts w:hint="eastAsia" w:ascii="宋体" w:hAnsi="宋体"/>
                <w:color w:val="000000"/>
                <w:kern w:val="0"/>
                <w:szCs w:val="21"/>
              </w:rPr>
              <w:t>八、《单病种质量监测信息项（2020年版）》</w:t>
            </w:r>
          </w:p>
          <w:p>
            <w:pPr>
              <w:rPr>
                <w:rFonts w:ascii="宋体" w:hAnsi="宋体"/>
                <w:color w:val="000000"/>
                <w:kern w:val="0"/>
                <w:szCs w:val="21"/>
              </w:rPr>
            </w:pPr>
            <w:r>
              <w:rPr>
                <w:rFonts w:hint="eastAsia" w:ascii="宋体" w:hAnsi="宋体"/>
                <w:color w:val="000000"/>
                <w:kern w:val="0"/>
                <w:szCs w:val="21"/>
              </w:rPr>
              <w:t>覆盖病种：脑梗死</w:t>
            </w:r>
          </w:p>
          <w:p>
            <w:pPr>
              <w:rPr>
                <w:rFonts w:ascii="宋体" w:hAnsi="宋体"/>
                <w:color w:val="000000"/>
                <w:kern w:val="0"/>
                <w:szCs w:val="21"/>
              </w:rPr>
            </w:pPr>
            <w:r>
              <w:rPr>
                <w:rFonts w:hint="eastAsia" w:ascii="宋体" w:hAnsi="宋体"/>
                <w:color w:val="000000"/>
                <w:kern w:val="0"/>
                <w:szCs w:val="21"/>
              </w:rPr>
              <w:t>涉及指标：患者入院病情评估、静脉溶栓指征评估、静脉溶栓药物使用情况、房颤患者的抗凝药物使用情况、抗血小板药物使用情况、吞咽困难评价、预防深静脉血栓的措施、出院时抗血小板药物使用情况、出院时他汀类药物使用情况、出院时有房颤或房扑患者抗凝药物使用情况、出院时有糖尿病患者降糖药物使用情况、出院时有高血压患者降压药物使用情况。</w:t>
            </w:r>
          </w:p>
        </w:tc>
      </w:tr>
    </w:tbl>
    <w:p/>
    <w:p>
      <w:pPr>
        <w:pStyle w:val="3"/>
        <w:rPr>
          <w:sz w:val="28"/>
          <w:szCs w:val="28"/>
        </w:rPr>
      </w:pPr>
      <w:r>
        <w:rPr>
          <w:sz w:val="28"/>
          <w:szCs w:val="28"/>
        </w:rPr>
        <w:t>6</w:t>
      </w:r>
      <w:r>
        <w:rPr>
          <w:rFonts w:hint="eastAsia"/>
          <w:sz w:val="28"/>
          <w:szCs w:val="28"/>
        </w:rPr>
        <w:t>.电子病历评级数据质量指标监测系统（五级、六级）</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9"/>
        <w:gridCol w:w="2126"/>
        <w:gridCol w:w="5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1" w:hRule="atLeast"/>
        </w:trPr>
        <w:tc>
          <w:tcPr>
            <w:tcW w:w="2835" w:type="dxa"/>
            <w:gridSpan w:val="2"/>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5240"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trPr>
        <w:tc>
          <w:tcPr>
            <w:tcW w:w="709" w:type="dxa"/>
            <w:vMerge w:val="restart"/>
            <w:vAlign w:val="center"/>
          </w:tcPr>
          <w:p>
            <w:pPr>
              <w:jc w:val="center"/>
              <w:rPr>
                <w:rFonts w:ascii="宋体" w:hAnsi="宋体"/>
                <w:color w:val="000000"/>
                <w:kern w:val="0"/>
                <w:sz w:val="22"/>
              </w:rPr>
            </w:pPr>
            <w:r>
              <w:rPr>
                <w:rFonts w:hint="eastAsia" w:ascii="宋体" w:hAnsi="宋体"/>
                <w:color w:val="000000"/>
                <w:kern w:val="0"/>
                <w:szCs w:val="21"/>
              </w:rPr>
              <w:t>6</w:t>
            </w:r>
            <w:r>
              <w:rPr>
                <w:rFonts w:ascii="宋体" w:hAnsi="宋体"/>
                <w:color w:val="000000"/>
                <w:kern w:val="0"/>
                <w:szCs w:val="21"/>
              </w:rPr>
              <w:t>.1</w:t>
            </w:r>
            <w:r>
              <w:rPr>
                <w:rFonts w:hint="eastAsia" w:ascii="宋体" w:hAnsi="宋体"/>
                <w:color w:val="000000"/>
                <w:kern w:val="0"/>
                <w:szCs w:val="21"/>
              </w:rPr>
              <w:t>数据质量评估</w:t>
            </w:r>
          </w:p>
        </w:tc>
        <w:tc>
          <w:tcPr>
            <w:tcW w:w="2126" w:type="dxa"/>
            <w:vAlign w:val="center"/>
          </w:tcPr>
          <w:p>
            <w:pPr>
              <w:rPr>
                <w:rFonts w:ascii="宋体" w:hAnsi="宋体"/>
                <w:color w:val="000000"/>
                <w:kern w:val="0"/>
                <w:szCs w:val="21"/>
              </w:rPr>
            </w:pPr>
            <w:r>
              <w:rPr>
                <w:rFonts w:hint="eastAsia" w:ascii="宋体" w:hAnsi="宋体"/>
                <w:color w:val="000000"/>
                <w:kern w:val="0"/>
                <w:szCs w:val="21"/>
              </w:rPr>
              <w:t>6</w:t>
            </w:r>
            <w:r>
              <w:rPr>
                <w:rFonts w:ascii="宋体" w:hAnsi="宋体"/>
                <w:color w:val="000000"/>
                <w:kern w:val="0"/>
                <w:szCs w:val="21"/>
              </w:rPr>
              <w:t>.1.1</w:t>
            </w:r>
            <w:r>
              <w:rPr>
                <w:rFonts w:hint="eastAsia" w:ascii="宋体" w:hAnsi="宋体"/>
                <w:color w:val="000000"/>
                <w:kern w:val="0"/>
                <w:szCs w:val="21"/>
              </w:rPr>
              <w:t>报告首页</w:t>
            </w:r>
          </w:p>
        </w:tc>
        <w:tc>
          <w:tcPr>
            <w:tcW w:w="5240" w:type="dxa"/>
            <w:vAlign w:val="center"/>
          </w:tcPr>
          <w:p>
            <w:pPr>
              <w:rPr>
                <w:rFonts w:ascii="宋体" w:hAnsi="宋体"/>
                <w:color w:val="000000"/>
                <w:kern w:val="0"/>
                <w:szCs w:val="21"/>
              </w:rPr>
            </w:pPr>
            <w:r>
              <w:rPr>
                <w:rFonts w:hint="eastAsia" w:ascii="宋体" w:hAnsi="宋体"/>
                <w:color w:val="000000"/>
                <w:kern w:val="0"/>
                <w:szCs w:val="21"/>
              </w:rPr>
              <w:t>1．支持当前数据质量等级信息展示，能够直观展示申报等级、当前达到等级、当前评级分数；</w:t>
            </w:r>
          </w:p>
          <w:p>
            <w:pPr>
              <w:rPr>
                <w:rFonts w:ascii="宋体" w:hAnsi="宋体"/>
                <w:color w:val="000000"/>
                <w:kern w:val="0"/>
                <w:szCs w:val="21"/>
              </w:rPr>
            </w:pPr>
            <w:r>
              <w:rPr>
                <w:rFonts w:hint="eastAsia" w:ascii="宋体" w:hAnsi="宋体"/>
                <w:color w:val="000000"/>
                <w:kern w:val="0"/>
                <w:szCs w:val="21"/>
              </w:rPr>
              <w:t>2．能够直观展示不同等级达标要求，标准数量、已达标项目数量、已维护数量；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709" w:type="dxa"/>
            <w:vMerge w:val="continue"/>
            <w:vAlign w:val="center"/>
          </w:tcPr>
          <w:p>
            <w:pPr>
              <w:widowControl/>
              <w:jc w:val="center"/>
              <w:rPr>
                <w:rFonts w:ascii="宋体" w:hAnsi="宋体"/>
                <w:color w:val="000000"/>
                <w:kern w:val="0"/>
                <w:sz w:val="22"/>
              </w:rPr>
            </w:pPr>
          </w:p>
        </w:tc>
        <w:tc>
          <w:tcPr>
            <w:tcW w:w="2126" w:type="dxa"/>
            <w:vAlign w:val="center"/>
          </w:tcPr>
          <w:p>
            <w:pPr>
              <w:rPr>
                <w:rFonts w:ascii="宋体" w:hAnsi="宋体"/>
                <w:color w:val="000000"/>
                <w:kern w:val="0"/>
                <w:szCs w:val="21"/>
              </w:rPr>
            </w:pPr>
            <w:r>
              <w:rPr>
                <w:rFonts w:hint="eastAsia" w:ascii="宋体" w:hAnsi="宋体"/>
                <w:color w:val="000000"/>
                <w:kern w:val="0"/>
                <w:szCs w:val="21"/>
              </w:rPr>
              <w:t>6.1.2数据质量评估明细</w:t>
            </w:r>
          </w:p>
        </w:tc>
        <w:tc>
          <w:tcPr>
            <w:tcW w:w="524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提供数据质量评估功能，支持根据评级中数据质量上报的要求，按角色、按项目、按主要评价内容等维度，进行数据质量分析与评估；</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支持对数据质量标准明细进行查询，支持符合记录数、总记录数、指标系数查询；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709" w:type="dxa"/>
            <w:vMerge w:val="continue"/>
            <w:vAlign w:val="center"/>
          </w:tcPr>
          <w:p>
            <w:pPr>
              <w:widowControl/>
              <w:jc w:val="center"/>
              <w:rPr>
                <w:rFonts w:ascii="宋体" w:hAnsi="宋体"/>
                <w:color w:val="000000"/>
                <w:kern w:val="0"/>
                <w:sz w:val="22"/>
              </w:rPr>
            </w:pPr>
          </w:p>
        </w:tc>
        <w:tc>
          <w:tcPr>
            <w:tcW w:w="2126" w:type="dxa"/>
            <w:vAlign w:val="center"/>
          </w:tcPr>
          <w:p>
            <w:pPr>
              <w:rPr>
                <w:rFonts w:ascii="宋体" w:hAnsi="宋体"/>
                <w:color w:val="000000"/>
                <w:kern w:val="0"/>
                <w:szCs w:val="21"/>
              </w:rPr>
            </w:pPr>
            <w:r>
              <w:rPr>
                <w:rFonts w:hint="eastAsia" w:ascii="宋体" w:hAnsi="宋体"/>
                <w:color w:val="000000"/>
                <w:kern w:val="0"/>
                <w:szCs w:val="21"/>
              </w:rPr>
              <w:t>6.1.3数据质量报告</w:t>
            </w:r>
          </w:p>
        </w:tc>
        <w:tc>
          <w:tcPr>
            <w:tcW w:w="524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支持按照电子病历评级标准要求的角色、项目分类展示数据质量信息；</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支持对数据质量标准明细进行查询，支持符合记录数、总记录数、参考记录数、应用范围、指标系数查询；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709" w:type="dxa"/>
            <w:vMerge w:val="continue"/>
            <w:vAlign w:val="center"/>
          </w:tcPr>
          <w:p>
            <w:pPr>
              <w:widowControl/>
              <w:jc w:val="center"/>
              <w:rPr>
                <w:rFonts w:ascii="宋体" w:hAnsi="宋体"/>
                <w:color w:val="000000"/>
                <w:kern w:val="0"/>
                <w:sz w:val="22"/>
              </w:rPr>
            </w:pPr>
          </w:p>
        </w:tc>
        <w:tc>
          <w:tcPr>
            <w:tcW w:w="2126" w:type="dxa"/>
            <w:vAlign w:val="center"/>
          </w:tcPr>
          <w:p>
            <w:pPr>
              <w:rPr>
                <w:rFonts w:ascii="宋体" w:hAnsi="宋体"/>
                <w:color w:val="000000"/>
                <w:kern w:val="0"/>
                <w:szCs w:val="21"/>
              </w:rPr>
            </w:pPr>
            <w:r>
              <w:rPr>
                <w:rFonts w:hint="eastAsia" w:ascii="宋体" w:hAnsi="宋体"/>
                <w:color w:val="000000"/>
                <w:kern w:val="0"/>
                <w:szCs w:val="21"/>
              </w:rPr>
              <w:t>6.1.4数据质量报告分析</w:t>
            </w:r>
          </w:p>
        </w:tc>
        <w:tc>
          <w:tcPr>
            <w:tcW w:w="5240" w:type="dxa"/>
            <w:vAlign w:val="center"/>
          </w:tcPr>
          <w:p>
            <w:pPr>
              <w:rPr>
                <w:rFonts w:ascii="宋体" w:hAnsi="宋体"/>
                <w:color w:val="000000"/>
                <w:kern w:val="0"/>
                <w:szCs w:val="21"/>
              </w:rPr>
            </w:pPr>
            <w:r>
              <w:rPr>
                <w:rFonts w:hint="eastAsia" w:ascii="宋体" w:hAnsi="宋体"/>
                <w:color w:val="000000"/>
                <w:kern w:val="0"/>
                <w:szCs w:val="21"/>
              </w:rPr>
              <w:t>1.</w:t>
            </w:r>
            <w:r>
              <w:rPr>
                <w:rFonts w:hint="eastAsia" w:ascii="宋体" w:hAnsi="宋体"/>
                <w:color w:val="000000"/>
                <w:kern w:val="0"/>
                <w:szCs w:val="21"/>
              </w:rPr>
              <w:tab/>
            </w:r>
            <w:r>
              <w:rPr>
                <w:rFonts w:hint="eastAsia" w:ascii="宋体" w:hAnsi="宋体"/>
                <w:color w:val="000000"/>
                <w:kern w:val="0"/>
                <w:szCs w:val="21"/>
              </w:rPr>
              <w:t>支持按照电子病历评级标准要求的角色、项目分类展示数据质量信息；</w:t>
            </w:r>
          </w:p>
          <w:p>
            <w:pPr>
              <w:rPr>
                <w:rFonts w:ascii="宋体" w:hAnsi="宋体"/>
                <w:color w:val="000000"/>
                <w:kern w:val="0"/>
                <w:szCs w:val="21"/>
              </w:rPr>
            </w:pPr>
            <w:r>
              <w:rPr>
                <w:rFonts w:hint="eastAsia"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支持不同查询策略数据对比展示，直观展示数据质量系数变化趋势，有明显的箭头标识；</w:t>
            </w:r>
          </w:p>
        </w:tc>
      </w:tr>
    </w:tbl>
    <w:p/>
    <w:p>
      <w:pPr>
        <w:pStyle w:val="3"/>
        <w:rPr>
          <w:sz w:val="28"/>
          <w:szCs w:val="28"/>
        </w:rPr>
      </w:pPr>
      <w:r>
        <w:rPr>
          <w:sz w:val="28"/>
          <w:szCs w:val="28"/>
        </w:rPr>
        <w:t>7</w:t>
      </w:r>
      <w:r>
        <w:rPr>
          <w:rFonts w:hint="eastAsia"/>
          <w:sz w:val="28"/>
          <w:szCs w:val="28"/>
        </w:rPr>
        <w:t>.医务科辅助决策分析系统</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68"/>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7" w:hRule="atLeast"/>
        </w:trPr>
        <w:tc>
          <w:tcPr>
            <w:tcW w:w="2268"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5807"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8"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一、抗菌药物相关指标</w:t>
            </w:r>
          </w:p>
        </w:tc>
        <w:tc>
          <w:tcPr>
            <w:tcW w:w="5807" w:type="dxa"/>
            <w:vAlign w:val="center"/>
          </w:tcPr>
          <w:p>
            <w:pPr>
              <w:rPr>
                <w:rFonts w:ascii="宋体" w:hAnsi="宋体"/>
                <w:color w:val="000000"/>
                <w:kern w:val="0"/>
                <w:szCs w:val="21"/>
              </w:rPr>
            </w:pPr>
            <w:r>
              <w:rPr>
                <w:rFonts w:hint="eastAsia" w:ascii="宋体" w:hAnsi="宋体"/>
                <w:color w:val="000000"/>
                <w:kern w:val="0"/>
                <w:szCs w:val="21"/>
              </w:rPr>
              <w:t>系统支持提供抗菌药物不同等级使用分布情况、抗菌药物使用强度（DDDS）、特殊级抗菌药物使用目的分布情况、抗菌药物使用强度、特殊级抗菌药物使用目的分布情况、抗菌药物使用强度科室分布、抗菌药物不同部门使用分布情况、抗菌药物越级使用情况、特殊级抗菌药物审批通过率、一类切口手术预防使用抗菌药物情况、越级抗菌药物使用例数、特殊级抗菌药物审批通过例数、一类切口手术抗菌药物指标分析功能；</w:t>
            </w:r>
            <w:r>
              <w:rPr>
                <w:rFonts w:ascii="宋体" w:hAnsi="宋体"/>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二、输血相关指标</w:t>
            </w:r>
          </w:p>
        </w:tc>
        <w:tc>
          <w:tcPr>
            <w:tcW w:w="5807" w:type="dxa"/>
            <w:vAlign w:val="center"/>
          </w:tcPr>
          <w:p>
            <w:pPr>
              <w:rPr>
                <w:rFonts w:ascii="宋体" w:hAnsi="宋体"/>
                <w:color w:val="000000"/>
                <w:kern w:val="0"/>
                <w:szCs w:val="21"/>
              </w:rPr>
            </w:pPr>
            <w:r>
              <w:rPr>
                <w:rFonts w:hint="eastAsia" w:ascii="宋体" w:hAnsi="宋体"/>
                <w:color w:val="000000"/>
                <w:kern w:val="0"/>
                <w:szCs w:val="21"/>
              </w:rPr>
              <w:t>（1）输血综合分析</w:t>
            </w:r>
          </w:p>
          <w:p>
            <w:pPr>
              <w:rPr>
                <w:rFonts w:ascii="宋体" w:hAnsi="宋体"/>
                <w:color w:val="000000"/>
                <w:kern w:val="0"/>
                <w:szCs w:val="21"/>
              </w:rPr>
            </w:pPr>
            <w:r>
              <w:rPr>
                <w:rFonts w:hint="eastAsia" w:ascii="宋体" w:hAnsi="宋体"/>
                <w:color w:val="000000"/>
                <w:kern w:val="0"/>
                <w:szCs w:val="21"/>
              </w:rPr>
              <w:t>（2）输血疗效分析</w:t>
            </w:r>
          </w:p>
          <w:p>
            <w:pPr>
              <w:rPr>
                <w:rFonts w:ascii="宋体" w:hAnsi="宋体"/>
                <w:color w:val="000000"/>
                <w:kern w:val="0"/>
                <w:szCs w:val="21"/>
              </w:rPr>
            </w:pPr>
            <w:r>
              <w:rPr>
                <w:rFonts w:hint="eastAsia" w:ascii="宋体" w:hAnsi="宋体"/>
                <w:color w:val="000000"/>
                <w:kern w:val="0"/>
                <w:szCs w:val="21"/>
              </w:rPr>
              <w:t>（3） 输血病历质控</w:t>
            </w:r>
          </w:p>
          <w:p>
            <w:pPr>
              <w:rPr>
                <w:rFonts w:ascii="宋体" w:hAnsi="宋体"/>
                <w:color w:val="000000"/>
                <w:kern w:val="0"/>
                <w:szCs w:val="21"/>
              </w:rPr>
            </w:pPr>
            <w:r>
              <w:rPr>
                <w:rFonts w:hint="eastAsia" w:ascii="宋体" w:hAnsi="宋体"/>
                <w:color w:val="000000"/>
                <w:kern w:val="0"/>
                <w:szCs w:val="21"/>
              </w:rPr>
              <w:t>（4）输血不良反应分析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三、危急值相关指标</w:t>
            </w:r>
          </w:p>
        </w:tc>
        <w:tc>
          <w:tcPr>
            <w:tcW w:w="5807" w:type="dxa"/>
            <w:vAlign w:val="center"/>
          </w:tcPr>
          <w:p>
            <w:pPr>
              <w:rPr>
                <w:rFonts w:ascii="宋体" w:hAnsi="宋体"/>
                <w:color w:val="000000"/>
                <w:kern w:val="0"/>
                <w:szCs w:val="21"/>
              </w:rPr>
            </w:pPr>
            <w:r>
              <w:rPr>
                <w:rFonts w:hint="eastAsia" w:ascii="宋体" w:hAnsi="宋体"/>
                <w:color w:val="000000"/>
                <w:kern w:val="0"/>
                <w:szCs w:val="21"/>
              </w:rPr>
              <w:t>（1）危急值综合分析</w:t>
            </w:r>
          </w:p>
          <w:p>
            <w:pPr>
              <w:rPr>
                <w:rFonts w:ascii="宋体" w:hAnsi="宋体"/>
                <w:color w:val="000000"/>
                <w:kern w:val="0"/>
                <w:szCs w:val="21"/>
              </w:rPr>
            </w:pPr>
            <w:r>
              <w:rPr>
                <w:rFonts w:hint="eastAsia" w:ascii="宋体" w:hAnsi="宋体"/>
                <w:color w:val="000000"/>
                <w:kern w:val="0"/>
                <w:szCs w:val="21"/>
              </w:rPr>
              <w:t>（2）危急值及时性分析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四、会诊相关指标</w:t>
            </w:r>
          </w:p>
        </w:tc>
        <w:tc>
          <w:tcPr>
            <w:tcW w:w="5807" w:type="dxa"/>
            <w:vAlign w:val="center"/>
          </w:tcPr>
          <w:p>
            <w:pPr>
              <w:rPr>
                <w:rFonts w:ascii="宋体" w:hAnsi="宋体"/>
                <w:color w:val="000000"/>
                <w:kern w:val="0"/>
                <w:szCs w:val="21"/>
              </w:rPr>
            </w:pPr>
            <w:r>
              <w:rPr>
                <w:rFonts w:hint="eastAsia" w:ascii="宋体" w:hAnsi="宋体"/>
                <w:color w:val="000000"/>
                <w:kern w:val="0"/>
                <w:szCs w:val="21"/>
              </w:rPr>
              <w:t>（1）会诊综合分析</w:t>
            </w:r>
          </w:p>
          <w:p>
            <w:pPr>
              <w:rPr>
                <w:rFonts w:ascii="宋体" w:hAnsi="宋体"/>
                <w:color w:val="000000"/>
                <w:kern w:val="0"/>
                <w:szCs w:val="21"/>
              </w:rPr>
            </w:pPr>
            <w:r>
              <w:rPr>
                <w:rFonts w:hint="eastAsia" w:ascii="宋体" w:hAnsi="宋体"/>
                <w:color w:val="000000"/>
                <w:kern w:val="0"/>
                <w:szCs w:val="21"/>
              </w:rPr>
              <w:t>（2）会诊及时率</w:t>
            </w:r>
          </w:p>
          <w:p>
            <w:pPr>
              <w:rPr>
                <w:rFonts w:ascii="宋体" w:hAnsi="宋体"/>
                <w:color w:val="000000"/>
                <w:kern w:val="0"/>
                <w:szCs w:val="21"/>
              </w:rPr>
            </w:pPr>
            <w:r>
              <w:rPr>
                <w:rFonts w:hint="eastAsia" w:ascii="宋体" w:hAnsi="宋体"/>
                <w:color w:val="000000"/>
                <w:kern w:val="0"/>
                <w:szCs w:val="21"/>
              </w:rPr>
              <w:t>（3）会诊明细</w:t>
            </w:r>
          </w:p>
          <w:p>
            <w:pPr>
              <w:rPr>
                <w:rFonts w:ascii="宋体" w:hAnsi="宋体"/>
                <w:color w:val="000000"/>
                <w:kern w:val="0"/>
                <w:szCs w:val="21"/>
              </w:rPr>
            </w:pPr>
            <w:r>
              <w:rPr>
                <w:rFonts w:hint="eastAsia" w:ascii="宋体" w:hAnsi="宋体"/>
                <w:color w:val="000000"/>
                <w:kern w:val="0"/>
                <w:szCs w:val="21"/>
              </w:rPr>
              <w:t>（4）会诊评估情况统计分析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五、手术相关指标</w:t>
            </w:r>
          </w:p>
        </w:tc>
        <w:tc>
          <w:tcPr>
            <w:tcW w:w="5807" w:type="dxa"/>
            <w:vAlign w:val="center"/>
          </w:tcPr>
          <w:p>
            <w:r>
              <w:rPr>
                <w:rFonts w:hint="eastAsia"/>
              </w:rPr>
              <w:t>系统支持提供各级手术开展情况、手术患者死亡情况、各级手术例数以及死亡例数、重点手术开展情况、术后并发症发生率、非计划再次手术例数占比、手术开展例数TOP10科室医生指标分析功能；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2268" w:type="dxa"/>
            <w:vAlign w:val="center"/>
          </w:tcPr>
          <w:p>
            <w:pPr>
              <w:rPr>
                <w:rFonts w:ascii="宋体" w:hAnsi="宋体"/>
                <w:color w:val="000000"/>
                <w:kern w:val="0"/>
                <w:szCs w:val="21"/>
              </w:rPr>
            </w:pPr>
            <w:r>
              <w:rPr>
                <w:rFonts w:hint="eastAsia" w:ascii="宋体" w:hAnsi="宋体"/>
                <w:color w:val="000000"/>
                <w:kern w:val="0"/>
                <w:szCs w:val="21"/>
              </w:rPr>
              <w:t>六、病历质控相关指标</w:t>
            </w:r>
          </w:p>
        </w:tc>
        <w:tc>
          <w:tcPr>
            <w:tcW w:w="5807" w:type="dxa"/>
            <w:vAlign w:val="center"/>
          </w:tcPr>
          <w:p>
            <w:pPr>
              <w:rPr>
                <w:rFonts w:ascii="宋体" w:hAnsi="宋体"/>
                <w:color w:val="000000"/>
                <w:kern w:val="0"/>
                <w:szCs w:val="21"/>
              </w:rPr>
            </w:pPr>
            <w:r>
              <w:rPr>
                <w:rFonts w:hint="eastAsia" w:ascii="宋体" w:hAnsi="宋体"/>
                <w:color w:val="000000"/>
                <w:kern w:val="0"/>
                <w:szCs w:val="21"/>
              </w:rPr>
              <w:t>系统支持提供抽检病历数、缺陷病历数、丙级病历数、丙级病历率、病历时效性分析、院级质控情况、病历质控具体缺陷前10项、丙级率、丙级率原因分析、丙级率前五科室、丙级率前五医生指标分析功能。</w:t>
            </w:r>
          </w:p>
        </w:tc>
      </w:tr>
    </w:tbl>
    <w:p/>
    <w:p>
      <w:pPr>
        <w:pStyle w:val="3"/>
        <w:rPr>
          <w:sz w:val="28"/>
          <w:szCs w:val="28"/>
        </w:rPr>
      </w:pPr>
      <w:r>
        <w:rPr>
          <w:sz w:val="28"/>
          <w:szCs w:val="28"/>
        </w:rPr>
        <w:t>8</w:t>
      </w:r>
      <w:r>
        <w:rPr>
          <w:rFonts w:hint="eastAsia"/>
          <w:sz w:val="28"/>
          <w:szCs w:val="28"/>
        </w:rPr>
        <w:t>.互联互通程度测评指标分析系统（四甲）</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60"/>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7" w:hRule="atLeast"/>
        </w:trPr>
        <w:tc>
          <w:tcPr>
            <w:tcW w:w="1560"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515"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560" w:type="dxa"/>
            <w:vMerge w:val="restart"/>
            <w:vAlign w:val="center"/>
          </w:tcPr>
          <w:p>
            <w:pPr>
              <w:jc w:val="center"/>
              <w:rPr>
                <w:rFonts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w:t>
            </w:r>
            <w:r>
              <w:rPr>
                <w:rFonts w:hint="eastAsia" w:ascii="宋体" w:hAnsi="宋体"/>
                <w:color w:val="000000"/>
                <w:kern w:val="0"/>
                <w:szCs w:val="21"/>
              </w:rPr>
              <w:t>指标要求</w:t>
            </w:r>
          </w:p>
        </w:tc>
        <w:tc>
          <w:tcPr>
            <w:tcW w:w="6515" w:type="dxa"/>
            <w:vAlign w:val="center"/>
          </w:tcPr>
          <w:p>
            <w:pPr>
              <w:rPr>
                <w:rFonts w:ascii="宋体" w:hAnsi="宋体"/>
                <w:color w:val="000000"/>
                <w:kern w:val="0"/>
                <w:szCs w:val="21"/>
              </w:rPr>
            </w:pPr>
            <w:r>
              <w:rPr>
                <w:rFonts w:hint="eastAsia" w:ascii="宋体" w:hAnsi="宋体"/>
                <w:color w:val="000000"/>
                <w:kern w:val="0"/>
                <w:szCs w:val="21"/>
              </w:rPr>
              <w:t>一、公众服务应用系统建设情况及利用情况指标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560" w:type="dxa"/>
            <w:vMerge w:val="continue"/>
            <w:vAlign w:val="center"/>
          </w:tcPr>
          <w:p>
            <w:pPr>
              <w:rPr>
                <w:rFonts w:ascii="宋体" w:hAnsi="宋体"/>
                <w:color w:val="000000"/>
                <w:kern w:val="0"/>
                <w:szCs w:val="21"/>
              </w:rPr>
            </w:pPr>
          </w:p>
        </w:tc>
        <w:tc>
          <w:tcPr>
            <w:tcW w:w="6515" w:type="dxa"/>
            <w:vAlign w:val="center"/>
          </w:tcPr>
          <w:p>
            <w:pPr>
              <w:rPr>
                <w:rFonts w:ascii="宋体" w:hAnsi="宋体"/>
                <w:color w:val="000000"/>
                <w:kern w:val="0"/>
                <w:szCs w:val="21"/>
              </w:rPr>
            </w:pPr>
            <w:r>
              <w:rPr>
                <w:rFonts w:hint="eastAsia" w:ascii="宋体" w:hAnsi="宋体"/>
                <w:color w:val="000000"/>
                <w:kern w:val="0"/>
                <w:szCs w:val="21"/>
              </w:rPr>
              <w:t>二、医疗服务应用系统建设情况及利用情况指标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560" w:type="dxa"/>
            <w:vMerge w:val="continue"/>
            <w:vAlign w:val="center"/>
          </w:tcPr>
          <w:p>
            <w:pPr>
              <w:rPr>
                <w:rFonts w:ascii="宋体" w:hAnsi="宋体"/>
                <w:color w:val="000000"/>
                <w:kern w:val="0"/>
                <w:szCs w:val="21"/>
              </w:rPr>
            </w:pPr>
          </w:p>
        </w:tc>
        <w:tc>
          <w:tcPr>
            <w:tcW w:w="6515" w:type="dxa"/>
            <w:vAlign w:val="center"/>
          </w:tcPr>
          <w:p>
            <w:pPr>
              <w:rPr>
                <w:rFonts w:ascii="宋体" w:hAnsi="宋体"/>
                <w:color w:val="000000"/>
                <w:kern w:val="0"/>
                <w:szCs w:val="21"/>
              </w:rPr>
            </w:pPr>
            <w:r>
              <w:rPr>
                <w:rFonts w:hint="eastAsia" w:ascii="宋体" w:hAnsi="宋体"/>
                <w:color w:val="000000"/>
                <w:kern w:val="0"/>
                <w:szCs w:val="21"/>
              </w:rPr>
              <w:t>三、卫生管理应用系统建设情况及利用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560" w:type="dxa"/>
            <w:vMerge w:val="continue"/>
            <w:vAlign w:val="center"/>
          </w:tcPr>
          <w:p>
            <w:pPr>
              <w:rPr>
                <w:rFonts w:ascii="宋体" w:hAnsi="宋体"/>
                <w:color w:val="000000"/>
                <w:kern w:val="0"/>
                <w:szCs w:val="21"/>
              </w:rPr>
            </w:pPr>
          </w:p>
        </w:tc>
        <w:tc>
          <w:tcPr>
            <w:tcW w:w="6515" w:type="dxa"/>
            <w:vAlign w:val="center"/>
          </w:tcPr>
          <w:p>
            <w:r>
              <w:rPr>
                <w:rFonts w:hint="eastAsia"/>
              </w:rPr>
              <w:t>四、基于平台的内部连通业务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560" w:type="dxa"/>
            <w:vMerge w:val="continue"/>
            <w:vAlign w:val="center"/>
          </w:tcPr>
          <w:p>
            <w:pPr>
              <w:rPr>
                <w:rFonts w:ascii="宋体" w:hAnsi="宋体"/>
                <w:color w:val="000000"/>
                <w:kern w:val="0"/>
                <w:szCs w:val="21"/>
              </w:rPr>
            </w:pPr>
          </w:p>
        </w:tc>
        <w:tc>
          <w:tcPr>
            <w:tcW w:w="6515" w:type="dxa"/>
            <w:vAlign w:val="center"/>
          </w:tcPr>
          <w:p>
            <w:pPr>
              <w:rPr>
                <w:rFonts w:ascii="宋体" w:hAnsi="宋体"/>
                <w:color w:val="000000"/>
                <w:kern w:val="0"/>
                <w:szCs w:val="21"/>
              </w:rPr>
            </w:pPr>
            <w:r>
              <w:rPr>
                <w:rFonts w:hint="eastAsia" w:ascii="宋体" w:hAnsi="宋体"/>
                <w:color w:val="000000"/>
                <w:kern w:val="0"/>
                <w:szCs w:val="21"/>
              </w:rPr>
              <w:t>五、基于平台的外部连通业务</w:t>
            </w:r>
          </w:p>
        </w:tc>
      </w:tr>
    </w:tbl>
    <w:p/>
    <w:p>
      <w:pPr>
        <w:pStyle w:val="3"/>
        <w:rPr>
          <w:sz w:val="28"/>
          <w:szCs w:val="28"/>
        </w:rPr>
      </w:pPr>
      <w:r>
        <w:rPr>
          <w:sz w:val="28"/>
          <w:szCs w:val="28"/>
        </w:rPr>
        <w:t>9</w:t>
      </w:r>
      <w:r>
        <w:rPr>
          <w:rFonts w:hint="eastAsia"/>
          <w:sz w:val="28"/>
          <w:szCs w:val="28"/>
        </w:rPr>
        <w:t>.闭环环组分析系统</w:t>
      </w:r>
    </w:p>
    <w:tbl>
      <w:tblPr>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5"/>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1985"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技术功能模块</w:t>
            </w:r>
          </w:p>
        </w:tc>
        <w:tc>
          <w:tcPr>
            <w:tcW w:w="6090" w:type="dxa"/>
            <w:shd w:val="clear" w:color="auto" w:fill="D9D9D9"/>
            <w:vAlign w:val="center"/>
          </w:tcPr>
          <w:p>
            <w:pPr>
              <w:widowControl/>
              <w:jc w:val="center"/>
              <w:rPr>
                <w:rFonts w:ascii="宋体" w:hAnsi="宋体"/>
                <w:b/>
                <w:bCs/>
                <w:color w:val="000000"/>
                <w:kern w:val="0"/>
                <w:sz w:val="22"/>
              </w:rPr>
            </w:pPr>
            <w:r>
              <w:rPr>
                <w:rFonts w:hint="eastAsia" w:ascii="宋体" w:hAnsi="宋体"/>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jc w:val="center"/>
              <w:rPr>
                <w:rFonts w:ascii="宋体" w:hAnsi="宋体"/>
                <w:color w:val="000000"/>
                <w:kern w:val="0"/>
                <w:szCs w:val="21"/>
              </w:rPr>
            </w:pPr>
            <w:r>
              <w:rPr>
                <w:rFonts w:hint="eastAsia" w:ascii="宋体" w:hAnsi="宋体"/>
                <w:color w:val="000000"/>
                <w:kern w:val="0"/>
                <w:szCs w:val="21"/>
              </w:rPr>
              <w:t>9.</w:t>
            </w:r>
            <w:r>
              <w:rPr>
                <w:rFonts w:ascii="宋体" w:hAnsi="宋体"/>
                <w:color w:val="000000"/>
                <w:kern w:val="0"/>
                <w:szCs w:val="21"/>
              </w:rPr>
              <w:t>1</w:t>
            </w:r>
            <w:r>
              <w:rPr>
                <w:rFonts w:hint="eastAsia" w:ascii="宋体" w:hAnsi="宋体"/>
                <w:color w:val="000000"/>
                <w:kern w:val="0"/>
                <w:szCs w:val="21"/>
              </w:rPr>
              <w:t>业务流程管理</w:t>
            </w:r>
          </w:p>
        </w:tc>
        <w:tc>
          <w:tcPr>
            <w:tcW w:w="6090" w:type="dxa"/>
            <w:vAlign w:val="center"/>
          </w:tcPr>
          <w:p>
            <w:pPr>
              <w:rPr>
                <w:rFonts w:ascii="宋体" w:hAnsi="宋体"/>
                <w:color w:val="000000"/>
                <w:kern w:val="0"/>
                <w:szCs w:val="21"/>
              </w:rPr>
            </w:pPr>
            <w:r>
              <w:rPr>
                <w:rFonts w:hint="eastAsia" w:ascii="宋体" w:hAnsi="宋体"/>
                <w:color w:val="000000"/>
                <w:kern w:val="0"/>
                <w:szCs w:val="21"/>
              </w:rPr>
              <w:t>1.业务配置：按照医院业务流程，配置业务闭环的不同流程及时间节点；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jc w:val="center"/>
              <w:rPr>
                <w:rFonts w:ascii="宋体" w:hAnsi="宋体"/>
                <w:color w:val="000000"/>
                <w:kern w:val="0"/>
                <w:szCs w:val="21"/>
              </w:rPr>
            </w:pPr>
            <w:r>
              <w:rPr>
                <w:rFonts w:hint="eastAsia" w:ascii="宋体" w:hAnsi="宋体"/>
                <w:color w:val="000000"/>
                <w:kern w:val="0"/>
                <w:szCs w:val="21"/>
              </w:rPr>
              <w:t>9.</w:t>
            </w:r>
            <w:r>
              <w:rPr>
                <w:rFonts w:ascii="宋体" w:hAnsi="宋体"/>
                <w:color w:val="000000"/>
                <w:kern w:val="0"/>
                <w:szCs w:val="21"/>
              </w:rPr>
              <w:t>2</w:t>
            </w:r>
            <w:r>
              <w:rPr>
                <w:rFonts w:hint="eastAsia" w:ascii="宋体" w:hAnsi="宋体"/>
                <w:color w:val="000000"/>
                <w:kern w:val="0"/>
                <w:szCs w:val="21"/>
              </w:rPr>
              <w:tab/>
            </w:r>
            <w:r>
              <w:rPr>
                <w:rFonts w:hint="eastAsia" w:ascii="宋体" w:hAnsi="宋体"/>
                <w:color w:val="000000"/>
                <w:kern w:val="0"/>
                <w:szCs w:val="21"/>
              </w:rPr>
              <w:t>指标管理</w:t>
            </w:r>
          </w:p>
        </w:tc>
        <w:tc>
          <w:tcPr>
            <w:tcW w:w="6090" w:type="dxa"/>
            <w:vAlign w:val="center"/>
          </w:tcPr>
          <w:p>
            <w:pPr>
              <w:rPr>
                <w:rFonts w:ascii="宋体" w:hAnsi="宋体"/>
                <w:color w:val="000000"/>
                <w:kern w:val="0"/>
                <w:szCs w:val="21"/>
              </w:rPr>
            </w:pPr>
            <w:r>
              <w:rPr>
                <w:rFonts w:hint="eastAsia" w:ascii="宋体" w:hAnsi="宋体"/>
                <w:color w:val="000000"/>
                <w:kern w:val="0"/>
                <w:szCs w:val="21"/>
              </w:rPr>
              <w:t>1.指标定义：按照不同的业务主题管理指标，并对业务指标定义统计口径、数据来源等；</w:t>
            </w:r>
          </w:p>
          <w:p>
            <w:pPr>
              <w:rPr>
                <w:rFonts w:ascii="宋体" w:hAnsi="宋体"/>
                <w:color w:val="000000"/>
                <w:kern w:val="0"/>
                <w:szCs w:val="21"/>
              </w:rPr>
            </w:pPr>
            <w:r>
              <w:rPr>
                <w:rFonts w:hint="eastAsia" w:ascii="宋体" w:hAnsi="宋体"/>
                <w:color w:val="000000"/>
                <w:kern w:val="0"/>
                <w:szCs w:val="21"/>
              </w:rPr>
              <w:t>2.指标阈值管理：支持设置指标的指标导向、目标值、有效期，并可根据不同科室需求分别设定目标值；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jc w:val="center"/>
              <w:rPr>
                <w:rFonts w:ascii="宋体" w:hAnsi="宋体"/>
                <w:color w:val="000000"/>
                <w:kern w:val="0"/>
                <w:szCs w:val="21"/>
              </w:rPr>
            </w:pPr>
            <w:r>
              <w:rPr>
                <w:rFonts w:hint="eastAsia" w:ascii="宋体" w:hAnsi="宋体"/>
                <w:color w:val="000000"/>
                <w:kern w:val="0"/>
                <w:szCs w:val="21"/>
              </w:rPr>
              <w:t>9.4</w:t>
            </w:r>
            <w:r>
              <w:rPr>
                <w:rFonts w:hint="eastAsia" w:ascii="宋体" w:hAnsi="宋体"/>
                <w:color w:val="000000"/>
                <w:kern w:val="0"/>
                <w:szCs w:val="21"/>
              </w:rPr>
              <w:tab/>
            </w:r>
            <w:r>
              <w:rPr>
                <w:rFonts w:hint="eastAsia" w:ascii="宋体" w:hAnsi="宋体"/>
                <w:color w:val="000000"/>
                <w:kern w:val="0"/>
                <w:szCs w:val="21"/>
              </w:rPr>
              <w:t>指标类型</w:t>
            </w:r>
          </w:p>
        </w:tc>
        <w:tc>
          <w:tcPr>
            <w:tcW w:w="6090" w:type="dxa"/>
            <w:vAlign w:val="center"/>
          </w:tcPr>
          <w:p>
            <w:pPr>
              <w:rPr>
                <w:rFonts w:ascii="宋体" w:hAnsi="宋体"/>
                <w:color w:val="000000"/>
                <w:kern w:val="0"/>
                <w:szCs w:val="21"/>
              </w:rPr>
            </w:pPr>
            <w:r>
              <w:rPr>
                <w:rFonts w:hint="eastAsia" w:ascii="宋体" w:hAnsi="宋体"/>
                <w:color w:val="000000"/>
                <w:kern w:val="0"/>
                <w:szCs w:val="21"/>
              </w:rPr>
              <w:t>1.临床业务指标</w:t>
            </w:r>
          </w:p>
          <w:p>
            <w:pPr>
              <w:rPr>
                <w:rFonts w:ascii="宋体" w:hAnsi="宋体"/>
                <w:color w:val="000000"/>
                <w:kern w:val="0"/>
                <w:szCs w:val="21"/>
              </w:rPr>
            </w:pPr>
            <w:r>
              <w:t xml:space="preserve">2. </w:t>
            </w:r>
            <w:r>
              <w:rPr>
                <w:rFonts w:hint="eastAsia"/>
              </w:rPr>
              <w:t>评级数据质量指标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restart"/>
            <w:vAlign w:val="center"/>
          </w:tcPr>
          <w:p>
            <w:pPr>
              <w:jc w:val="center"/>
              <w:rPr>
                <w:rFonts w:ascii="宋体" w:hAnsi="宋体"/>
                <w:color w:val="000000"/>
                <w:kern w:val="0"/>
                <w:szCs w:val="21"/>
              </w:rPr>
            </w:pPr>
            <w:r>
              <w:rPr>
                <w:rFonts w:hint="eastAsia" w:ascii="宋体" w:hAnsi="宋体"/>
                <w:color w:val="000000"/>
                <w:kern w:val="0"/>
                <w:szCs w:val="21"/>
              </w:rPr>
              <w:t>9.5指标分析</w:t>
            </w:r>
          </w:p>
        </w:tc>
        <w:tc>
          <w:tcPr>
            <w:tcW w:w="6090" w:type="dxa"/>
            <w:vAlign w:val="center"/>
          </w:tcPr>
          <w:p>
            <w:pPr>
              <w:rPr>
                <w:rFonts w:ascii="宋体" w:hAnsi="宋体"/>
                <w:color w:val="000000"/>
                <w:kern w:val="0"/>
                <w:szCs w:val="21"/>
              </w:rPr>
            </w:pPr>
            <w:r>
              <w:rPr>
                <w:rFonts w:hint="eastAsia" w:ascii="宋体" w:hAnsi="宋体"/>
                <w:color w:val="000000"/>
                <w:kern w:val="0"/>
                <w:szCs w:val="21"/>
              </w:rPr>
              <w:t>9.5.1指标查看</w:t>
            </w:r>
          </w:p>
          <w:p>
            <w:pPr>
              <w:rPr>
                <w:rFonts w:ascii="宋体" w:hAnsi="宋体"/>
                <w:color w:val="000000"/>
                <w:kern w:val="0"/>
                <w:szCs w:val="21"/>
              </w:rPr>
            </w:pPr>
            <w:r>
              <w:rPr>
                <w:rFonts w:hint="eastAsia" w:ascii="宋体" w:hAnsi="宋体"/>
                <w:color w:val="000000"/>
                <w:kern w:val="0"/>
                <w:szCs w:val="21"/>
              </w:rPr>
              <w:t>1.提供药品、检验、检查、输血、手术、治疗、会诊、危急值等业务闭环的闭环率及未闭环数据查询；</w:t>
            </w:r>
          </w:p>
          <w:p>
            <w:pPr>
              <w:rPr>
                <w:rFonts w:ascii="宋体" w:hAnsi="宋体"/>
                <w:color w:val="000000"/>
                <w:kern w:val="0"/>
                <w:szCs w:val="21"/>
              </w:rPr>
            </w:pPr>
            <w:r>
              <w:rPr>
                <w:rFonts w:hint="eastAsia" w:ascii="宋体" w:hAnsi="宋体"/>
                <w:color w:val="000000"/>
                <w:kern w:val="0"/>
                <w:szCs w:val="21"/>
              </w:rPr>
              <w:t>2.提供按照时间、院区、科室、患者来源（住院&amp;门诊）筛选各业务的闭环指标；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continue"/>
            <w:vAlign w:val="center"/>
          </w:tcPr>
          <w:p>
            <w:pPr>
              <w:jc w:val="center"/>
              <w:rPr>
                <w:rFonts w:ascii="宋体" w:hAnsi="宋体"/>
                <w:color w:val="000000"/>
                <w:kern w:val="0"/>
                <w:szCs w:val="21"/>
              </w:rPr>
            </w:pPr>
          </w:p>
        </w:tc>
        <w:tc>
          <w:tcPr>
            <w:tcW w:w="6090" w:type="dxa"/>
            <w:vAlign w:val="center"/>
          </w:tcPr>
          <w:p>
            <w:pPr>
              <w:rPr>
                <w:rFonts w:ascii="宋体" w:hAnsi="宋体"/>
                <w:color w:val="000000"/>
                <w:kern w:val="0"/>
                <w:szCs w:val="21"/>
              </w:rPr>
            </w:pPr>
            <w:r>
              <w:rPr>
                <w:rFonts w:hint="eastAsia" w:ascii="宋体" w:hAnsi="宋体"/>
                <w:color w:val="000000"/>
                <w:kern w:val="0"/>
                <w:szCs w:val="21"/>
              </w:rPr>
              <w:t>9.5.2指标对比</w:t>
            </w:r>
          </w:p>
          <w:p>
            <w:pPr>
              <w:rPr>
                <w:rFonts w:ascii="宋体" w:hAnsi="宋体"/>
                <w:color w:val="000000"/>
                <w:kern w:val="0"/>
                <w:szCs w:val="21"/>
              </w:rPr>
            </w:pPr>
            <w:r>
              <w:rPr>
                <w:rFonts w:hint="eastAsia" w:ascii="宋体" w:hAnsi="宋体"/>
                <w:color w:val="000000"/>
                <w:kern w:val="0"/>
                <w:szCs w:val="21"/>
              </w:rPr>
              <w:t>1.支持查看指标的同比、环比；</w:t>
            </w:r>
          </w:p>
          <w:p>
            <w:pPr>
              <w:rPr>
                <w:rFonts w:ascii="宋体" w:hAnsi="宋体"/>
                <w:color w:val="000000"/>
                <w:kern w:val="0"/>
                <w:szCs w:val="21"/>
              </w:rPr>
            </w:pPr>
            <w:r>
              <w:rPr>
                <w:rFonts w:hint="eastAsia" w:ascii="宋体" w:hAnsi="宋体"/>
                <w:color w:val="000000"/>
                <w:kern w:val="0"/>
                <w:szCs w:val="21"/>
              </w:rPr>
              <w:t>2.提供指标的目标值查看功能，支持各时间及各维度的指标与目标值的对比；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continue"/>
            <w:vAlign w:val="center"/>
          </w:tcPr>
          <w:p>
            <w:pPr>
              <w:jc w:val="center"/>
              <w:rPr>
                <w:rFonts w:ascii="宋体" w:hAnsi="宋体"/>
                <w:color w:val="000000"/>
                <w:kern w:val="0"/>
                <w:szCs w:val="21"/>
              </w:rPr>
            </w:pPr>
          </w:p>
        </w:tc>
        <w:tc>
          <w:tcPr>
            <w:tcW w:w="6090" w:type="dxa"/>
            <w:vAlign w:val="center"/>
          </w:tcPr>
          <w:p>
            <w:pPr>
              <w:rPr>
                <w:rFonts w:ascii="宋体" w:hAnsi="宋体"/>
                <w:color w:val="000000"/>
                <w:kern w:val="0"/>
                <w:szCs w:val="21"/>
              </w:rPr>
            </w:pPr>
            <w:r>
              <w:rPr>
                <w:rFonts w:hint="eastAsia" w:ascii="宋体" w:hAnsi="宋体"/>
                <w:color w:val="000000"/>
                <w:kern w:val="0"/>
                <w:szCs w:val="21"/>
              </w:rPr>
              <w:t>9.5.3指标下钻</w:t>
            </w:r>
          </w:p>
          <w:p>
            <w:pPr>
              <w:rPr>
                <w:rFonts w:ascii="宋体" w:hAnsi="宋体"/>
                <w:color w:val="000000"/>
                <w:kern w:val="0"/>
                <w:szCs w:val="21"/>
              </w:rPr>
            </w:pPr>
            <w:r>
              <w:rPr>
                <w:rFonts w:hint="eastAsia" w:ascii="宋体" w:hAnsi="宋体"/>
                <w:color w:val="000000"/>
                <w:kern w:val="0"/>
                <w:szCs w:val="21"/>
              </w:rPr>
              <w:t>1.提供指标不同维度下钻功能，支持查看该指标在不同时间、科室、诊疗组、执行人维度的情况；</w:t>
            </w:r>
          </w:p>
          <w:p>
            <w:pPr>
              <w:rPr>
                <w:rFonts w:ascii="宋体" w:hAnsi="宋体"/>
                <w:color w:val="000000"/>
                <w:kern w:val="0"/>
                <w:szCs w:val="21"/>
              </w:rPr>
            </w:pPr>
            <w:r>
              <w:rPr>
                <w:rFonts w:hint="eastAsia" w:ascii="宋体" w:hAnsi="宋体"/>
                <w:color w:val="000000"/>
                <w:kern w:val="0"/>
                <w:szCs w:val="21"/>
              </w:rPr>
              <w:t>2.提供指标下钻至数据明细，支持定位影响指标达标的详细执行数据，并可根据执行状态、执行人、医嘱内容等筛选；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continue"/>
            <w:vAlign w:val="center"/>
          </w:tcPr>
          <w:p>
            <w:pPr>
              <w:jc w:val="center"/>
              <w:rPr>
                <w:rFonts w:ascii="宋体" w:hAnsi="宋体"/>
                <w:color w:val="000000"/>
                <w:kern w:val="0"/>
                <w:szCs w:val="21"/>
              </w:rPr>
            </w:pPr>
          </w:p>
        </w:tc>
        <w:tc>
          <w:tcPr>
            <w:tcW w:w="6090" w:type="dxa"/>
            <w:vAlign w:val="center"/>
          </w:tcPr>
          <w:p>
            <w:pPr>
              <w:rPr>
                <w:rFonts w:ascii="宋体" w:hAnsi="宋体"/>
                <w:color w:val="000000"/>
                <w:kern w:val="0"/>
                <w:szCs w:val="21"/>
              </w:rPr>
            </w:pPr>
            <w:r>
              <w:rPr>
                <w:rFonts w:hint="eastAsia" w:ascii="宋体" w:hAnsi="宋体"/>
                <w:color w:val="000000"/>
                <w:kern w:val="0"/>
                <w:szCs w:val="21"/>
              </w:rPr>
              <w:t>9.5.4指标分析</w:t>
            </w:r>
          </w:p>
          <w:p>
            <w:pPr>
              <w:rPr>
                <w:rFonts w:ascii="宋体" w:hAnsi="宋体"/>
                <w:color w:val="000000"/>
                <w:kern w:val="0"/>
                <w:szCs w:val="21"/>
              </w:rPr>
            </w:pPr>
            <w:r>
              <w:rPr>
                <w:rFonts w:hint="eastAsia" w:ascii="宋体" w:hAnsi="宋体"/>
                <w:color w:val="000000"/>
                <w:kern w:val="0"/>
                <w:szCs w:val="21"/>
              </w:rPr>
              <w:t>1.支持对指标不达标情况进行分析，指出指标不达标原因并提供改进措施建议；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continue"/>
            <w:vAlign w:val="center"/>
          </w:tcPr>
          <w:p>
            <w:pPr>
              <w:jc w:val="center"/>
              <w:rPr>
                <w:rFonts w:ascii="宋体" w:hAnsi="宋体"/>
                <w:color w:val="000000"/>
                <w:kern w:val="0"/>
                <w:szCs w:val="21"/>
              </w:rPr>
            </w:pPr>
          </w:p>
        </w:tc>
        <w:tc>
          <w:tcPr>
            <w:tcW w:w="6090" w:type="dxa"/>
            <w:vAlign w:val="center"/>
          </w:tcPr>
          <w:p>
            <w:pPr>
              <w:rPr>
                <w:rFonts w:ascii="宋体" w:hAnsi="宋体"/>
                <w:color w:val="000000"/>
                <w:kern w:val="0"/>
                <w:szCs w:val="21"/>
              </w:rPr>
            </w:pPr>
            <w:r>
              <w:rPr>
                <w:rFonts w:hint="eastAsia" w:ascii="宋体" w:hAnsi="宋体"/>
                <w:color w:val="000000"/>
                <w:kern w:val="0"/>
                <w:szCs w:val="21"/>
              </w:rPr>
              <w:t>9.5.5指标预测</w:t>
            </w:r>
          </w:p>
          <w:p>
            <w:pPr>
              <w:rPr>
                <w:rFonts w:ascii="宋体" w:hAnsi="宋体"/>
                <w:color w:val="000000"/>
                <w:kern w:val="0"/>
                <w:szCs w:val="21"/>
              </w:rPr>
            </w:pPr>
            <w:r>
              <w:rPr>
                <w:rFonts w:hint="eastAsia" w:ascii="宋体" w:hAnsi="宋体"/>
                <w:color w:val="000000"/>
                <w:kern w:val="0"/>
                <w:szCs w:val="21"/>
              </w:rPr>
              <w:t>1.提供指标预测功能，通过对现有数据采集，结合数据分析，对指标的趋势进行预测合理区间；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Merge w:val="continue"/>
            <w:vAlign w:val="center"/>
          </w:tcPr>
          <w:p>
            <w:pPr>
              <w:jc w:val="center"/>
              <w:rPr>
                <w:rFonts w:ascii="宋体" w:hAnsi="宋体"/>
                <w:color w:val="000000"/>
                <w:kern w:val="0"/>
                <w:szCs w:val="21"/>
              </w:rPr>
            </w:pPr>
          </w:p>
        </w:tc>
        <w:tc>
          <w:tcPr>
            <w:tcW w:w="6090" w:type="dxa"/>
            <w:vAlign w:val="center"/>
          </w:tcPr>
          <w:p>
            <w:pPr>
              <w:rPr>
                <w:rFonts w:ascii="宋体" w:hAnsi="宋体"/>
                <w:color w:val="000000"/>
                <w:kern w:val="0"/>
                <w:szCs w:val="21"/>
              </w:rPr>
            </w:pPr>
            <w:r>
              <w:rPr>
                <w:rFonts w:hint="eastAsia" w:ascii="宋体" w:hAnsi="宋体"/>
                <w:color w:val="000000"/>
                <w:kern w:val="0"/>
                <w:szCs w:val="21"/>
              </w:rPr>
              <w:t>9.5.6指标预警</w:t>
            </w:r>
          </w:p>
          <w:p>
            <w:pPr>
              <w:rPr>
                <w:rFonts w:ascii="宋体" w:hAnsi="宋体"/>
                <w:color w:val="000000"/>
                <w:kern w:val="0"/>
                <w:szCs w:val="21"/>
              </w:rPr>
            </w:pPr>
            <w:r>
              <w:rPr>
                <w:rFonts w:hint="eastAsia" w:ascii="宋体" w:hAnsi="宋体"/>
                <w:color w:val="000000"/>
                <w:kern w:val="0"/>
                <w:szCs w:val="21"/>
              </w:rPr>
              <w:t>1.指标警示；支持对已设置关注的指标值超越或低于阈值时，及时通知指标关注者；</w:t>
            </w:r>
          </w:p>
          <w:p>
            <w:pPr>
              <w:rPr>
                <w:rFonts w:ascii="宋体" w:hAnsi="宋体"/>
                <w:color w:val="000000"/>
                <w:kern w:val="0"/>
                <w:szCs w:val="21"/>
              </w:rPr>
            </w:pPr>
            <w:r>
              <w:rPr>
                <w:rFonts w:hint="eastAsia" w:ascii="宋体" w:hAnsi="宋体"/>
                <w:color w:val="000000"/>
                <w:kern w:val="0"/>
                <w:szCs w:val="21"/>
              </w:rPr>
              <w:t>2.指标预警：支持对通过现有数据预测的未来指标值超越或低于阈值时，及时通知指标关注者。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4" w:hRule="atLeast"/>
        </w:trPr>
        <w:tc>
          <w:tcPr>
            <w:tcW w:w="1985" w:type="dxa"/>
            <w:vAlign w:val="center"/>
          </w:tcPr>
          <w:p>
            <w:pPr>
              <w:jc w:val="center"/>
              <w:rPr>
                <w:rFonts w:ascii="宋体" w:hAnsi="宋体"/>
                <w:color w:val="000000"/>
                <w:kern w:val="0"/>
                <w:szCs w:val="21"/>
              </w:rPr>
            </w:pPr>
            <w:r>
              <w:rPr>
                <w:rFonts w:hint="eastAsia" w:ascii="宋体" w:hAnsi="宋体"/>
                <w:color w:val="000000"/>
                <w:kern w:val="0"/>
                <w:szCs w:val="21"/>
              </w:rPr>
              <w:t>9</w:t>
            </w:r>
            <w:r>
              <w:rPr>
                <w:rFonts w:ascii="宋体" w:hAnsi="宋体"/>
                <w:color w:val="000000"/>
                <w:kern w:val="0"/>
                <w:szCs w:val="21"/>
              </w:rPr>
              <w:t>.6</w:t>
            </w:r>
            <w:r>
              <w:rPr>
                <w:rFonts w:hint="eastAsia" w:ascii="宋体" w:hAnsi="宋体"/>
                <w:color w:val="000000"/>
                <w:kern w:val="0"/>
                <w:szCs w:val="21"/>
              </w:rPr>
              <w:t>指标闭环</w:t>
            </w:r>
          </w:p>
        </w:tc>
        <w:tc>
          <w:tcPr>
            <w:tcW w:w="6090" w:type="dxa"/>
            <w:vAlign w:val="center"/>
          </w:tcPr>
          <w:p>
            <w:pPr>
              <w:rPr>
                <w:rFonts w:ascii="宋体" w:hAnsi="宋体"/>
                <w:color w:val="000000"/>
                <w:kern w:val="0"/>
                <w:szCs w:val="21"/>
              </w:rPr>
            </w:pPr>
            <w:r>
              <w:rPr>
                <w:rFonts w:hint="eastAsia" w:ascii="宋体" w:hAnsi="宋体"/>
                <w:color w:val="000000"/>
                <w:kern w:val="0"/>
                <w:szCs w:val="21"/>
              </w:rPr>
              <w:t>1.提供指标的闭环管理功能。支持使用者对发现的指标问题进行反馈，责任部门接收数据质量问题并予以回复，反馈人接收消息并确认问题解决状态。</w:t>
            </w:r>
          </w:p>
        </w:tc>
      </w:tr>
    </w:tbl>
    <w:p/>
    <w:p>
      <w:pPr>
        <w:keepNext/>
        <w:widowControl/>
        <w:numPr>
          <w:ilvl w:val="0"/>
          <w:numId w:val="1"/>
        </w:numPr>
        <w:shd w:val="clear" w:color="auto" w:fill="FFFFFF"/>
        <w:autoSpaceDE w:val="0"/>
        <w:spacing w:before="120" w:after="120"/>
        <w:ind w:left="420" w:hanging="420"/>
        <w:rPr>
          <w:rFonts w:hint="eastAsia"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包2软件技术功能及服务要求</w:t>
      </w:r>
    </w:p>
    <w:p>
      <w:pPr>
        <w:pStyle w:val="3"/>
        <w:rPr>
          <w:sz w:val="28"/>
          <w:szCs w:val="28"/>
        </w:rPr>
      </w:pPr>
      <w:r>
        <w:rPr>
          <w:rFonts w:hint="eastAsia"/>
          <w:sz w:val="28"/>
          <w:szCs w:val="28"/>
        </w:rPr>
        <w:t>1.商业智能引擎（BI）功能要求</w:t>
      </w:r>
    </w:p>
    <w:tbl>
      <w:tblPr>
        <w:tblW w:w="97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40"/>
        <w:gridCol w:w="1930"/>
        <w:gridCol w:w="6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bookmarkStart w:id="0" w:name="OLE_LINK1"/>
            <w:r>
              <w:rPr>
                <w:rFonts w:hint="eastAsia" w:ascii="宋体" w:hAnsi="宋体" w:cs="宋体"/>
                <w:b/>
                <w:bCs/>
                <w:color w:val="000000"/>
                <w:kern w:val="0"/>
                <w:sz w:val="22"/>
                <w:szCs w:val="22"/>
              </w:rPr>
              <w:t>技术功能模块</w:t>
            </w:r>
          </w:p>
        </w:tc>
        <w:tc>
          <w:tcPr>
            <w:tcW w:w="65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olor w:val="000000"/>
                <w:kern w:val="0"/>
                <w:szCs w:val="21"/>
              </w:rPr>
              <w:t>服务器运行环境</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olor w:val="000000"/>
                <w:kern w:val="0"/>
                <w:szCs w:val="21"/>
              </w:rPr>
              <w:t>服务器运行环境</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(1)采用Java开发，具有良好的跨平台支持。</w:t>
            </w:r>
          </w:p>
          <w:p>
            <w:pPr>
              <w:widowControl/>
              <w:jc w:val="left"/>
              <w:textAlignment w:val="center"/>
              <w:rPr>
                <w:rFonts w:ascii="宋体" w:hAnsi="宋体" w:cs="宋体"/>
                <w:color w:val="000000"/>
                <w:szCs w:val="21"/>
              </w:rPr>
            </w:pPr>
            <w:r>
              <w:rPr>
                <w:rFonts w:hint="eastAsia" w:ascii="宋体" w:hAnsi="宋体"/>
                <w:color w:val="000000"/>
                <w:kern w:val="0"/>
                <w:szCs w:val="21"/>
              </w:rPr>
              <w:t>(2)兼容IE（9-11）、Chrome、Edge、火狐、360等主流浏览器。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3"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数据源</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数据源</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(1)支持多种数据连接方式，支持NOSQL。 </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)支持从excel、TXT、xml等文件中取数进行报表分析，内置数据集、关联数据集，支持视图和存储过程。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设计器</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设计器</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(1)即装即用。</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(2)支持多工作目录、远程设计，“低代码平台”在线更新升级。提供丰富的个性化功能插件，内置多种函数公式。。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)模板独立，支持对文件进行版本管理。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)支持设计器一键释放内存。支持异构数据源。支持数据钻取。提供决策报表设计功能。</w:t>
            </w:r>
            <w:r>
              <w:rPr>
                <w:rFonts w:ascii="宋体" w:hAnsi="宋体" w:cs="宋体"/>
                <w:color w:val="00000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打印与输出</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打印与输出</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(1)支持零客户端打印与本地“低代码平台”打印。</w:t>
            </w:r>
          </w:p>
          <w:p>
            <w:pPr>
              <w:widowControl/>
              <w:jc w:val="left"/>
              <w:textAlignment w:val="center"/>
              <w:rPr>
                <w:rFonts w:ascii="宋体" w:hAnsi="宋体" w:cs="宋体"/>
                <w:color w:val="000000"/>
                <w:szCs w:val="21"/>
              </w:rPr>
            </w:pPr>
            <w:r>
              <w:rPr>
                <w:rFonts w:hint="eastAsia" w:ascii="宋体" w:hAnsi="宋体" w:cs="宋体"/>
                <w:color w:val="000000"/>
                <w:kern w:val="0"/>
                <w:szCs w:val="21"/>
              </w:rPr>
              <w:t>(2)支持BS端文件导出。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3"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图表展现</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图表展现</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(1)提供自主研发的动态图表。支持对接第三方图表库，如echarts等。</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)提供丰富的图表动态交互操作，支持图表钻取。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5"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数据填报</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数据填报</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(1)填报采用先进的异步控件加载技术，支持大数据量的填报表。</w:t>
            </w:r>
          </w:p>
          <w:p>
            <w:pPr>
              <w:widowControl/>
              <w:jc w:val="left"/>
              <w:textAlignment w:val="center"/>
              <w:rPr>
                <w:rFonts w:ascii="宋体" w:hAnsi="宋体" w:cs="宋体"/>
                <w:color w:val="000000"/>
                <w:szCs w:val="21"/>
              </w:rPr>
            </w:pPr>
            <w:r>
              <w:rPr>
                <w:rFonts w:hint="eastAsia" w:ascii="宋体" w:hAnsi="宋体" w:cs="宋体"/>
                <w:color w:val="000000"/>
                <w:kern w:val="0"/>
                <w:szCs w:val="21"/>
              </w:rPr>
              <w:t>(2)支持多源填报。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0"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移动端展现</w:t>
            </w:r>
          </w:p>
        </w:tc>
        <w:tc>
          <w:tcPr>
            <w:tcW w:w="1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移动端展现</w:t>
            </w:r>
          </w:p>
        </w:tc>
        <w:tc>
          <w:tcPr>
            <w:tcW w:w="65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(1)支持不同移动设备屏幕的自适应展示。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(2)提供符合移动设备使用习惯的交互体验。</w:t>
            </w:r>
          </w:p>
          <w:p>
            <w:pPr>
              <w:widowControl/>
              <w:jc w:val="left"/>
              <w:textAlignment w:val="center"/>
              <w:rPr>
                <w:rFonts w:ascii="宋体" w:hAnsi="宋体" w:cs="宋体"/>
                <w:color w:val="000000"/>
                <w:szCs w:val="21"/>
              </w:rPr>
            </w:pPr>
            <w:r>
              <w:rPr>
                <w:rFonts w:hint="eastAsia" w:ascii="宋体" w:hAnsi="宋体" w:cs="宋体"/>
                <w:color w:val="000000"/>
                <w:kern w:val="0"/>
                <w:szCs w:val="21"/>
              </w:rPr>
              <w:t>(3)可在PC、移动端、大屏等设备上自适应展示。</w:t>
            </w:r>
          </w:p>
        </w:tc>
      </w:tr>
      <w:bookmarkEnd w:id="0"/>
    </w:tbl>
    <w:p/>
    <w:p>
      <w:pPr>
        <w:pStyle w:val="3"/>
        <w:rPr>
          <w:sz w:val="28"/>
          <w:szCs w:val="28"/>
        </w:rPr>
      </w:pPr>
      <w:r>
        <w:rPr>
          <w:sz w:val="28"/>
          <w:szCs w:val="28"/>
        </w:rPr>
        <w:t>2</w:t>
      </w:r>
      <w:r>
        <w:rPr>
          <w:rFonts w:hint="eastAsia"/>
          <w:sz w:val="28"/>
          <w:szCs w:val="28"/>
        </w:rPr>
        <w:t>.指标集管理系统</w:t>
      </w:r>
    </w:p>
    <w:tbl>
      <w:tblPr>
        <w:tblW w:w="977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22"/>
        <w:gridCol w:w="1928"/>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6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2"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指标分级管理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指标分级管理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支持对指标进行分级的定义与管理；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指标应用系统管理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指标应用系统管理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支持定义指标与各应用系统之间的关联关系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指标元定义管理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指标元定义管理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1.支持对指标基础属性进行管理；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2.系统支持指标管理状态进行设置；</w:t>
            </w:r>
          </w:p>
          <w:p>
            <w:pPr>
              <w:widowControl/>
              <w:jc w:val="left"/>
              <w:textAlignment w:val="center"/>
              <w:rPr>
                <w:rFonts w:ascii="宋体" w:hAnsi="宋体" w:cs="宋体"/>
                <w:color w:val="000000"/>
                <w:szCs w:val="21"/>
              </w:rPr>
            </w:pPr>
            <w:r>
              <w:rPr>
                <w:rFonts w:hint="eastAsia" w:ascii="宋体" w:hAnsi="宋体" w:cs="宋体"/>
                <w:color w:val="000000"/>
                <w:kern w:val="0"/>
                <w:szCs w:val="21"/>
              </w:rPr>
              <w:t>3.系统支持对指标医院管理相关属性进行设置；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2"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指标元查询管理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指标元查询管理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系统支持多维度条件对指标进行查询；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2"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指标元结构管理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指标元结构管理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系统支持对医院管理的指标进行指标树的生成；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指标元进度管理</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指标元进度管理</w:t>
            </w:r>
          </w:p>
        </w:tc>
        <w:tc>
          <w:tcPr>
            <w:tcW w:w="66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系统提供指标进度分析功能；</w:t>
            </w:r>
          </w:p>
          <w:p>
            <w:pPr>
              <w:widowControl/>
              <w:jc w:val="left"/>
              <w:textAlignment w:val="center"/>
              <w:rPr>
                <w:rFonts w:ascii="宋体" w:hAnsi="宋体" w:cs="宋体"/>
                <w:color w:val="000000"/>
                <w:szCs w:val="21"/>
              </w:rPr>
            </w:pPr>
            <w:r>
              <w:rPr>
                <w:rFonts w:hint="eastAsia" w:ascii="宋体" w:hAnsi="宋体" w:cs="宋体"/>
                <w:color w:val="000000"/>
                <w:kern w:val="0"/>
                <w:szCs w:val="21"/>
              </w:rPr>
              <w:t>系统提供指标使用详情分析功能；</w:t>
            </w:r>
          </w:p>
        </w:tc>
      </w:tr>
    </w:tbl>
    <w:p/>
    <w:p>
      <w:pPr>
        <w:pStyle w:val="3"/>
        <w:rPr>
          <w:sz w:val="28"/>
          <w:szCs w:val="28"/>
        </w:rPr>
      </w:pPr>
      <w:r>
        <w:rPr>
          <w:sz w:val="28"/>
          <w:szCs w:val="28"/>
        </w:rPr>
        <w:t>3</w:t>
      </w:r>
      <w:r>
        <w:rPr>
          <w:rFonts w:hint="eastAsia"/>
          <w:sz w:val="28"/>
          <w:szCs w:val="28"/>
        </w:rPr>
        <w:t>.指标订阅平台</w:t>
      </w:r>
    </w:p>
    <w:tbl>
      <w:tblPr>
        <w:tblW w:w="977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12"/>
        <w:gridCol w:w="1958"/>
        <w:gridCol w:w="6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6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04"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个人指标订阅</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个人指标订阅</w:t>
            </w:r>
          </w:p>
        </w:tc>
        <w:tc>
          <w:tcPr>
            <w:tcW w:w="66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（1）可添加关注数据；</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（2）可查看关注数据；</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（3）可撤销关注数据的关注；</w:t>
            </w:r>
          </w:p>
          <w:p>
            <w:pPr>
              <w:widowControl/>
              <w:jc w:val="left"/>
              <w:textAlignment w:val="center"/>
              <w:rPr>
                <w:rFonts w:ascii="宋体" w:hAnsi="宋体" w:cs="宋体"/>
                <w:color w:val="000000"/>
                <w:szCs w:val="21"/>
              </w:rPr>
            </w:pPr>
            <w:r>
              <w:rPr>
                <w:rFonts w:hint="eastAsia" w:ascii="宋体" w:hAnsi="宋体" w:cs="宋体"/>
                <w:color w:val="000000"/>
                <w:kern w:val="0"/>
                <w:szCs w:val="21"/>
              </w:rPr>
              <w:t>（4）支持根据个人习惯选择不同的指标图例进行展示；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5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部门指标订阅</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部门指标订阅</w:t>
            </w:r>
          </w:p>
        </w:tc>
        <w:tc>
          <w:tcPr>
            <w:tcW w:w="66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（1）管理人员可以进行指标的授权管理；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（2）被授权的部门人员可查看已经授权的指标；</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（3）各部门可订阅多种指标；</w:t>
            </w:r>
          </w:p>
          <w:p>
            <w:pPr>
              <w:widowControl/>
              <w:jc w:val="left"/>
              <w:textAlignment w:val="center"/>
              <w:rPr>
                <w:rFonts w:ascii="宋体" w:hAnsi="宋体" w:cs="宋体"/>
                <w:color w:val="000000"/>
                <w:szCs w:val="21"/>
              </w:rPr>
            </w:pPr>
            <w:r>
              <w:rPr>
                <w:rFonts w:hint="eastAsia" w:ascii="宋体" w:hAnsi="宋体" w:cs="宋体"/>
                <w:color w:val="000000"/>
                <w:kern w:val="0"/>
                <w:szCs w:val="21"/>
              </w:rPr>
              <w:t>（4）支持对已经关注的指标进行撤销关注的操作；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3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院级指标订阅</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院级指标订阅</w:t>
            </w:r>
          </w:p>
        </w:tc>
        <w:tc>
          <w:tcPr>
            <w:tcW w:w="66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（1）管理人员可以进行指标的授权管理；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（2）所有科室及行政部门可查看已经授权的指标；</w:t>
            </w:r>
          </w:p>
          <w:p>
            <w:pPr>
              <w:widowControl/>
              <w:jc w:val="left"/>
              <w:textAlignment w:val="center"/>
              <w:rPr>
                <w:rFonts w:ascii="宋体" w:hAnsi="宋体" w:cs="宋体"/>
                <w:color w:val="000000"/>
                <w:szCs w:val="21"/>
              </w:rPr>
            </w:pPr>
            <w:r>
              <w:rPr>
                <w:rFonts w:hint="eastAsia" w:ascii="宋体" w:hAnsi="宋体" w:cs="宋体"/>
                <w:color w:val="000000"/>
                <w:kern w:val="0"/>
                <w:szCs w:val="21"/>
              </w:rPr>
              <w:t>（3）可订阅多种指标。</w:t>
            </w:r>
          </w:p>
        </w:tc>
      </w:tr>
    </w:tbl>
    <w:p/>
    <w:p>
      <w:pPr>
        <w:pStyle w:val="3"/>
        <w:rPr>
          <w:sz w:val="28"/>
          <w:szCs w:val="28"/>
        </w:rPr>
      </w:pPr>
      <w:r>
        <w:rPr>
          <w:sz w:val="28"/>
          <w:szCs w:val="28"/>
        </w:rPr>
        <w:t>4</w:t>
      </w:r>
      <w:r>
        <w:rPr>
          <w:rFonts w:hint="eastAsia"/>
          <w:sz w:val="28"/>
          <w:szCs w:val="28"/>
        </w:rPr>
        <w:t>.三级医院评审指标(2020年版)</w:t>
      </w:r>
    </w:p>
    <w:tbl>
      <w:tblPr>
        <w:tblW w:w="9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02"/>
        <w:gridCol w:w="1958"/>
        <w:gridCol w:w="6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6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4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基本要求</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基本要求</w:t>
            </w:r>
          </w:p>
        </w:tc>
        <w:tc>
          <w:tcPr>
            <w:tcW w:w="64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1.满足国家《三级医院评审》（2020版）要求；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2.必须建立标准的、规范的指标数据集；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3.提供多种指标数据展示方式；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4.支持按照不同的年份、月份对各项指标进行统计分析；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5.支持对指标的同比进行分析；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6.支持对主要核心指标进行数据钻取分析；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7.对无法从业务系统中直接采集的数据，提供上报系统由业务科室进行填报，并支持后续统计；</w:t>
            </w:r>
          </w:p>
          <w:p>
            <w:pPr>
              <w:widowControl/>
              <w:jc w:val="left"/>
              <w:textAlignment w:val="center"/>
              <w:rPr>
                <w:rFonts w:ascii="宋体" w:hAnsi="宋体" w:cs="宋体"/>
                <w:color w:val="000000"/>
                <w:szCs w:val="21"/>
              </w:rPr>
            </w:pPr>
            <w:r>
              <w:rPr>
                <w:rFonts w:hint="eastAsia" w:ascii="宋体" w:hAnsi="宋体" w:cs="宋体"/>
                <w:color w:val="000000"/>
                <w:kern w:val="0"/>
                <w:szCs w:val="21"/>
              </w:rPr>
              <w:t>8.支持对用户的访问模块进行授权管理；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4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指标要求</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指标要求</w:t>
            </w:r>
          </w:p>
        </w:tc>
        <w:tc>
          <w:tcPr>
            <w:tcW w:w="64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按照三级医院评审标准对医疗服务能力与质量安全监测数据、资源配置与运行数据指标、医疗服务能力与医院质量安全指标、重点专业质量控制指标、单病种（术种）质量控制指标、重点医疗技术临床应用质量控制指标进行监控管理。</w:t>
            </w:r>
          </w:p>
        </w:tc>
      </w:tr>
    </w:tbl>
    <w:p/>
    <w:p>
      <w:pPr>
        <w:keepNext/>
        <w:keepLines/>
        <w:spacing w:before="260" w:after="260" w:line="416" w:lineRule="auto"/>
        <w:outlineLvl w:val="1"/>
        <w:rPr>
          <w:rFonts w:ascii="Calibri Light" w:hAnsi="Calibri Light"/>
          <w:b/>
          <w:bCs/>
          <w:sz w:val="28"/>
          <w:szCs w:val="28"/>
        </w:rPr>
      </w:pPr>
      <w:r>
        <w:rPr>
          <w:rFonts w:ascii="Calibri Light" w:hAnsi="Calibri Light"/>
          <w:b/>
          <w:bCs/>
          <w:sz w:val="28"/>
          <w:szCs w:val="28"/>
        </w:rPr>
        <w:t>5</w:t>
      </w:r>
      <w:r>
        <w:rPr>
          <w:rFonts w:hint="eastAsia" w:ascii="Calibri Light" w:hAnsi="Calibri Light"/>
          <w:b/>
          <w:bCs/>
          <w:sz w:val="28"/>
          <w:szCs w:val="28"/>
        </w:rPr>
        <w:t>.院长驾驶舱系统</w:t>
      </w:r>
    </w:p>
    <w:tbl>
      <w:tblPr>
        <w:tblW w:w="96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92"/>
        <w:gridCol w:w="1978"/>
        <w:gridCol w:w="6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47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8" w:hRule="atLeast"/>
        </w:trPr>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院长决策综合管理分析</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院长首页数据的数据分析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能够从院领导关心的不同维度（收入、床位、单病种等）详细的展示指标分析结果。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门诊日报、住院日报的数据分析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提供详细的门诊日报、住院日报的数据分析功能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2"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门急诊日报的数据分析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提供门急诊日报的数据分析功能。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门急诊收入日报的数据分析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提供门急诊收入日报的数据分析功能。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住院日报的数据分析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提供住院日报的数据分析功能。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住院收入日报的数据分析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提供住院收入日报的数据分析功能。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床位日报的数据分析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提供床位日报的数据分析功能。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8"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材料收入分析的数据分析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提供材料收入分析的数据分析功能。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0" w:hRule="atLeast"/>
        </w:trPr>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单病种汇总统计分析</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提供单病种汇总统计分析功能。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实时数据监控</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实时数据监控</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1.支持在院人次、手术人次、3日内待入院人次、门急诊挂号人次、发热门诊人次实时数据展示；</w:t>
            </w:r>
          </w:p>
          <w:p>
            <w:pPr>
              <w:widowControl/>
              <w:jc w:val="left"/>
              <w:textAlignment w:val="center"/>
              <w:rPr>
                <w:rFonts w:ascii="宋体" w:hAnsi="宋体" w:cs="宋体"/>
                <w:color w:val="000000"/>
                <w:szCs w:val="21"/>
              </w:rPr>
            </w:pPr>
            <w:r>
              <w:rPr>
                <w:rFonts w:hint="eastAsia" w:ascii="宋体" w:hAnsi="宋体" w:cs="宋体"/>
                <w:color w:val="000000"/>
                <w:kern w:val="0"/>
                <w:szCs w:val="21"/>
              </w:rPr>
              <w:t>2.支持近一年在院人次、近一年门急诊挂号人次趋势图分析展示；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9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医疗工作负荷与质量监控</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医疗工作负荷与质量监控</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支持医院门诊总人次、急诊总人次、特需门诊人次、专家门诊人次、方便门诊人次、出院人次、健康体检人次、CMI数据、手术总人次、四级手术人次、日间手术人次的数据展示，并生成环形图；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医疗工作效率监控</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医疗工作效率监控</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支持医院平均住院日、医院术前待床日、平均住院日趋势图分析、预约等待时间的数据展示；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合理使用监控</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合理使用监控</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1.支持DDDS数据、辅助用药占比数据、采集用药使用比例、重点监控高值医用耗材收入占比数据的展示；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8"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医疗收入监控</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医疗收入监控</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支持医院医疗收入、业务收入、业务支出、收入盈余、医疗收入中药占比、耗材占比、检验检查占比、医疗服务占比的数据展示；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科室数据查看</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科室数据查看</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1.支持展示各科室、病区当前在院患者的数据；</w:t>
            </w:r>
          </w:p>
          <w:p>
            <w:pPr>
              <w:widowControl/>
              <w:jc w:val="left"/>
              <w:textAlignment w:val="center"/>
              <w:rPr>
                <w:rFonts w:ascii="宋体" w:hAnsi="宋体" w:cs="宋体"/>
                <w:color w:val="000000"/>
                <w:szCs w:val="21"/>
              </w:rPr>
            </w:pPr>
            <w:r>
              <w:rPr>
                <w:rFonts w:hint="eastAsia" w:ascii="宋体" w:hAnsi="宋体" w:cs="宋体"/>
                <w:color w:val="000000"/>
                <w:kern w:val="0"/>
                <w:szCs w:val="21"/>
              </w:rPr>
              <w:t>2.支持展示各科室CMI、平均住院日、出院人次的数据。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移动端院长驾驶舱</w:t>
            </w:r>
          </w:p>
        </w:tc>
        <w:tc>
          <w:tcPr>
            <w:tcW w:w="19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移动端院长驾驶舱</w:t>
            </w:r>
          </w:p>
        </w:tc>
        <w:tc>
          <w:tcPr>
            <w:tcW w:w="64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支持将院长驾驶舱数据在当天的特定时间推送至院长手机微信端，供院长查阅，移动端院长驾驶舱六个功能：实时数据（主页）、工作负荷、工作效率、合理用药、收入结构、科室数据。</w:t>
            </w:r>
          </w:p>
        </w:tc>
      </w:tr>
    </w:tbl>
    <w:p>
      <w:pPr>
        <w:rPr>
          <w:rFonts w:ascii="宋体" w:hAnsi="宋体" w:cs="宋体"/>
          <w:szCs w:val="21"/>
        </w:rPr>
      </w:pPr>
    </w:p>
    <w:p>
      <w:pPr>
        <w:keepNext/>
        <w:keepLines/>
        <w:spacing w:before="260" w:after="260" w:line="416" w:lineRule="auto"/>
        <w:outlineLvl w:val="1"/>
        <w:rPr>
          <w:rFonts w:ascii="Calibri Light" w:hAnsi="Calibri Light"/>
          <w:b/>
          <w:bCs/>
          <w:sz w:val="28"/>
          <w:szCs w:val="28"/>
        </w:rPr>
      </w:pPr>
      <w:r>
        <w:rPr>
          <w:rFonts w:ascii="Calibri Light" w:hAnsi="Calibri Light"/>
          <w:b/>
          <w:bCs/>
          <w:sz w:val="28"/>
          <w:szCs w:val="28"/>
        </w:rPr>
        <w:t>6</w:t>
      </w:r>
      <w:r>
        <w:rPr>
          <w:rFonts w:hint="eastAsia" w:ascii="Calibri Light" w:hAnsi="Calibri Light"/>
          <w:b/>
          <w:bCs/>
          <w:sz w:val="28"/>
          <w:szCs w:val="28"/>
        </w:rPr>
        <w:t>.院领导辅助决策分析系统</w:t>
      </w:r>
    </w:p>
    <w:tbl>
      <w:tblPr>
        <w:tblW w:w="96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62"/>
        <w:gridCol w:w="2088"/>
        <w:gridCol w:w="6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31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49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0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基本要求</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基本要求</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1.建立指标数据集；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2.提供多种指标数据展示方式；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3.支持以日为单位对各项指标进行统计分析；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4.支持对指标的同比进行分析；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5.支持对主要核心指标进行数据钻取分析；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6.对无法从业务系统中直接采集的数据，提供上报系统由业务科室进行填报；</w:t>
            </w:r>
          </w:p>
          <w:p>
            <w:pPr>
              <w:widowControl/>
              <w:jc w:val="left"/>
              <w:textAlignment w:val="center"/>
              <w:rPr>
                <w:rFonts w:ascii="宋体" w:hAnsi="宋体" w:cs="宋体"/>
                <w:color w:val="000000"/>
                <w:szCs w:val="21"/>
              </w:rPr>
            </w:pPr>
            <w:r>
              <w:rPr>
                <w:rFonts w:hint="eastAsia" w:ascii="宋体" w:hAnsi="宋体" w:cs="宋体"/>
                <w:color w:val="000000"/>
                <w:kern w:val="0"/>
                <w:szCs w:val="21"/>
              </w:rPr>
              <w:t>7.支持对用户的访问模块进行授权管理；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trPr>
        <w:tc>
          <w:tcPr>
            <w:tcW w:w="10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指标要求</w:t>
            </w:r>
          </w:p>
        </w:tc>
        <w:tc>
          <w:tcPr>
            <w:tcW w:w="20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color w:val="000000"/>
                <w:szCs w:val="21"/>
              </w:rPr>
              <w:t>院长日报</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基于医院数据中心，面向院领导提供医院运营日报，对医院住院、门急诊的各个维度进行以日为时间单位的数据分析。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医院综合数据</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系统支持提供医院综合数据的展示；支持通过钻取方式了解到各科室、各诊疗组的指标情况；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门诊综合数据/住院综合数据</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1.支持分别从门诊维度、住院维度对收入、用药比例、无草药用药、医疗收入、医疗比例等指标进行分析；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2.支持分别从全院维度、门诊维度、住院维度对医院收入、病种分布、次均费用等相关数据进行分析；</w:t>
            </w:r>
          </w:p>
          <w:p>
            <w:pPr>
              <w:widowControl/>
              <w:jc w:val="left"/>
              <w:textAlignment w:val="center"/>
              <w:rPr>
                <w:rFonts w:ascii="宋体" w:hAnsi="宋体" w:cs="宋体"/>
                <w:color w:val="000000"/>
                <w:szCs w:val="21"/>
              </w:rPr>
            </w:pPr>
            <w:r>
              <w:rPr>
                <w:rFonts w:hint="eastAsia" w:ascii="宋体" w:hAnsi="宋体" w:cs="宋体"/>
                <w:color w:val="000000"/>
                <w:kern w:val="0"/>
                <w:szCs w:val="21"/>
              </w:rPr>
              <w:t>3.支持通过钻取方式了解各科室的指标情况；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门急诊日报</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支持分析各科室挂号数据分析检查费、各科室医疗费用化验费等费用金额指标；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住院日报</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支持分析入院总数、出院病人总费用、入院人数、检查费等费用金额；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床位日报</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开放床位、实际床位、占用床位、包床位、空床、占用率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材料收入</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材料入库情况、科室材料领用、材料使用情况；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0" w:hRule="atLeast"/>
        </w:trPr>
        <w:tc>
          <w:tcPr>
            <w:tcW w:w="1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单病种汇总</w:t>
            </w:r>
          </w:p>
        </w:tc>
        <w:tc>
          <w:tcPr>
            <w:tcW w:w="6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单病种出院人数、医保出院人数、 入组率、发生费用、定额合计、除外耗材、 医院结余、自付金额、医保个人账户、医保统筹基金</w:t>
            </w:r>
          </w:p>
        </w:tc>
      </w:tr>
    </w:tbl>
    <w:p/>
    <w:p>
      <w:pPr>
        <w:keepNext/>
        <w:keepLines/>
        <w:spacing w:before="260" w:after="260" w:line="416" w:lineRule="auto"/>
        <w:outlineLvl w:val="1"/>
        <w:rPr>
          <w:rFonts w:ascii="Calibri Light" w:hAnsi="Calibri Light"/>
          <w:b/>
          <w:bCs/>
          <w:sz w:val="28"/>
          <w:szCs w:val="28"/>
        </w:rPr>
      </w:pPr>
      <w:r>
        <w:rPr>
          <w:rFonts w:ascii="Calibri Light" w:hAnsi="Calibri Light"/>
          <w:b/>
          <w:bCs/>
          <w:sz w:val="28"/>
          <w:szCs w:val="28"/>
        </w:rPr>
        <w:t>7</w:t>
      </w:r>
      <w:r>
        <w:rPr>
          <w:rFonts w:hint="eastAsia" w:ascii="Calibri Light" w:hAnsi="Calibri Light"/>
          <w:b/>
          <w:bCs/>
          <w:sz w:val="28"/>
          <w:szCs w:val="28"/>
        </w:rPr>
        <w:t>.三级公立医院绩效考核指标管理系统（55项）</w:t>
      </w:r>
    </w:p>
    <w:tbl>
      <w:tblPr>
        <w:tblW w:w="96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2"/>
        <w:gridCol w:w="2078"/>
        <w:gridCol w:w="6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0" w:hRule="atLeast"/>
        </w:trPr>
        <w:tc>
          <w:tcPr>
            <w:tcW w:w="316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技术功能模块</w:t>
            </w:r>
          </w:p>
        </w:tc>
        <w:tc>
          <w:tcPr>
            <w:tcW w:w="648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10" w:hRule="atLeast"/>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整体要求</w:t>
            </w:r>
          </w:p>
        </w:tc>
        <w:tc>
          <w:tcPr>
            <w:tcW w:w="20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r>
              <w:rPr>
                <w:rFonts w:hint="eastAsia" w:ascii="宋体" w:hAnsi="宋体" w:cs="宋体"/>
                <w:color w:val="000000"/>
                <w:szCs w:val="21"/>
              </w:rPr>
              <w:t>整体要求</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1.满足国家《关于加强公立医院绩效考核工作的意见》（2019版）要求，支持医疗质量、运行效率、持续发展、满意度评价四方面内容的指标统计分析；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2.建立标准、规范的统计指标数据集；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3.提供多种指标数据展示方式；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4.支持按照不同的年份、月份对各项指标进行统计分析；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5.支持对主要核心指标进行数据钻取分析；</w:t>
            </w:r>
          </w:p>
          <w:p>
            <w:pPr>
              <w:widowControl/>
              <w:jc w:val="left"/>
              <w:textAlignment w:val="center"/>
              <w:rPr>
                <w:rFonts w:ascii="宋体" w:hAnsi="宋体" w:cs="宋体"/>
                <w:color w:val="000000"/>
                <w:szCs w:val="21"/>
              </w:rPr>
            </w:pPr>
            <w:r>
              <w:rPr>
                <w:rFonts w:hint="eastAsia" w:ascii="宋体" w:hAnsi="宋体" w:cs="宋体"/>
                <w:color w:val="000000"/>
                <w:kern w:val="0"/>
                <w:szCs w:val="21"/>
              </w:rPr>
              <w:t>6.对无法从业务系统中直接采集的数据，需提供报卡功能由业务科室进行填报，并支持后续统计。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0" w:hRule="atLeast"/>
        </w:trPr>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功能要求</w:t>
            </w: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指标分析报告</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1.提供指标分析报告功能。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2"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分类展示各项指标</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2.支持展示各项指标的运行情况。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趋势图</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3.支持对每项指标进行趋势图的生成查看。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对比分析</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4.支持对每项指标进行实际结果值与目标值的对比分析查看。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统计分析</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5.支持对医院基本信息指标进行统计分析查看。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涵盖指标</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6.针对本项目的统计分析，涵盖国家发布的三级公立医院绩效考核指标。</w:t>
            </w:r>
          </w:p>
        </w:tc>
      </w:tr>
    </w:tbl>
    <w:p/>
    <w:p/>
    <w:p>
      <w:pPr>
        <w:rPr>
          <w:sz w:val="24"/>
        </w:rPr>
      </w:pPr>
      <w:r>
        <w:rPr>
          <w:rFonts w:hint="eastAsia"/>
          <w:sz w:val="24"/>
        </w:rPr>
        <w:t>其他要求：</w:t>
      </w:r>
    </w:p>
    <w:p>
      <w:pPr>
        <w:rPr>
          <w:sz w:val="24"/>
        </w:rPr>
      </w:pPr>
      <w:r>
        <w:rPr>
          <w:rFonts w:hint="eastAsia"/>
          <w:sz w:val="24"/>
        </w:rPr>
        <w:t>1.根据国家《医院信息系统功能规范》第十二条以及国家信息化建设审计要求，必须提供完整的总体设计报告、需求分析说明书、概要设计说明书、详细设计说明书、数据字典、数据结构与流程、测试报告、操作使用手册、系统维护手册。至少必须提供数据字典、数据结构与流程、操作使用手册、系统维护手册。</w:t>
      </w:r>
    </w:p>
    <w:p>
      <w:pPr>
        <w:rPr>
          <w:sz w:val="24"/>
        </w:rPr>
      </w:pPr>
      <w:r>
        <w:rPr>
          <w:rFonts w:hint="eastAsia"/>
          <w:sz w:val="24"/>
        </w:rPr>
        <w:t>2.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rPr>
          <w:sz w:val="24"/>
        </w:rPr>
      </w:pPr>
      <w:r>
        <w:rPr>
          <w:rFonts w:hint="eastAsia"/>
          <w:sz w:val="24"/>
        </w:rPr>
        <w:t>3.应结合我院实际医疗及管理需要，对系统进行客户化修改。</w:t>
      </w:r>
    </w:p>
    <w:p>
      <w:pPr>
        <w:rPr>
          <w:sz w:val="24"/>
        </w:rPr>
      </w:pPr>
      <w:r>
        <w:rPr>
          <w:rFonts w:hint="eastAsia"/>
          <w:sz w:val="24"/>
        </w:rPr>
        <w:t>4.系统应提供与医院HIS，电子病历、危机值平台、麻醉耗材、患者360（含HIS360、CDR360）等系统无缝集成接口，符合电子病历6级、医院的互联互通5级、智慧医院4级的建设要求，上述各评级不涉及本系统的功能可以按本次招标内容为准。</w:t>
      </w:r>
    </w:p>
    <w:p>
      <w:pPr>
        <w:rPr>
          <w:sz w:val="24"/>
        </w:rPr>
      </w:pPr>
      <w:r>
        <w:rPr>
          <w:rFonts w:hint="eastAsia"/>
          <w:sz w:val="24"/>
        </w:rPr>
        <w:t>5.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rPr>
          <w:sz w:val="24"/>
        </w:rPr>
      </w:pPr>
      <w:r>
        <w:rPr>
          <w:rFonts w:hint="eastAsia"/>
          <w:sz w:val="24"/>
        </w:rPr>
        <w:t>6.三年内免费实施政策性国家、省市各平台的数据接口、数据上传等，包括但不限于：福建省卫健委居民健康综合服务平台、福建省检查检验结果互联互通互认平台、福建省卫健委多码融合项目等。产生相应指标，推送至医疗平台接口中（涉及其他系统，应与其他系统配合实施）。</w:t>
      </w:r>
    </w:p>
    <w:p>
      <w:pPr>
        <w:rPr>
          <w:sz w:val="24"/>
        </w:rPr>
      </w:pPr>
      <w:r>
        <w:rPr>
          <w:rFonts w:hint="eastAsia"/>
          <w:sz w:val="24"/>
        </w:rPr>
        <w:t>7.系统需符合《信息安全技术网络安全等级保护基本要求》GB/T22239-2019（三级）要求（下文简称：三级等保2.0），并在三级等保2.0评审中协助完成本系统评审工作。</w:t>
      </w:r>
    </w:p>
    <w:p>
      <w:pPr>
        <w:rPr>
          <w:sz w:val="24"/>
        </w:rPr>
      </w:pPr>
      <w:r>
        <w:rPr>
          <w:rFonts w:hint="eastAsia"/>
          <w:sz w:val="24"/>
        </w:rPr>
        <w:t>8.与医院现有CA数字签名功能实现对接，满足医院各法规需要。</w:t>
      </w:r>
    </w:p>
    <w:p>
      <w:pPr>
        <w:rPr>
          <w:sz w:val="24"/>
        </w:rPr>
      </w:pPr>
      <w:r>
        <w:rPr>
          <w:rFonts w:hint="eastAsia"/>
          <w:sz w:val="24"/>
        </w:rPr>
        <w:t>9.若有APP功能，应提供H5接口，并支付相应接口费用（不超过3万元）。</w:t>
      </w:r>
    </w:p>
    <w:p>
      <w:pPr>
        <w:rPr>
          <w:sz w:val="24"/>
        </w:rPr>
      </w:pPr>
      <w:r>
        <w:rPr>
          <w:rFonts w:hint="eastAsia"/>
          <w:sz w:val="24"/>
        </w:rPr>
        <w:t>10.本项目涉及院内现有各业务系统接口的，招标人不再向中标人支付接口费用。</w:t>
      </w:r>
    </w:p>
    <w:p>
      <w:pPr>
        <w:rPr>
          <w:sz w:val="24"/>
        </w:rPr>
      </w:pPr>
      <w:r>
        <w:rPr>
          <w:rFonts w:hint="eastAsia"/>
          <w:sz w:val="24"/>
        </w:rPr>
        <w:t>11.中标人不承担由第三方接口产生的费用。（不包含9内容）</w:t>
      </w:r>
    </w:p>
    <w:p>
      <w:pPr>
        <w:rPr>
          <w:sz w:val="24"/>
        </w:rPr>
      </w:pPr>
      <w:r>
        <w:rPr>
          <w:rFonts w:hint="eastAsia"/>
          <w:sz w:val="24"/>
        </w:rPr>
        <w:t>12.在本项目软件使用及维保有效期内，本项目软件在每个使用科室使用的终端数量不受限制，数据不得加密，不得使用加密狗、打印加密、功能加密等任何软件使用约束。</w:t>
      </w:r>
    </w:p>
    <w:p>
      <w:pPr>
        <w:rPr>
          <w:sz w:val="24"/>
        </w:rPr>
      </w:pPr>
      <w:r>
        <w:rPr>
          <w:rFonts w:hint="eastAsia"/>
          <w:sz w:val="24"/>
        </w:rPr>
        <w:t>13.软件部分按总价进行报价，不能以安装工作站数量进行报价。</w:t>
      </w:r>
    </w:p>
    <w:p>
      <w:pPr>
        <w:rPr>
          <w:sz w:val="24"/>
        </w:rPr>
      </w:pPr>
      <w:r>
        <w:rPr>
          <w:rFonts w:hint="eastAsia"/>
          <w:sz w:val="24"/>
        </w:rPr>
        <w:t>14.现有系统需完成旧系统中的历史数据导入，旧系统中非自动产生的数据（如手工输入值等），在新系统中可不体现或以默认值体现。若有涉及接口费用，由中标方负责，招标方不再向中标人支付接口费用。</w:t>
      </w:r>
    </w:p>
    <w:p>
      <w:pPr>
        <w:rPr>
          <w:sz w:val="24"/>
        </w:rPr>
      </w:pPr>
      <w:r>
        <w:rPr>
          <w:rFonts w:hint="eastAsia"/>
          <w:sz w:val="24"/>
        </w:rPr>
        <w:t>15.软件版面色彩、风格等应按医院要求设计制作；软件标题只能出现医院logo及系统名称，不能出现公司名称，公司名称允许在帮助（help）的关于（about）中出现。具体版面另行通知。</w:t>
      </w:r>
    </w:p>
    <w:p>
      <w:pPr>
        <w:rPr>
          <w:sz w:val="24"/>
        </w:rPr>
      </w:pPr>
      <w:r>
        <w:rPr>
          <w:rFonts w:hint="eastAsia"/>
          <w:sz w:val="24"/>
        </w:rPr>
        <w:t>16、系统安装调试并经验收合格后，应对采购方的相关人员提供关于系统应用时技术和操作方面的培训。相关培训费用应包含在投标总价中。 </w:t>
      </w:r>
    </w:p>
    <w:p>
      <w:pPr>
        <w:rPr>
          <w:sz w:val="24"/>
        </w:rPr>
      </w:pPr>
    </w:p>
    <w:p>
      <w:pPr>
        <w:widowControl/>
        <w:jc w:val="left"/>
      </w:pPr>
      <w:r>
        <w:br w:type="page"/>
      </w:r>
    </w:p>
    <w:p/>
    <w:p>
      <w:pPr>
        <w:keepNext/>
        <w:widowControl/>
        <w:shd w:val="clear" w:color="auto" w:fill="FFFFFF"/>
        <w:autoSpaceDE w:val="0"/>
        <w:spacing w:before="120" w:after="120"/>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rPr>
        <w:t>三、</w:t>
      </w:r>
      <w:r>
        <w:rPr>
          <w:rFonts w:hint="eastAsia" w:ascii="仿宋" w:hAnsi="仿宋" w:eastAsia="仿宋" w:cs="仿宋"/>
          <w:b/>
          <w:color w:val="000000"/>
          <w:kern w:val="0"/>
          <w:sz w:val="28"/>
          <w:szCs w:val="28"/>
          <w:shd w:val="clear" w:color="auto" w:fill="FFFFFF"/>
        </w:rPr>
        <w:t>本次调研说明</w:t>
      </w:r>
    </w:p>
    <w:p>
      <w:pPr>
        <w:spacing w:line="590" w:lineRule="exact"/>
        <w:ind w:firstLine="562" w:firstLineChars="200"/>
        <w:rPr>
          <w:rFonts w:ascii="仿宋_GB2312" w:eastAsia="仿宋_GB2312"/>
          <w:b/>
          <w:bCs/>
          <w:sz w:val="28"/>
          <w:szCs w:val="28"/>
        </w:rPr>
      </w:pPr>
      <w:r>
        <w:rPr>
          <w:rFonts w:hint="eastAsia" w:ascii="仿宋_GB2312" w:eastAsia="仿宋_GB2312"/>
          <w:b/>
          <w:bCs/>
          <w:sz w:val="28"/>
          <w:szCs w:val="28"/>
        </w:rPr>
        <w:t>欢迎有意向的供应商参与本次调研。</w:t>
      </w:r>
    </w:p>
    <w:p>
      <w:pPr>
        <w:numPr>
          <w:ilvl w:val="0"/>
          <w:numId w:val="2"/>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本调研会的报价仅做为本项目公开招标的预算限价；</w:t>
      </w:r>
    </w:p>
    <w:p>
      <w:pPr>
        <w:numPr>
          <w:ilvl w:val="0"/>
          <w:numId w:val="2"/>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本调研会不做参与投标的限制条件；</w:t>
      </w:r>
    </w:p>
    <w:p>
      <w:pPr>
        <w:numPr>
          <w:ilvl w:val="0"/>
          <w:numId w:val="2"/>
        </w:numPr>
        <w:spacing w:line="590" w:lineRule="exact"/>
        <w:ind w:firstLine="560" w:firstLineChars="200"/>
        <w:rPr>
          <w:rFonts w:ascii="仿宋_GB2312" w:eastAsia="仿宋_GB2312"/>
          <w:sz w:val="28"/>
          <w:szCs w:val="28"/>
        </w:rPr>
      </w:pPr>
      <w:r>
        <w:rPr>
          <w:rFonts w:hint="eastAsia" w:ascii="仿宋_GB2312" w:eastAsia="仿宋_GB2312"/>
          <w:sz w:val="28"/>
          <w:szCs w:val="28"/>
        </w:rPr>
        <w:t>上述各参数将做为本项目招标的主要参数，不代表本项目公开招标的最终参数；</w:t>
      </w:r>
    </w:p>
    <w:p>
      <w:pPr>
        <w:numPr>
          <w:ilvl w:val="0"/>
          <w:numId w:val="2"/>
        </w:numPr>
        <w:spacing w:line="590" w:lineRule="exact"/>
        <w:ind w:firstLine="560"/>
        <w:rPr>
          <w:rFonts w:ascii="仿宋_GB2312" w:eastAsia="仿宋_GB2312"/>
          <w:sz w:val="28"/>
          <w:szCs w:val="28"/>
        </w:rPr>
      </w:pPr>
      <w:r>
        <w:rPr>
          <w:rFonts w:hint="eastAsia" w:ascii="仿宋_GB2312" w:eastAsia="仿宋_GB2312"/>
          <w:sz w:val="28"/>
          <w:szCs w:val="28"/>
        </w:rPr>
        <w:t>参加调研会的公司应准备PPT材料（含方案介绍、服务及集成能力、应用案例、报价等）、技术参数等材料，每公司讲解时间30分钟（含答疑10分钟）；同时上述材料须交予院方留档（可提供U盘留档）。</w:t>
      </w:r>
    </w:p>
    <w:p>
      <w:pPr>
        <w:widowControl/>
        <w:shd w:val="clear" w:color="auto" w:fill="FFFFFF"/>
        <w:spacing w:line="336" w:lineRule="auto"/>
        <w:jc w:val="center"/>
        <w:rPr>
          <w:rFonts w:ascii="宋体" w:hAnsi="宋体" w:cs="宋体"/>
          <w:b/>
          <w:bCs/>
          <w:color w:val="000000"/>
          <w:sz w:val="28"/>
          <w:szCs w:val="28"/>
          <w:shd w:val="clear" w:color="auto" w:fill="FFFFFF"/>
        </w:rPr>
        <w:sectPr>
          <w:footerReference r:id="rId4" w:type="default"/>
          <w:pgSz w:w="12240" w:h="15840"/>
          <w:pgMar w:top="1134" w:right="1587" w:bottom="1134" w:left="1587" w:header="720" w:footer="720" w:gutter="0"/>
          <w:cols w:space="720" w:num="1"/>
          <w:docGrid w:type="lines" w:linePitch="316" w:charSpace="0"/>
        </w:sectPr>
      </w:pPr>
    </w:p>
    <w:p>
      <w:pPr>
        <w:widowControl/>
        <w:shd w:val="clear" w:color="auto" w:fill="FFFFFF"/>
        <w:spacing w:line="336" w:lineRule="auto"/>
        <w:jc w:val="center"/>
        <w:rPr>
          <w:rFonts w:ascii="仿宋" w:hAnsi="仿宋" w:eastAsia="仿宋" w:cs="仿宋"/>
          <w:b/>
          <w:bCs/>
          <w:sz w:val="28"/>
          <w:szCs w:val="28"/>
        </w:rPr>
      </w:pPr>
      <w:r>
        <w:rPr>
          <w:rFonts w:hint="eastAsia" w:ascii="仿宋" w:hAnsi="仿宋" w:eastAsia="仿宋" w:cs="仿宋"/>
          <w:b/>
          <w:bCs/>
          <w:color w:val="000000"/>
          <w:sz w:val="28"/>
          <w:szCs w:val="28"/>
          <w:shd w:val="clear" w:color="auto" w:fill="FFFFFF"/>
        </w:rPr>
        <w:t>项目文件回执单</w:t>
      </w:r>
    </w:p>
    <w:p>
      <w:pPr>
        <w:widowControl/>
        <w:shd w:val="clear" w:color="auto" w:fill="FFFFFF"/>
        <w:spacing w:line="336" w:lineRule="auto"/>
        <w:ind w:left="420" w:firstLine="420"/>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请有意参与的各公司在项目公示期内将回执单送到“福建省肿瘤医院网络办”。</w:t>
      </w:r>
    </w:p>
    <w:tbl>
      <w:tblPr>
        <w:tblW w:w="8519"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1336"/>
        <w:gridCol w:w="3139"/>
        <w:gridCol w:w="2022"/>
        <w:gridCol w:w="202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PrEx>
        <w:trPr>
          <w:trHeight w:val="439" w:hRule="atLeast"/>
          <w:jc w:val="center"/>
        </w:trPr>
        <w:tc>
          <w:tcPr>
            <w:tcW w:w="13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序号</w:t>
            </w:r>
          </w:p>
        </w:tc>
        <w:tc>
          <w:tcPr>
            <w:tcW w:w="31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公司名称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产品名称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报价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1</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2</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3</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4</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5</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bl>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公司名称：</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联系人：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联系电话：</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邮箱号：　</w:t>
      </w:r>
      <w:r>
        <w:rPr>
          <w:rFonts w:hint="eastAsia" w:ascii="仿宋" w:hAnsi="仿宋" w:eastAsia="仿宋" w:cs="仿宋"/>
          <w:b/>
          <w:color w:val="000000"/>
          <w:kern w:val="0"/>
          <w:sz w:val="28"/>
          <w:szCs w:val="28"/>
          <w:u w:val="single"/>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公司盖章：</w:t>
      </w:r>
    </w:p>
    <w:p>
      <w:pPr>
        <w:widowControl/>
        <w:shd w:val="clear" w:color="auto" w:fill="FFFFFF"/>
        <w:spacing w:line="336" w:lineRule="auto"/>
        <w:jc w:val="center"/>
        <w:rPr>
          <w:sz w:val="28"/>
          <w:szCs w:val="28"/>
        </w:rPr>
      </w:pPr>
      <w:r>
        <w:rPr>
          <w:rFonts w:hint="eastAsia" w:ascii="宋体" w:hAnsi="宋体" w:cs="宋体"/>
          <w:b/>
          <w:color w:val="000000"/>
          <w:kern w:val="0"/>
          <w:sz w:val="28"/>
          <w:szCs w:val="28"/>
          <w:shd w:val="clear" w:color="auto" w:fill="FFFFFF"/>
        </w:rPr>
        <w:t> </w:t>
      </w:r>
    </w:p>
    <w:p>
      <w:pPr>
        <w:spacing w:line="590" w:lineRule="exact"/>
        <w:jc w:val="right"/>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　　　　　　　</w:t>
      </w:r>
      <w:r>
        <w:rPr>
          <w:rFonts w:hint="eastAsia" w:ascii="仿宋" w:hAnsi="仿宋" w:eastAsia="仿宋" w:cs="仿宋"/>
          <w:b/>
          <w:color w:val="000000"/>
          <w:kern w:val="0"/>
          <w:sz w:val="28"/>
          <w:szCs w:val="28"/>
          <w:shd w:val="clear" w:color="auto" w:fill="FFFFFF"/>
        </w:rPr>
        <w:t>　　　　　　 202</w:t>
      </w:r>
      <w:r>
        <w:rPr>
          <w:rFonts w:ascii="仿宋" w:hAnsi="仿宋" w:eastAsia="仿宋" w:cs="仿宋"/>
          <w:b/>
          <w:color w:val="000000"/>
          <w:kern w:val="0"/>
          <w:sz w:val="28"/>
          <w:szCs w:val="28"/>
          <w:shd w:val="clear" w:color="auto" w:fill="FFFFFF"/>
        </w:rPr>
        <w:t>2</w:t>
      </w:r>
      <w:r>
        <w:rPr>
          <w:rFonts w:hint="eastAsia" w:ascii="仿宋" w:hAnsi="仿宋" w:eastAsia="仿宋" w:cs="仿宋"/>
          <w:b/>
          <w:color w:val="000000"/>
          <w:kern w:val="0"/>
          <w:sz w:val="28"/>
          <w:szCs w:val="28"/>
          <w:shd w:val="clear" w:color="auto" w:fill="FFFFFF"/>
        </w:rPr>
        <w:t>年　月　日　</w:t>
      </w:r>
      <w:r>
        <w:rPr>
          <w:rFonts w:hint="eastAsia" w:ascii="宋体" w:hAnsi="宋体" w:cs="宋体"/>
          <w:b/>
          <w:color w:val="000000"/>
          <w:kern w:val="0"/>
          <w:sz w:val="28"/>
          <w:szCs w:val="28"/>
          <w:shd w:val="clear" w:color="auto" w:fill="FFFFFF"/>
        </w:rPr>
        <w:t>　</w:t>
      </w:r>
    </w:p>
    <w:p>
      <w:pPr>
        <w:pStyle w:val="3"/>
        <w:spacing w:line="590" w:lineRule="exact"/>
        <w:jc w:val="right"/>
        <w:rPr>
          <w:rFonts w:ascii="宋体" w:hAnsi="宋体" w:cs="宋体"/>
          <w:color w:val="000000"/>
          <w:kern w:val="0"/>
          <w:sz w:val="28"/>
          <w:szCs w:val="28"/>
          <w:shd w:val="clear" w:color="auto" w:fill="FFFFFF"/>
        </w:rPr>
      </w:pPr>
    </w:p>
    <w:sectPr>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3815692">
    <w:nsid w:val="60C9760C"/>
    <w:multiLevelType w:val="singleLevel"/>
    <w:tmpl w:val="60C9760C"/>
    <w:lvl w:ilvl="0" w:tentative="1">
      <w:start w:val="1"/>
      <w:numFmt w:val="decimal"/>
      <w:suff w:val="nothing"/>
      <w:lvlText w:val="%1、"/>
      <w:lvlJc w:val="left"/>
    </w:lvl>
  </w:abstractNum>
  <w:abstractNum w:abstractNumId="2455590503">
    <w:nsid w:val="925D5667"/>
    <w:multiLevelType w:val="singleLevel"/>
    <w:tmpl w:val="925D5667"/>
    <w:lvl w:ilvl="0" w:tentative="1">
      <w:start w:val="1"/>
      <w:numFmt w:val="chineseCounting"/>
      <w:suff w:val="nothing"/>
      <w:lvlText w:val="%1、"/>
      <w:lvlJc w:val="left"/>
      <w:rPr>
        <w:rFonts w:hint="eastAsia"/>
      </w:rPr>
    </w:lvl>
  </w:abstractNum>
  <w:num w:numId="1">
    <w:abstractNumId w:val="2455590503"/>
  </w:num>
  <w:num w:numId="2">
    <w:abstractNumId w:val="1623815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TFhN2UzNTliZDEzZWIzN2UyZjhmNjcxOWRmMDZlND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1"/>
    <w:qFormat/>
    <w:uiPriority w:val="0"/>
    <w:pPr>
      <w:keepNext/>
      <w:keepLines/>
      <w:spacing w:before="260" w:after="260" w:line="416" w:lineRule="auto"/>
      <w:outlineLvl w:val="1"/>
    </w:pPr>
    <w:rPr>
      <w:rFonts w:ascii="Calibri Light" w:hAnsi="Calibri Light"/>
      <w:b/>
      <w:bCs/>
      <w:sz w:val="32"/>
      <w:szCs w:val="32"/>
    </w:rPr>
  </w:style>
  <w:style w:type="character" w:default="1" w:styleId="13">
    <w:name w:val="Default Paragraph Font"/>
    <w:semiHidden/>
    <w:unhideWhenUsed/>
    <w:uiPriority w:val="1"/>
  </w:style>
  <w:style w:type="paragraph" w:styleId="4">
    <w:name w:val="annotation subject"/>
    <w:basedOn w:val="5"/>
    <w:next w:val="5"/>
    <w:link w:val="25"/>
    <w:semiHidden/>
    <w:unhideWhenUsed/>
    <w:qFormat/>
    <w:uiPriority w:val="0"/>
    <w:rPr>
      <w:b/>
      <w:bCs/>
    </w:rPr>
  </w:style>
  <w:style w:type="paragraph" w:styleId="5">
    <w:name w:val="annotation text"/>
    <w:basedOn w:val="1"/>
    <w:link w:val="24"/>
    <w:semiHidden/>
    <w:unhideWhenUsed/>
    <w:qFormat/>
    <w:uiPriority w:val="0"/>
    <w:pPr>
      <w:jc w:val="left"/>
    </w:pPr>
  </w:style>
  <w:style w:type="paragraph" w:styleId="6">
    <w:name w:val="Body Text First Indent"/>
    <w:basedOn w:val="7"/>
    <w:unhideWhenUsed/>
    <w:qFormat/>
    <w:uiPriority w:val="99"/>
    <w:pPr>
      <w:ind w:firstLine="420" w:firstLineChars="100"/>
    </w:pPr>
  </w:style>
  <w:style w:type="paragraph" w:styleId="7">
    <w:name w:val="Body Text"/>
    <w:basedOn w:val="1"/>
    <w:semiHidden/>
    <w:unhideWhenUsed/>
    <w:qFormat/>
    <w:uiPriority w:val="99"/>
    <w:pPr>
      <w:spacing w:after="120"/>
    </w:pPr>
  </w:style>
  <w:style w:type="paragraph" w:styleId="8">
    <w:name w:val="Normal Indent"/>
    <w:basedOn w:val="1"/>
    <w:link w:val="22"/>
    <w:qFormat/>
    <w:uiPriority w:val="0"/>
    <w:pPr>
      <w:ind w:firstLine="420" w:firstLineChars="200"/>
    </w:p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line="336" w:lineRule="auto"/>
      <w:jc w:val="left"/>
    </w:pPr>
    <w:rPr>
      <w:rFonts w:ascii="宋体" w:hAnsi="宋体"/>
      <w:kern w:val="0"/>
      <w:sz w:val="24"/>
    </w:rPr>
  </w:style>
  <w:style w:type="paragraph" w:styleId="12">
    <w:name w:val="Title"/>
    <w:basedOn w:val="1"/>
    <w:next w:val="1"/>
    <w:qFormat/>
    <w:uiPriority w:val="10"/>
    <w:pPr>
      <w:spacing w:before="240" w:after="60"/>
      <w:jc w:val="center"/>
      <w:outlineLvl w:val="0"/>
    </w:pPr>
    <w:rPr>
      <w:rFonts w:ascii="Calibri Light" w:hAnsi="Calibri Light" w:cs="宋体"/>
      <w:b/>
      <w:bCs/>
      <w:sz w:val="32"/>
      <w:szCs w:val="32"/>
    </w:rPr>
  </w:style>
  <w:style w:type="character" w:styleId="14">
    <w:name w:val="Strong"/>
    <w:qFormat/>
    <w:uiPriority w:val="0"/>
    <w:rPr>
      <w:b/>
    </w:rPr>
  </w:style>
  <w:style w:type="character" w:styleId="15">
    <w:name w:val="annotation reference"/>
    <w:semiHidden/>
    <w:unhideWhenUsed/>
    <w:uiPriority w:val="0"/>
    <w:rPr>
      <w:sz w:val="21"/>
      <w:szCs w:val="21"/>
    </w:rPr>
  </w:style>
  <w:style w:type="paragraph" w:customStyle="1" w:styleId="16">
    <w:name w:val="列出段落1"/>
    <w:basedOn w:val="1"/>
    <w:unhideWhenUsed/>
    <w:qFormat/>
    <w:uiPriority w:val="99"/>
    <w:pPr>
      <w:ind w:firstLine="420" w:firstLineChars="200"/>
    </w:pPr>
  </w:style>
  <w:style w:type="paragraph" w:customStyle="1" w:styleId="17">
    <w:name w:val="列表段落1"/>
    <w:basedOn w:val="1"/>
    <w:link w:val="20"/>
    <w:qFormat/>
    <w:uiPriority w:val="34"/>
    <w:pPr>
      <w:widowControl/>
      <w:spacing w:before="100" w:beforeAutospacing="1" w:after="100" w:afterAutospacing="1" w:line="360" w:lineRule="auto"/>
      <w:ind w:firstLine="420" w:firstLineChars="200"/>
      <w:jc w:val="left"/>
    </w:pPr>
    <w:rPr>
      <w:szCs w:val="22"/>
    </w:rPr>
  </w:style>
  <w:style w:type="character" w:customStyle="1" w:styleId="18">
    <w:name w:val="页眉 Char"/>
    <w:link w:val="10"/>
    <w:qFormat/>
    <w:uiPriority w:val="0"/>
    <w:rPr>
      <w:rFonts w:ascii="Calibri" w:hAnsi="Calibri" w:eastAsia="宋体"/>
      <w:kern w:val="2"/>
      <w:sz w:val="18"/>
      <w:szCs w:val="18"/>
    </w:rPr>
  </w:style>
  <w:style w:type="character" w:customStyle="1" w:styleId="19">
    <w:name w:val="页脚 Char"/>
    <w:link w:val="9"/>
    <w:qFormat/>
    <w:uiPriority w:val="99"/>
    <w:rPr>
      <w:rFonts w:ascii="Calibri" w:hAnsi="Calibri" w:eastAsia="宋体"/>
      <w:kern w:val="2"/>
      <w:sz w:val="18"/>
      <w:szCs w:val="18"/>
    </w:rPr>
  </w:style>
  <w:style w:type="character" w:customStyle="1" w:styleId="20">
    <w:name w:val="列表段落 字符"/>
    <w:link w:val="17"/>
    <w:qFormat/>
    <w:uiPriority w:val="34"/>
    <w:rPr>
      <w:rFonts w:ascii="Calibri" w:hAnsi="Calibri" w:eastAsia="宋体"/>
      <w:kern w:val="2"/>
      <w:sz w:val="21"/>
      <w:szCs w:val="22"/>
    </w:rPr>
  </w:style>
  <w:style w:type="character" w:customStyle="1" w:styleId="21">
    <w:name w:val="标题 2 Char"/>
    <w:link w:val="3"/>
    <w:qFormat/>
    <w:uiPriority w:val="0"/>
    <w:rPr>
      <w:rFonts w:ascii="Calibri Light" w:hAnsi="Calibri Light" w:cs="Times New Roman"/>
      <w:b/>
      <w:bCs/>
      <w:kern w:val="2"/>
      <w:sz w:val="32"/>
      <w:szCs w:val="32"/>
    </w:rPr>
  </w:style>
  <w:style w:type="character" w:customStyle="1" w:styleId="22">
    <w:name w:val="正文缩进 Char"/>
    <w:link w:val="8"/>
    <w:qFormat/>
    <w:uiPriority w:val="0"/>
    <w:rPr>
      <w:rFonts w:cs="Times New Roman"/>
      <w:kern w:val="2"/>
      <w:sz w:val="21"/>
      <w:szCs w:val="24"/>
    </w:rPr>
  </w:style>
  <w:style w:type="character" w:customStyle="1" w:styleId="23">
    <w:name w:val="列出段落 Char"/>
    <w:qFormat/>
    <w:uiPriority w:val="34"/>
    <w:rPr>
      <w:rFonts w:cs="宋体"/>
      <w:kern w:val="2"/>
      <w:sz w:val="21"/>
      <w:szCs w:val="22"/>
    </w:rPr>
  </w:style>
  <w:style w:type="character" w:customStyle="1" w:styleId="24">
    <w:name w:val="批注文字 Char"/>
    <w:link w:val="5"/>
    <w:semiHidden/>
    <w:uiPriority w:val="0"/>
    <w:rPr>
      <w:rFonts w:cs="Times New Roman"/>
      <w:kern w:val="2"/>
      <w:sz w:val="21"/>
      <w:szCs w:val="24"/>
    </w:rPr>
  </w:style>
  <w:style w:type="character" w:customStyle="1" w:styleId="25">
    <w:name w:val="批注主题 Char"/>
    <w:link w:val="4"/>
    <w:semiHidden/>
    <w:uiPriority w:val="0"/>
    <w:rPr>
      <w:rFonts w:cs="Times New Roman"/>
      <w:b/>
      <w:bCs/>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1536</Words>
  <Characters>8757</Characters>
  <Lines>72</Lines>
  <Paragraphs>20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2021-10-21T06:00:00Z</dcterms:created>
  <dc:creator>air</dc:creator>
  <cp:lastModifiedBy>Administrator</cp:lastModifiedBy>
  <cp:lastPrinted>2021-06-16T01:18:00Z</cp:lastPrinted>
  <dcterms:modified xsi:type="dcterms:W3CDTF">2022-10-31T11:29:47Z</dcterms:modified>
  <dc:title>关于网络及安全设备的采购、更新报告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C4375DF7ACD24D8BAFFB61610E0A502C</vt:lpwstr>
  </property>
</Properties>
</file>