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电子病历评级缺失接口项目</w:t>
      </w:r>
    </w:p>
    <w:p>
      <w:pPr>
        <w:pStyle w:val="2"/>
        <w:jc w:val="center"/>
        <w:rPr>
          <w:rFonts w:ascii="方正小标宋简体" w:eastAsia="方正小标宋简体"/>
          <w:b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院内采购调研公示</w:t>
      </w:r>
    </w:p>
    <w:p>
      <w:pPr>
        <w:widowControl/>
        <w:shd w:val="clear" w:color="auto" w:fill="FFFFFF"/>
        <w:spacing w:line="336" w:lineRule="auto"/>
        <w:jc w:val="center"/>
      </w:pPr>
    </w:p>
    <w:p>
      <w:pPr>
        <w:widowControl/>
        <w:shd w:val="clear" w:color="auto" w:fill="FFFFFF"/>
        <w:spacing w:line="336" w:lineRule="auto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第一部分 须知前附表</w:t>
      </w:r>
    </w:p>
    <w:p>
      <w:pPr>
        <w:widowControl/>
        <w:shd w:val="clear" w:color="auto" w:fill="FFFFFF"/>
        <w:spacing w:line="336" w:lineRule="auto"/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 </w:t>
      </w:r>
    </w:p>
    <w:tbl>
      <w:tblPr>
        <w:tblW w:w="874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/>
              <w:spacing w:line="36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调研报名公示开始时间：202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月　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日北京时间</w:t>
            </w:r>
          </w:p>
          <w:p>
            <w:pPr>
              <w:widowControl/>
              <w:spacing w:line="315" w:lineRule="atLeas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调研报名截止时间：202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　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月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日下午17分北京时间</w:t>
            </w:r>
          </w:p>
          <w:p>
            <w:pPr>
              <w:widowControl/>
              <w:spacing w:line="315" w:lineRule="atLeas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(报名请携带加盖公章的项目文件回执单、营业执照复印件、公司简介)</w:t>
            </w:r>
          </w:p>
          <w:p>
            <w:pPr>
              <w:widowControl/>
              <w:spacing w:line="315" w:lineRule="atLeas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15" w:lineRule="atLeast"/>
              <w:rPr>
                <w:rFonts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调研会时间：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>调研会议时间另行通知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项目： </w:t>
            </w:r>
            <w:r>
              <w:rPr>
                <w:rFonts w:hint="eastAsia" w:ascii="方正小标宋简体" w:eastAsia="方正小标宋简体"/>
                <w:b w:val="0"/>
                <w:bCs w:val="0"/>
                <w:sz w:val="28"/>
                <w:szCs w:val="28"/>
                <w:lang w:val="en-US" w:eastAsia="zh-CN"/>
              </w:rPr>
              <w:t>电子病历评级缺失接口项目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文件正本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>1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份，副本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u w:val="single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文件递交处：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>　福建省肿瘤医院 网络办会议室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上述时间、地点如有变动，以单位届时通知为准。</w:t>
            </w:r>
          </w:p>
        </w:tc>
      </w:tr>
    </w:tbl>
    <w:p>
      <w:pPr>
        <w:widowControl/>
        <w:shd w:val="clear" w:color="auto" w:fill="FFFFFF"/>
        <w:spacing w:line="440" w:lineRule="atLeas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地　址： 福建省福州市福马路420号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  <w:lang w:val="en-US" w:eastAsia="zh-CN"/>
        </w:rPr>
        <w:t xml:space="preserve"> 福建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省肿瘤医院科研楼四楼网络办</w:t>
      </w:r>
    </w:p>
    <w:p>
      <w:pPr>
        <w:widowControl/>
        <w:shd w:val="clear" w:color="auto" w:fill="FFFFFF"/>
        <w:spacing w:line="440" w:lineRule="atLeas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邮　编： 3500</w:t>
      </w:r>
      <w:r>
        <w:rPr>
          <w:rFonts w:ascii="仿宋" w:hAnsi="仿宋" w:eastAsia="仿宋" w:cs="仿宋"/>
          <w:b/>
          <w:color w:val="000000"/>
          <w:kern w:val="0"/>
          <w:sz w:val="24"/>
          <w:shd w:val="clear" w:color="auto" w:fill="FFFFFF"/>
        </w:rPr>
        <w:t>14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　 </w:t>
      </w:r>
    </w:p>
    <w:p>
      <w:pPr>
        <w:widowControl/>
        <w:shd w:val="clear" w:color="auto" w:fill="FFFFFF"/>
        <w:spacing w:line="440" w:lineRule="atLeas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电　话： 0591-83660063-8822</w:t>
      </w:r>
    </w:p>
    <w:p>
      <w:pPr>
        <w:widowControl/>
        <w:shd w:val="clear" w:color="auto" w:fill="FFFFFF"/>
        <w:spacing w:line="440" w:lineRule="atLeast"/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联系人： 金工</w:t>
      </w:r>
    </w:p>
    <w:p>
      <w:pPr>
        <w:widowControl/>
        <w:shd w:val="clear" w:color="auto" w:fill="FFFFFF"/>
        <w:spacing w:line="440" w:lineRule="atLeast"/>
        <w:ind w:firstLine="480"/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rPr>
          <w:rFonts w:ascii="仿宋" w:hAnsi="仿宋" w:eastAsia="仿宋" w:cs="仿宋"/>
          <w:b/>
          <w:color w:val="000000"/>
          <w:kern w:val="0"/>
          <w:sz w:val="24"/>
          <w:shd w:val="clear" w:color="auto" w:fill="FFFFFF"/>
        </w:rPr>
      </w:pPr>
    </w:p>
    <w:p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hAnsi="仿宋" w:eastAsia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采购内容</w:t>
      </w:r>
    </w:p>
    <w:tbl>
      <w:tblPr>
        <w:tblW w:w="74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726"/>
        <w:gridCol w:w="135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合同包</w:t>
            </w:r>
          </w:p>
        </w:tc>
        <w:tc>
          <w:tcPr>
            <w:tcW w:w="3726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采购标的</w:t>
            </w:r>
          </w:p>
        </w:tc>
        <w:tc>
          <w:tcPr>
            <w:tcW w:w="1350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数量/单位</w:t>
            </w:r>
          </w:p>
        </w:tc>
        <w:tc>
          <w:tcPr>
            <w:tcW w:w="1365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预算限价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1-1</w:t>
            </w:r>
          </w:p>
        </w:tc>
        <w:tc>
          <w:tcPr>
            <w:tcW w:w="3726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8"/>
                <w:szCs w:val="28"/>
                <w:lang w:val="en-US" w:eastAsia="zh-CN"/>
              </w:rPr>
              <w:t>电子病历评级缺失接口项目-输血系统</w:t>
            </w:r>
          </w:p>
        </w:tc>
        <w:tc>
          <w:tcPr>
            <w:tcW w:w="1350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3726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小标宋简体" w:eastAsia="方正小标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8"/>
                <w:szCs w:val="28"/>
                <w:lang w:val="en-US" w:eastAsia="zh-CN"/>
              </w:rPr>
              <w:t>电子病历评级缺失接口项目-院感系统</w:t>
            </w:r>
          </w:p>
        </w:tc>
        <w:tc>
          <w:tcPr>
            <w:tcW w:w="1350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5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万</w:t>
            </w:r>
          </w:p>
        </w:tc>
      </w:tr>
    </w:tbl>
    <w:p>
      <w:pPr>
        <w:wordWrap/>
        <w:adjustRightInd/>
        <w:snapToGrid/>
        <w:spacing w:before="0" w:after="0" w:line="400" w:lineRule="exact"/>
        <w:ind w:left="0" w:leftChars="0" w:right="0"/>
        <w:textAlignment w:val="auto"/>
        <w:outlineLvl w:val="9"/>
      </w:pPr>
    </w:p>
    <w:p>
      <w:pPr>
        <w:keepNext/>
        <w:widowControl/>
        <w:numPr>
          <w:ilvl w:val="0"/>
          <w:numId w:val="1"/>
        </w:numPr>
        <w:shd w:val="clear" w:color="auto" w:fill="FFFFFF"/>
        <w:wordWrap/>
        <w:autoSpaceDE w:val="0"/>
        <w:adjustRightInd/>
        <w:snapToGrid/>
        <w:spacing w:before="120" w:after="120" w:line="240" w:lineRule="auto"/>
        <w:ind w:left="420" w:right="0" w:hanging="420"/>
        <w:textAlignment w:val="auto"/>
        <w:outlineLvl w:val="9"/>
        <w:rPr>
          <w:rFonts w:ascii="仿宋" w:hAnsi="仿宋" w:eastAsia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软件技术功能及服务要求</w:t>
      </w:r>
    </w:p>
    <w:p>
      <w:pPr>
        <w:numPr>
          <w:ilvl w:val="0"/>
          <w:numId w:val="2"/>
        </w:numPr>
        <w:ind w:firstLine="420" w:firstLineChars="0"/>
        <w:rPr>
          <w:rFonts w:hint="eastAsia" w:ascii="宋体" w:hAnsi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输血系统</w:t>
      </w:r>
    </w:p>
    <w:tbl>
      <w:tblPr>
        <w:tblW w:w="7943" w:type="dxa"/>
        <w:jc w:val="center"/>
        <w:tblInd w:w="-5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765"/>
        <w:gridCol w:w="1567"/>
        <w:gridCol w:w="3278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缺失接口名称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</w:rPr>
              <w:t>技术功能模块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right="0"/>
              <w:jc w:val="lef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</w:rPr>
              <w:t>功能要求说明</w:t>
            </w:r>
          </w:p>
        </w:tc>
        <w:tc>
          <w:tcPr>
            <w:tcW w:w="115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</w:rPr>
              <w:t>预算限价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</w:rPr>
              <w:t>单点登录接口</w:t>
            </w:r>
          </w:p>
        </w:tc>
        <w:tc>
          <w:tcPr>
            <w:tcW w:w="2332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输血系统</w:t>
            </w:r>
          </w:p>
        </w:tc>
        <w:tc>
          <w:tcPr>
            <w:tcW w:w="3278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</w:rPr>
              <w:t>IDM用户授权、鉴权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医院信息平台授权至输血系统，输血系统到平台进行鉴权</w:t>
            </w:r>
          </w:p>
        </w:tc>
        <w:tc>
          <w:tcPr>
            <w:tcW w:w="1155" w:type="dxa"/>
            <w:vMerge w:val="restart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互联互通接口</w:t>
            </w:r>
          </w:p>
        </w:tc>
        <w:tc>
          <w:tcPr>
            <w:tcW w:w="76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输血系统</w:t>
            </w:r>
          </w:p>
        </w:tc>
        <w:tc>
          <w:tcPr>
            <w:tcW w:w="1567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输血申请单新增服务</w:t>
            </w:r>
          </w:p>
        </w:tc>
        <w:tc>
          <w:tcPr>
            <w:tcW w:w="3278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输血系统发送新增态申请单到集成平台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55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6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输血申请单更新服务</w:t>
            </w:r>
          </w:p>
        </w:tc>
        <w:tc>
          <w:tcPr>
            <w:tcW w:w="3278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输血系统发送更新状态申请单到集成平台</w:t>
            </w:r>
          </w:p>
        </w:tc>
        <w:tc>
          <w:tcPr>
            <w:tcW w:w="1155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6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输血申请单查询服务</w:t>
            </w:r>
          </w:p>
        </w:tc>
        <w:tc>
          <w:tcPr>
            <w:tcW w:w="3278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输血系统提供输血查询服务供集成平台封装，后续提供给其他第三方系统调用</w:t>
            </w:r>
          </w:p>
        </w:tc>
        <w:tc>
          <w:tcPr>
            <w:tcW w:w="1155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CDA文档接口</w:t>
            </w:r>
          </w:p>
        </w:tc>
        <w:tc>
          <w:tcPr>
            <w:tcW w:w="76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输血系统</w:t>
            </w:r>
          </w:p>
        </w:tc>
        <w:tc>
          <w:tcPr>
            <w:tcW w:w="1567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输血记录</w:t>
            </w:r>
          </w:p>
        </w:tc>
        <w:tc>
          <w:tcPr>
            <w:tcW w:w="3278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输血系统提供输血记录视图，供CDA抽取数据</w:t>
            </w:r>
          </w:p>
        </w:tc>
        <w:tc>
          <w:tcPr>
            <w:tcW w:w="1155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6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输血治疗同意书</w:t>
            </w:r>
          </w:p>
        </w:tc>
        <w:tc>
          <w:tcPr>
            <w:tcW w:w="3278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输血系统提供</w:t>
            </w:r>
            <w:r>
              <w:rPr>
                <w:rFonts w:hint="eastAsia"/>
              </w:rPr>
              <w:t>输血治疗同意书</w:t>
            </w:r>
            <w:r>
              <w:rPr>
                <w:rFonts w:hint="eastAsia"/>
                <w:lang w:val="en-US" w:eastAsia="zh-CN"/>
              </w:rPr>
              <w:t>，供CDA抽取数据</w:t>
            </w:r>
          </w:p>
        </w:tc>
        <w:tc>
          <w:tcPr>
            <w:tcW w:w="1155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</w:tbl>
    <w:p/>
    <w:p>
      <w:pPr>
        <w:ind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院感系统</w:t>
      </w:r>
    </w:p>
    <w:tbl>
      <w:tblPr>
        <w:tblW w:w="7958" w:type="dxa"/>
        <w:jc w:val="center"/>
        <w:tblInd w:w="-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57"/>
        <w:gridCol w:w="1435"/>
        <w:gridCol w:w="3425"/>
        <w:gridCol w:w="1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缺失接口名称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</w:rPr>
              <w:t>技术功能模块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right="0"/>
              <w:jc w:val="lef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</w:rPr>
              <w:t>功能要求说明</w:t>
            </w:r>
          </w:p>
        </w:tc>
        <w:tc>
          <w:tcPr>
            <w:tcW w:w="1143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hd w:val="clear" w:color="auto" w:fill="auto"/>
              </w:rPr>
              <w:t>预算限价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</w:rPr>
              <w:t>单点登录接口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院感系统</w:t>
            </w:r>
          </w:p>
        </w:tc>
        <w:tc>
          <w:tcPr>
            <w:tcW w:w="3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</w:rPr>
              <w:t>IDM用户授权、鉴权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医院信息平台授权至院感系统，输血系统到平台进行鉴权</w:t>
            </w:r>
          </w:p>
        </w:tc>
        <w:tc>
          <w:tcPr>
            <w:tcW w:w="1143" w:type="dxa"/>
            <w:vMerge w:val="restart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互联互通接口</w:t>
            </w:r>
          </w:p>
        </w:tc>
        <w:tc>
          <w:tcPr>
            <w:tcW w:w="95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院感系统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获取在院患者ID列表</w:t>
            </w:r>
          </w:p>
        </w:tc>
        <w:tc>
          <w:tcPr>
            <w:tcW w:w="3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 w:firstLine="420" w:firstLine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</w:rPr>
              <w:t>院感系统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在院患者ID列表服务</w:t>
            </w:r>
            <w:r>
              <w:rPr>
                <w:rFonts w:hint="eastAsia"/>
                <w:lang w:val="en-US" w:eastAsia="zh-CN"/>
              </w:rPr>
              <w:t>供集成平台封装，后续提供给其他第三方系统调用</w:t>
            </w:r>
          </w:p>
        </w:tc>
        <w:tc>
          <w:tcPr>
            <w:tcW w:w="1143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获取指定ID列表的住院患者基本信息</w:t>
            </w:r>
          </w:p>
        </w:tc>
        <w:tc>
          <w:tcPr>
            <w:tcW w:w="3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 w:firstLine="420" w:firstLine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</w:rPr>
              <w:t>院感系统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指定ID列表的住院患者基本信息服务</w:t>
            </w:r>
            <w:r>
              <w:rPr>
                <w:rFonts w:hint="eastAsia"/>
                <w:lang w:val="en-US" w:eastAsia="zh-CN"/>
              </w:rPr>
              <w:t>供集成平台封装，后续提供给其他第三方系统调用</w:t>
            </w:r>
          </w:p>
        </w:tc>
        <w:tc>
          <w:tcPr>
            <w:tcW w:w="1143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获取指定ID列表患者手麻手术信息</w:t>
            </w:r>
          </w:p>
        </w:tc>
        <w:tc>
          <w:tcPr>
            <w:tcW w:w="3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 w:firstLine="420" w:firstLine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</w:rPr>
              <w:t>院感系统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指定ID列表患者手麻手术信息服务</w:t>
            </w:r>
            <w:r>
              <w:rPr>
                <w:rFonts w:hint="eastAsia"/>
                <w:lang w:val="en-US" w:eastAsia="zh-CN"/>
              </w:rPr>
              <w:t>供集成平台封装，后续提供给其他第三方系统调用</w:t>
            </w:r>
          </w:p>
        </w:tc>
        <w:tc>
          <w:tcPr>
            <w:tcW w:w="1143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获取指定ID列表的住院患者医嘱信息</w:t>
            </w:r>
          </w:p>
        </w:tc>
        <w:tc>
          <w:tcPr>
            <w:tcW w:w="3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right="0" w:firstLine="420" w:firstLine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</w:rPr>
              <w:t>院感系统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指定ID列表的住院患者医嘱信息服务</w:t>
            </w:r>
            <w:r>
              <w:rPr>
                <w:rFonts w:hint="eastAsia"/>
                <w:lang w:val="en-US" w:eastAsia="zh-CN"/>
              </w:rPr>
              <w:t>供集成平台封装，后续提供给其他第三方系统调用</w:t>
            </w:r>
          </w:p>
        </w:tc>
        <w:tc>
          <w:tcPr>
            <w:tcW w:w="1143" w:type="dxa"/>
            <w:vMerge w:val="continue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</w:tbl>
    <w:p/>
    <w:p/>
    <w:p>
      <w:pPr>
        <w:wordWrap/>
        <w:adjustRightInd/>
        <w:snapToGrid/>
        <w:spacing w:line="240" w:lineRule="auto"/>
        <w:ind w:right="0"/>
        <w:textAlignment w:val="auto"/>
        <w:outlineLvl w:val="9"/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其他要求：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根据国家《医院信息系统功能规范》第十二条以及国家信息化建设审计要求，必须提供完整的总体设计报告、需求分析说明书、概要设计说明书、详细设计说明书、数据字典、数据结构与流程、测试报告、操作使用手册、系统维护手册。至少必须提供数据字典、数据结构与流程、操作使用手册、系统维护手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3.应结合我院实际医疗及管理需要，对系统进行客户化修改。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系统应提供与医院HIS，电子病历、危急值平台、麻醉耗材、患者360（含HIS360、CDR360）等系统无缝集成接口，符合电子病历6级、医院的互联互通5级、智慧医院4级的建设要求，上述各评级不涉及本系统的功能可以按本次招标内容为准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三年内免费实施政策性国家、省市各平台的数据接口、数据上传等，包括但不限于：福建省卫健委居民健康综合服务平台、福建省检查检验结果互联互通互认平台、福建省卫健委多码融合项目等。产生相应指标，推送至医疗平台接口中（涉及其他系统，应与其他系统配合实施）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7.系统需符合《信息安全技术网络安全等级保护基本要求》GB/T22239-2019（三级）要求（下文简称：三级等保2.0），并在三级等保2.0评审中协助完成本系统评审工作。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8.与医院现有CA数字签名功能实现对接，满足医院各法规需要。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9.若有APP功能，应提供H5接口，并支付相应接口费用（不超过3万元）。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10.本项目涉及院内现有各业务系统接口的，招标人不再向中标人支付接口费用。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11.中标人不承担由第三方接口产生的费用。（不包含9内容）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12.在本项目软件使用及维保有效期内，本项目软件在每个使用科室使用的终端数量不受限制，数据不得加密，不得使用加密狗、打印加密、功能加密等任何软件使用约束。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13.软件部分按总价进行报价，不能以安装工作站数量进行报价。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14.现有系统需完成旧系统中的历史数据导入，旧系统中非自动产生的数据（如手工输入值等），在新系统中可不体现或以默认值体现。若有涉及接口费用，由中标方负责，招标方不再向中标人支付接口费用。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15.软件版面色彩、风格等应按医院要求设计制作；软件标题只能出现医院logo及系统名称，不能出现公司名称，公司名称允许在帮助（help）的关于（about）中出现。具体版面另行通知。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16、系统安装调试并经验收合格后，应对采购方的相关人员提供关于系统应用时技术和操作方面的培训。相关培训费用应包含在投标总价中。 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widowControl/>
        <w:jc w:val="left"/>
      </w:pPr>
      <w:r>
        <w:br w:type="page"/>
      </w:r>
    </w:p>
    <w:p/>
    <w:p>
      <w:pPr>
        <w:keepNext/>
        <w:widowControl/>
        <w:shd w:val="clear" w:color="auto" w:fill="FFFFFF"/>
        <w:autoSpaceDE w:val="0"/>
        <w:spacing w:before="120" w:after="120"/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本次调研说明</w:t>
      </w:r>
    </w:p>
    <w:p>
      <w:pPr>
        <w:spacing w:line="59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欢迎有意向的供应商参与本次调研。</w:t>
      </w:r>
    </w:p>
    <w:p>
      <w:pPr>
        <w:numPr>
          <w:numId w:val="0"/>
        </w:numPr>
        <w:spacing w:line="590" w:lineRule="exact"/>
        <w:ind w:firstLine="42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参加调研会的公司应准备PPT材料（含方案介绍、服务及集成能力、应用案例、报价等）、技术参数等材料，每公司讲解时间30分钟（含答疑10分钟）；同时上述材料须交予院方留档（可提供U盘留档）。</w:t>
      </w:r>
    </w:p>
    <w:p>
      <w:pPr>
        <w:widowControl/>
        <w:shd w:val="clear" w:color="auto" w:fill="FFFFFF"/>
        <w:spacing w:line="336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  <w:sectPr>
          <w:footerReference r:id="rId4" w:type="default"/>
          <w:pgSz w:w="12240" w:h="15840"/>
          <w:pgMar w:top="1134" w:right="1587" w:bottom="1134" w:left="1587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" w:linePitch="316" w:charSpace="0"/>
        </w:sectPr>
      </w:pPr>
    </w:p>
    <w:p>
      <w:pPr>
        <w:widowControl/>
        <w:shd w:val="clear" w:color="auto" w:fill="FFFFFF"/>
        <w:spacing w:line="336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项目文件回执单</w:t>
      </w:r>
    </w:p>
    <w:p>
      <w:pPr>
        <w:widowControl/>
        <w:shd w:val="clear" w:color="auto" w:fill="FFFFFF"/>
        <w:spacing w:line="336" w:lineRule="auto"/>
        <w:ind w:left="420"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请有意参与的各公司在项目公示期内将回执单送到“福建省肿瘤医院网络办”。</w:t>
      </w:r>
    </w:p>
    <w:tbl>
      <w:tblPr>
        <w:tblW w:w="851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139"/>
        <w:gridCol w:w="2022"/>
        <w:gridCol w:w="2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报价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hd w:val="clear" w:color="auto" w:fill="FFFFFF"/>
        <w:spacing w:line="336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shd w:val="clear" w:color="auto" w:fill="FFFFFF"/>
        <w:spacing w:line="336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公司名称：</w:t>
      </w:r>
    </w:p>
    <w:p>
      <w:pPr>
        <w:widowControl/>
        <w:shd w:val="clear" w:color="auto" w:fill="FFFFFF"/>
        <w:spacing w:line="336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联系人：　</w:t>
      </w:r>
    </w:p>
    <w:p>
      <w:pPr>
        <w:widowControl/>
        <w:shd w:val="clear" w:color="auto" w:fill="FFFFFF"/>
        <w:spacing w:line="336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联系电话：</w:t>
      </w:r>
    </w:p>
    <w:p>
      <w:pPr>
        <w:widowControl/>
        <w:shd w:val="clear" w:color="auto" w:fill="FFFFFF"/>
        <w:spacing w:line="336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邮箱号：　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u w:val="single"/>
          <w:shd w:val="clear" w:color="auto" w:fill="FFFFFF"/>
        </w:rPr>
        <w:t>　　　　　　　　　　　　　　 </w:t>
      </w:r>
    </w:p>
    <w:p>
      <w:pPr>
        <w:widowControl/>
        <w:shd w:val="clear" w:color="auto" w:fill="FFFFFF"/>
        <w:spacing w:line="336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公司盖章：</w:t>
      </w:r>
    </w:p>
    <w:p>
      <w:pPr>
        <w:widowControl/>
        <w:shd w:val="clear" w:color="auto" w:fill="FFFFFF"/>
        <w:spacing w:line="336" w:lineRule="auto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　　　　　　　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　　　　　　 202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</w:rPr>
        <w:t>年　月　日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　</w:t>
      </w:r>
    </w:p>
    <w:sectPr>
      <w:pgSz w:w="12240" w:h="15840"/>
      <w:pgMar w:top="1134" w:right="1587" w:bottom="1134" w:left="1587" w:header="720" w:footer="7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55590503">
    <w:nsid w:val="925D5667"/>
    <w:multiLevelType w:val="singleLevel"/>
    <w:tmpl w:val="925D5667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69081066">
    <w:nsid w:val="637C27EA"/>
    <w:multiLevelType w:val="singleLevel"/>
    <w:tmpl w:val="637C27EA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2455590503"/>
  </w:num>
  <w:num w:numId="2">
    <w:abstractNumId w:val="1669081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Normal Indent"/>
    <w:basedOn w:val="1"/>
    <w:link w:val="19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link w:val="17"/>
    <w:qFormat/>
    <w:uiPriority w:val="34"/>
    <w:pPr>
      <w:widowControl/>
      <w:spacing w:before="100" w:beforeAutospacing="1" w:after="100" w:afterAutospacing="1" w:line="360" w:lineRule="auto"/>
      <w:ind w:firstLine="420" w:firstLineChars="200"/>
      <w:jc w:val="left"/>
    </w:pPr>
    <w:rPr>
      <w:rFonts w:ascii="Calibri" w:hAnsi="Calibri" w:eastAsia="宋体"/>
      <w:szCs w:val="22"/>
    </w:rPr>
  </w:style>
  <w:style w:type="character" w:customStyle="1" w:styleId="15">
    <w:name w:val="页眉 字符"/>
    <w:link w:val="8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6">
    <w:name w:val="页脚 字符"/>
    <w:link w:val="7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7">
    <w:name w:val="列表段落 字符"/>
    <w:link w:val="14"/>
    <w:qFormat/>
    <w:uiPriority w:val="34"/>
    <w:rPr>
      <w:rFonts w:ascii="Calibri" w:hAnsi="Calibri" w:eastAsia="宋体"/>
      <w:kern w:val="2"/>
      <w:sz w:val="21"/>
      <w:szCs w:val="22"/>
    </w:rPr>
  </w:style>
  <w:style w:type="character" w:customStyle="1" w:styleId="18">
    <w:name w:val="标题 2 字符"/>
    <w:link w:val="3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9">
    <w:name w:val="正文缩进 字符"/>
    <w:link w:val="6"/>
    <w:qFormat/>
    <w:uiPriority w:val="0"/>
    <w:rPr>
      <w:rFonts w:cs="Times New Roman"/>
      <w:kern w:val="2"/>
      <w:sz w:val="21"/>
      <w:szCs w:val="24"/>
    </w:rPr>
  </w:style>
  <w:style w:type="character" w:customStyle="1" w:styleId="20">
    <w:name w:val="列出段落 Char"/>
    <w:qFormat/>
    <w:uiPriority w:val="34"/>
    <w:rPr>
      <w:rFonts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168</Words>
  <Characters>958</Characters>
  <Lines>7</Lines>
  <Paragraphs>2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2021-10-21T06:00:00Z</dcterms:created>
  <dc:creator>air</dc:creator>
  <cp:lastModifiedBy>Administrator</cp:lastModifiedBy>
  <cp:lastPrinted>2022-11-22T01:46:00Z</cp:lastPrinted>
  <dcterms:modified xsi:type="dcterms:W3CDTF">2022-11-28T06:07:45Z</dcterms:modified>
  <dc:title>关于网络及安全设备的采购、更新报告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</Properties>
</file>