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方正小标宋简体" w:eastAsia="方正小标宋简体"/>
          <w:b w:val="0"/>
          <w:kern w:val="2"/>
          <w:sz w:val="36"/>
          <w:szCs w:val="36"/>
        </w:rPr>
      </w:pPr>
      <w:r>
        <w:rPr>
          <w:rFonts w:hint="eastAsia" w:ascii="方正小标宋简体" w:eastAsia="方正小标宋简体"/>
          <w:b w:val="0"/>
          <w:kern w:val="2"/>
          <w:sz w:val="36"/>
          <w:szCs w:val="36"/>
        </w:rPr>
        <w:t>核酸检测管理系统项目</w:t>
      </w:r>
      <w:r>
        <w:rPr>
          <w:rFonts w:hint="eastAsia" w:ascii="方正小标宋简体" w:eastAsia="方正小标宋简体"/>
          <w:b w:val="0"/>
          <w:kern w:val="2"/>
          <w:sz w:val="36"/>
          <w:szCs w:val="36"/>
          <w:lang w:val="en-US" w:eastAsia="zh-CN"/>
        </w:rPr>
        <w:t>重新预算价</w:t>
      </w:r>
      <w:r>
        <w:rPr>
          <w:rFonts w:hint="eastAsia" w:ascii="方正小标宋简体" w:eastAsia="方正小标宋简体"/>
          <w:b w:val="0"/>
          <w:kern w:val="2"/>
          <w:sz w:val="36"/>
          <w:szCs w:val="36"/>
        </w:rPr>
        <w:t>调研公示</w:t>
      </w:r>
    </w:p>
    <w:p>
      <w:pPr>
        <w:widowControl/>
        <w:shd w:val="clear" w:color="auto" w:fill="FFFFFF"/>
        <w:spacing w:line="336" w:lineRule="auto"/>
        <w:jc w:val="center"/>
      </w:pPr>
    </w:p>
    <w:p>
      <w:pPr>
        <w:widowControl/>
        <w:shd w:val="clear" w:color="auto" w:fill="FFFFFF"/>
        <w:spacing w:line="336" w:lineRule="auto"/>
        <w:jc w:val="center"/>
        <w:rPr>
          <w:rFonts w:ascii="仿宋" w:hAnsi="仿宋" w:eastAsia="仿宋" w:cs="仿宋"/>
        </w:rPr>
      </w:pPr>
      <w:r>
        <w:rPr>
          <w:rFonts w:hint="eastAsia" w:ascii="仿宋" w:hAnsi="仿宋" w:eastAsia="仿宋" w:cs="仿宋"/>
          <w:b/>
          <w:color w:val="000000"/>
          <w:kern w:val="0"/>
          <w:sz w:val="24"/>
          <w:shd w:val="clear" w:color="auto" w:fill="FFFFFF"/>
        </w:rPr>
        <w:t>第一部分 须知前附表</w:t>
      </w:r>
    </w:p>
    <w:p>
      <w:pPr>
        <w:widowControl/>
        <w:shd w:val="clear" w:color="auto" w:fill="FFFFFF"/>
        <w:spacing w:line="336" w:lineRule="auto"/>
      </w:pPr>
      <w:r>
        <w:rPr>
          <w:rFonts w:hint="eastAsia" w:ascii="宋体" w:hAnsi="宋体" w:cs="宋体"/>
          <w:b/>
          <w:color w:val="000000"/>
          <w:kern w:val="0"/>
          <w:sz w:val="24"/>
          <w:shd w:val="clear" w:color="auto" w:fill="FFFFFF"/>
        </w:rPr>
        <w:t> </w:t>
      </w:r>
    </w:p>
    <w:tbl>
      <w:tblPr>
        <w:tblW w:w="8745"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 w:hAnsi="仿宋" w:eastAsia="仿宋" w:cs="仿宋"/>
              </w:rPr>
            </w:pPr>
            <w:r>
              <w:rPr>
                <w:rFonts w:hint="eastAsia" w:ascii="仿宋" w:hAnsi="仿宋" w:eastAsia="仿宋" w:cs="仿宋"/>
                <w:b/>
                <w:color w:val="000000"/>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b/>
                <w:color w:val="000000"/>
                <w:kern w:val="0"/>
                <w:sz w:val="24"/>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sz w:val="24"/>
              </w:rPr>
            </w:pPr>
            <w:r>
              <w:rPr>
                <w:rFonts w:hint="eastAsia" w:ascii="仿宋" w:hAnsi="仿宋" w:eastAsia="仿宋" w:cs="仿宋"/>
                <w:color w:val="000000"/>
                <w:kern w:val="0"/>
                <w:sz w:val="24"/>
              </w:rPr>
              <w:t>调研报名公示开始时间：202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 月　</w:t>
            </w: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　日北京时间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调研报名截止时间：202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 月　</w:t>
            </w:r>
            <w:r>
              <w:rPr>
                <w:rFonts w:hint="eastAsia" w:ascii="仿宋" w:hAnsi="仿宋" w:eastAsia="仿宋" w:cs="仿宋"/>
                <w:color w:val="000000"/>
                <w:kern w:val="0"/>
                <w:sz w:val="24"/>
                <w:lang w:val="en-US" w:eastAsia="zh-CN"/>
              </w:rPr>
              <w:t>13</w:t>
            </w:r>
            <w:r>
              <w:rPr>
                <w:rFonts w:hint="eastAsia" w:ascii="仿宋" w:hAnsi="仿宋" w:eastAsia="仿宋" w:cs="仿宋"/>
                <w:color w:val="000000"/>
                <w:kern w:val="0"/>
                <w:sz w:val="24"/>
              </w:rPr>
              <w:t>　日下午17分北京时间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(报名请携带加盖公章的项目文件回执单、营业执照复印件、公司简介)</w:t>
            </w:r>
          </w:p>
          <w:p>
            <w:pPr>
              <w:widowControl/>
              <w:spacing w:line="315" w:lineRule="atLeast"/>
              <w:rPr>
                <w:rFonts w:ascii="仿宋" w:hAnsi="仿宋" w:eastAsia="仿宋" w:cs="仿宋"/>
                <w:color w:val="000000"/>
                <w:kern w:val="0"/>
                <w:sz w:val="24"/>
              </w:rPr>
            </w:pPr>
          </w:p>
          <w:p>
            <w:pPr>
              <w:widowControl/>
              <w:spacing w:line="315" w:lineRule="atLeast"/>
              <w:rPr>
                <w:rFonts w:ascii="仿宋" w:hAnsi="仿宋" w:eastAsia="仿宋" w:cs="仿宋"/>
                <w:color w:val="000000"/>
                <w:kern w:val="0"/>
                <w:sz w:val="24"/>
                <w:u w:val="single"/>
              </w:rPr>
            </w:pPr>
            <w:r>
              <w:rPr>
                <w:rFonts w:hint="eastAsia" w:ascii="仿宋" w:hAnsi="仿宋" w:eastAsia="仿宋" w:cs="仿宋"/>
                <w:color w:val="000000"/>
                <w:kern w:val="0"/>
                <w:sz w:val="24"/>
              </w:rPr>
              <w:t>调研会时间：</w:t>
            </w:r>
            <w:r>
              <w:rPr>
                <w:rFonts w:hint="eastAsia" w:ascii="仿宋_GB2312" w:eastAsia="仿宋_GB2312"/>
                <w:sz w:val="24"/>
                <w:u w:val="single"/>
              </w:rPr>
              <w:t>调研会议时间另行通知</w:t>
            </w:r>
            <w:r>
              <w:rPr>
                <w:rFonts w:hint="eastAsia" w:ascii="仿宋" w:hAnsi="仿宋" w:eastAsia="仿宋" w:cs="仿宋"/>
                <w:color w:val="000000"/>
                <w:kern w:val="0"/>
                <w:sz w:val="24"/>
                <w:u w:val="single"/>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 xml:space="preserve">项目： </w:t>
            </w:r>
            <w:r>
              <w:rPr>
                <w:rFonts w:ascii="仿宋" w:hAnsi="仿宋" w:eastAsia="仿宋" w:cs="仿宋"/>
                <w:color w:val="000000"/>
                <w:kern w:val="0"/>
                <w:sz w:val="24"/>
              </w:rPr>
              <w:t xml:space="preserve">  </w:t>
            </w:r>
            <w:r>
              <w:rPr>
                <w:rFonts w:ascii="仿宋" w:hAnsi="仿宋" w:eastAsia="仿宋" w:cs="仿宋"/>
                <w:color w:val="000000"/>
                <w:kern w:val="0"/>
                <w:sz w:val="28"/>
                <w:szCs w:val="28"/>
              </w:rPr>
              <w:t xml:space="preserve"> </w:t>
            </w:r>
            <w:r>
              <w:rPr>
                <w:rFonts w:hint="eastAsia" w:ascii="方正小标宋简体" w:eastAsia="方正小标宋简体"/>
                <w:b w:val="0"/>
                <w:kern w:val="2"/>
                <w:sz w:val="28"/>
                <w:szCs w:val="28"/>
              </w:rPr>
              <w:t>核酸检测管理系统项目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文件正本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hint="eastAsia" w:ascii="仿宋" w:hAnsi="仿宋" w:eastAsia="仿宋" w:cs="仿宋"/>
                <w:color w:val="000000"/>
                <w:kern w:val="0"/>
                <w:sz w:val="24"/>
                <w:u w:val="single"/>
              </w:rPr>
              <w:t>1　</w:t>
            </w:r>
            <w:r>
              <w:rPr>
                <w:rFonts w:hint="eastAsia" w:ascii="仿宋" w:hAnsi="仿宋" w:eastAsia="仿宋" w:cs="仿宋"/>
                <w:color w:val="000000"/>
                <w:kern w:val="0"/>
                <w:sz w:val="24"/>
              </w:rPr>
              <w:t>份，副本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ascii="仿宋" w:hAnsi="仿宋" w:eastAsia="仿宋" w:cs="仿宋"/>
                <w:color w:val="000000"/>
                <w:kern w:val="0"/>
                <w:sz w:val="24"/>
                <w:u w:val="single"/>
              </w:rPr>
              <w:t>2</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文件递交处：</w:t>
            </w:r>
            <w:r>
              <w:rPr>
                <w:rFonts w:hint="eastAsia" w:ascii="仿宋" w:hAnsi="仿宋" w:eastAsia="仿宋" w:cs="仿宋"/>
                <w:color w:val="000000"/>
                <w:kern w:val="0"/>
                <w:sz w:val="24"/>
                <w:u w:val="single"/>
              </w:rPr>
              <w:t>　福建省肿瘤医院 网络办会议室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上述时间、地点如有变动，以单位届时通知为准。</w:t>
            </w:r>
          </w:p>
        </w:tc>
      </w:tr>
    </w:tbl>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地　址： 福建省福州市福马路420号 福建省肿瘤医院科研楼四楼网络办</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邮　编： 3500</w:t>
      </w:r>
      <w:r>
        <w:rPr>
          <w:rFonts w:ascii="仿宋" w:hAnsi="仿宋" w:eastAsia="仿宋" w:cs="仿宋"/>
          <w:b/>
          <w:color w:val="000000"/>
          <w:kern w:val="0"/>
          <w:sz w:val="24"/>
          <w:shd w:val="clear" w:color="auto" w:fill="FFFFFF"/>
        </w:rPr>
        <w:t>14</w:t>
      </w:r>
      <w:r>
        <w:rPr>
          <w:rFonts w:hint="eastAsia" w:ascii="仿宋" w:hAnsi="仿宋" w:eastAsia="仿宋" w:cs="仿宋"/>
          <w:b/>
          <w:color w:val="000000"/>
          <w:kern w:val="0"/>
          <w:sz w:val="24"/>
          <w:shd w:val="clear" w:color="auto" w:fill="FFFFFF"/>
        </w:rPr>
        <w:t>　 </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电　话： 0591-83660063-8822</w:t>
      </w:r>
    </w:p>
    <w:p>
      <w:pPr>
        <w:widowControl/>
        <w:shd w:val="clear" w:color="auto" w:fill="FFFFFF"/>
        <w:spacing w:line="440" w:lineRule="atLeast"/>
      </w:pPr>
      <w:r>
        <w:rPr>
          <w:rFonts w:hint="eastAsia" w:ascii="仿宋" w:hAnsi="仿宋" w:eastAsia="仿宋" w:cs="仿宋"/>
          <w:b/>
          <w:color w:val="000000"/>
          <w:kern w:val="0"/>
          <w:sz w:val="24"/>
          <w:shd w:val="clear" w:color="auto" w:fill="FFFFFF"/>
        </w:rPr>
        <w:t>联系人： 金工</w:t>
      </w:r>
    </w:p>
    <w:p>
      <w:pPr>
        <w:widowControl/>
        <w:shd w:val="clear" w:color="auto" w:fill="FFFFFF"/>
        <w:spacing w:line="440" w:lineRule="atLeast"/>
        <w:ind w:firstLine="480"/>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 </w:t>
      </w:r>
    </w:p>
    <w:p>
      <w:pPr>
        <w:spacing w:line="360" w:lineRule="auto"/>
        <w:rPr>
          <w:rFonts w:ascii="宋体" w:hAnsi="宋体"/>
          <w:b/>
          <w:sz w:val="22"/>
        </w:rPr>
      </w:pPr>
    </w:p>
    <w:p>
      <w:pPr>
        <w:widowControl/>
        <w:shd w:val="clear" w:color="auto" w:fill="FFFFFF"/>
        <w:spacing w:line="440" w:lineRule="atLeast"/>
        <w:ind w:firstLine="420" w:firstLineChars="0"/>
        <w:rPr>
          <w:rFonts w:hint="eastAsia" w:ascii="仿宋" w:hAnsi="仿宋" w:eastAsia="仿宋" w:cs="仿宋"/>
          <w:b w:val="0"/>
          <w:bCs/>
          <w:color w:val="000000"/>
          <w:kern w:val="0"/>
          <w:sz w:val="28"/>
          <w:szCs w:val="28"/>
          <w:shd w:val="clear" w:color="auto" w:fill="FFFFFF"/>
        </w:rPr>
      </w:pPr>
      <w:bookmarkStart w:id="0" w:name="_GoBack"/>
      <w:r>
        <w:rPr>
          <w:rFonts w:hint="eastAsia" w:ascii="仿宋" w:hAnsi="仿宋" w:eastAsia="仿宋" w:cs="仿宋"/>
          <w:b w:val="0"/>
          <w:bCs/>
          <w:color w:val="000000"/>
          <w:kern w:val="0"/>
          <w:sz w:val="28"/>
          <w:szCs w:val="28"/>
          <w:shd w:val="clear" w:color="auto" w:fill="FFFFFF"/>
        </w:rPr>
        <w:t>在采购报名、采购调研等采购过程中有任何异议，可联系我院监督科室。</w:t>
      </w:r>
    </w:p>
    <w:p>
      <w:pPr>
        <w:widowControl/>
        <w:shd w:val="clear" w:color="auto" w:fill="FFFFFF"/>
        <w:spacing w:line="440" w:lineRule="atLeast"/>
        <w:ind w:firstLine="420" w:firstLineChars="0"/>
        <w:rPr>
          <w:rFonts w:hint="eastAsia" w:ascii="仿宋" w:hAnsi="仿宋" w:eastAsia="仿宋" w:cs="仿宋"/>
          <w:b w:val="0"/>
          <w:bCs/>
          <w:color w:val="000000"/>
          <w:kern w:val="0"/>
          <w:sz w:val="28"/>
          <w:szCs w:val="28"/>
          <w:shd w:val="clear" w:color="auto" w:fill="FFFFFF"/>
        </w:rPr>
      </w:pPr>
      <w:r>
        <w:rPr>
          <w:rFonts w:hint="eastAsia" w:ascii="仿宋" w:hAnsi="仿宋" w:eastAsia="仿宋" w:cs="仿宋"/>
          <w:b w:val="0"/>
          <w:bCs/>
          <w:color w:val="000000"/>
          <w:kern w:val="0"/>
          <w:sz w:val="28"/>
          <w:szCs w:val="28"/>
          <w:shd w:val="clear" w:color="auto" w:fill="FFFFFF"/>
        </w:rPr>
        <w:t>电话：83660063-8407；83660063-8467。</w:t>
      </w:r>
    </w:p>
    <w:bookmarkEnd w:id="0"/>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采购内容</w:t>
      </w:r>
    </w:p>
    <w:p>
      <w:pPr>
        <w:widowControl/>
        <w:shd w:val="clear" w:color="auto" w:fill="FFFFFF"/>
        <w:ind w:firstLine="480"/>
        <w:rPr>
          <w:rFonts w:ascii="宋体" w:hAnsi="宋体" w:cs="宋体"/>
          <w:b/>
          <w:color w:val="000000"/>
          <w:kern w:val="0"/>
          <w:sz w:val="24"/>
          <w:shd w:val="clear" w:color="auto" w:fill="FFFFFF"/>
        </w:rPr>
      </w:pPr>
    </w:p>
    <w:tbl>
      <w:tblPr>
        <w:tblW w:w="9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76"/>
        <w:gridCol w:w="4040"/>
        <w:gridCol w:w="1983"/>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合同包</w:t>
            </w:r>
          </w:p>
        </w:tc>
        <w:tc>
          <w:tcPr>
            <w:tcW w:w="4040"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采购标的</w:t>
            </w:r>
          </w:p>
        </w:tc>
        <w:tc>
          <w:tcPr>
            <w:tcW w:w="198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数量/单位</w:t>
            </w:r>
          </w:p>
        </w:tc>
        <w:tc>
          <w:tcPr>
            <w:tcW w:w="198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预算限价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4040" w:type="dxa"/>
            <w:vAlign w:val="top"/>
          </w:tcPr>
          <w:p>
            <w:pPr>
              <w:widowControl/>
              <w:spacing w:line="360" w:lineRule="auto"/>
              <w:jc w:val="center"/>
              <w:rPr>
                <w:rFonts w:ascii="仿宋" w:hAnsi="仿宋" w:eastAsia="仿宋" w:cs="仿宋"/>
                <w:kern w:val="0"/>
                <w:sz w:val="24"/>
              </w:rPr>
            </w:pPr>
            <w:r>
              <w:rPr>
                <w:rFonts w:hint="eastAsia" w:ascii="方正小标宋简体" w:eastAsia="方正小标宋简体"/>
                <w:sz w:val="28"/>
                <w:szCs w:val="28"/>
              </w:rPr>
              <w:t>核酸检测管理系统项目</w:t>
            </w:r>
          </w:p>
        </w:tc>
        <w:tc>
          <w:tcPr>
            <w:tcW w:w="1983"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983" w:type="dxa"/>
            <w:vAlign w:val="top"/>
          </w:tcPr>
          <w:p>
            <w:pPr>
              <w:widowControl/>
              <w:spacing w:line="360" w:lineRule="auto"/>
              <w:jc w:val="center"/>
              <w:rPr>
                <w:rFonts w:ascii="仿宋" w:hAnsi="仿宋" w:eastAsia="仿宋" w:cs="仿宋"/>
                <w:kern w:val="0"/>
                <w:sz w:val="24"/>
              </w:rPr>
            </w:pPr>
            <w:r>
              <w:rPr>
                <w:rFonts w:ascii="仿宋" w:hAnsi="仿宋" w:eastAsia="仿宋" w:cs="仿宋"/>
                <w:kern w:val="0"/>
                <w:sz w:val="24"/>
              </w:rPr>
              <w:t>300</w:t>
            </w:r>
            <w:r>
              <w:rPr>
                <w:rFonts w:hint="eastAsia" w:ascii="仿宋" w:hAnsi="仿宋" w:eastAsia="仿宋" w:cs="仿宋"/>
                <w:kern w:val="0"/>
                <w:sz w:val="24"/>
              </w:rPr>
              <w:t>万</w:t>
            </w:r>
          </w:p>
        </w:tc>
      </w:tr>
    </w:tbl>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软件技术功能及服务要求</w:t>
      </w:r>
    </w:p>
    <w:p>
      <w:pPr>
        <w:pStyle w:val="3"/>
      </w:pPr>
      <w:r>
        <w:rPr>
          <w:rFonts w:hint="eastAsia"/>
          <w:shd w:val="clear" w:color="auto" w:fill="FFFFFF"/>
        </w:rPr>
        <w:t>1、</w:t>
      </w:r>
      <w:r>
        <w:rPr>
          <w:rFonts w:hint="eastAsia"/>
        </w:rPr>
        <w:t>总体要求</w:t>
      </w:r>
    </w:p>
    <w:tbl>
      <w:tblPr>
        <w:tblW w:w="9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2" w:type="dxa"/>
            <w:vAlign w:val="top"/>
          </w:tcPr>
          <w:p>
            <w:pPr>
              <w:rPr>
                <w:rFonts w:ascii="宋体" w:hAnsi="宋体"/>
              </w:rPr>
            </w:pPr>
            <w:r>
              <w:rPr>
                <w:rFonts w:hint="eastAsia" w:ascii="宋体" w:hAnsi="宋体"/>
              </w:rPr>
              <w:t>序号</w:t>
            </w:r>
          </w:p>
        </w:tc>
        <w:tc>
          <w:tcPr>
            <w:tcW w:w="8590" w:type="dxa"/>
            <w:vAlign w:val="top"/>
          </w:tcPr>
          <w:p>
            <w:pPr>
              <w:rPr>
                <w:rFonts w:ascii="宋体" w:hAnsi="宋体"/>
              </w:rPr>
            </w:pPr>
            <w:r>
              <w:rPr>
                <w:rFonts w:hint="eastAsia" w:ascii="宋体" w:hAnsi="宋体"/>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1</w:t>
            </w:r>
          </w:p>
        </w:tc>
        <w:tc>
          <w:tcPr>
            <w:tcW w:w="8590" w:type="dxa"/>
            <w:vAlign w:val="top"/>
          </w:tcPr>
          <w:p>
            <w:pPr>
              <w:rPr>
                <w:rFonts w:ascii="宋体" w:hAnsi="宋体"/>
              </w:rPr>
            </w:pPr>
            <w:r>
              <w:rPr>
                <w:rFonts w:hint="eastAsia" w:ascii="宋体" w:hAnsi="宋体"/>
              </w:rPr>
              <w:t>软件的研发严格执行国际软件工程的标准（CMM、ISO等），符合国际医疗软件的规范（HL7、SNOMED、ICD-9/10、IHE、XML等），符合卫生部《医院信息系统基本功能规范》2002版要求,符合卫生部《电子病历基本架构与数据标准》的要求，全院系统一体化建设，互联互通标准。软件的数据字典应遵循国际和国家数据字典标准规范。软件遵从国家和地方政府的相关法规，满足医疗保险政策和医疗改革政策对医院的要求，满足医院相关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2</w:t>
            </w:r>
          </w:p>
        </w:tc>
        <w:tc>
          <w:tcPr>
            <w:tcW w:w="8590" w:type="dxa"/>
            <w:vAlign w:val="top"/>
          </w:tcPr>
          <w:p>
            <w:pPr>
              <w:rPr>
                <w:rFonts w:ascii="宋体" w:hAnsi="宋体"/>
              </w:rPr>
            </w:pPr>
            <w:r>
              <w:rPr>
                <w:rFonts w:hint="eastAsia" w:ascii="宋体" w:hAnsi="宋体"/>
              </w:rPr>
              <w:t>软件产品成熟稳定，具有自主知识产权，功能模块齐全，符合应用规范，满足业务需求。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3</w:t>
            </w:r>
          </w:p>
        </w:tc>
        <w:tc>
          <w:tcPr>
            <w:tcW w:w="8590" w:type="dxa"/>
            <w:vAlign w:val="top"/>
          </w:tcPr>
          <w:p>
            <w:pPr>
              <w:rPr>
                <w:rFonts w:ascii="宋体" w:hAnsi="宋体"/>
              </w:rPr>
            </w:pPr>
            <w:r>
              <w:rPr>
                <w:rFonts w:hint="eastAsia" w:ascii="宋体" w:hAnsi="宋体"/>
              </w:rPr>
              <w:t>具备科学、合理、先进的软件系统架构，并具有高度的灵活性和扩展性，并能满足未来五年的医院发展和信息技术发展的需要，满足医院可持续的流程优化和系统集成优化的需要。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4</w:t>
            </w:r>
          </w:p>
        </w:tc>
        <w:tc>
          <w:tcPr>
            <w:tcW w:w="8590" w:type="dxa"/>
            <w:vAlign w:val="top"/>
          </w:tcPr>
          <w:p>
            <w:pPr>
              <w:rPr>
                <w:rFonts w:ascii="宋体" w:hAnsi="宋体"/>
              </w:rPr>
            </w:pPr>
            <w:r>
              <w:rPr>
                <w:rFonts w:hint="eastAsia" w:ascii="宋体" w:hAnsi="宋体"/>
              </w:rPr>
              <w:t>要求投标人针对医院的医院信息管理需求提供一体化解决方案。软件要以“以病人为中心、以临床信息为主线，以提高医院经济、社会效益，提高医院科学管理水平，提高医生医疗水平，提高医院医疗、服务质量为基本点”为设计思想，为医院提供人、财、物的相关管理，并能对医、护、技、检等方面的业务处理具备足够的管理和支持能力，支持联机事务处理，支持科室信息汇总分析与收支经济核算，支持医院领导对医疗动态与医疗质量的宏观监督与控制以及对全院收支经济信息的及时响应，真正达到医院信息化管理的要求，最大限度的满足实际工作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5</w:t>
            </w:r>
          </w:p>
        </w:tc>
        <w:tc>
          <w:tcPr>
            <w:tcW w:w="8590" w:type="dxa"/>
            <w:vAlign w:val="top"/>
          </w:tcPr>
          <w:p>
            <w:pPr>
              <w:rPr>
                <w:rFonts w:ascii="宋体" w:hAnsi="宋体"/>
              </w:rPr>
            </w:pPr>
            <w:r>
              <w:rPr>
                <w:rFonts w:hint="eastAsia" w:ascii="宋体" w:hAnsi="宋体"/>
              </w:rPr>
              <w:t>全部软件系统均采用网络版；模块化设计，可拆分组装，分步实施；功能齐全，覆盖面包括医疗、护理、医技等临床信息及人事、经济、设备、材料、医保等管理信息。并做到有机集成、无缝连接；流程规范，优化管理，符合相关标准和规范的要求；严格权限设置，高度安全保密；运行稳定可靠，易学易用，操作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6</w:t>
            </w:r>
          </w:p>
        </w:tc>
        <w:tc>
          <w:tcPr>
            <w:tcW w:w="8590" w:type="dxa"/>
            <w:vAlign w:val="top"/>
          </w:tcPr>
          <w:p>
            <w:pPr>
              <w:rPr>
                <w:rFonts w:ascii="宋体" w:hAnsi="宋体"/>
              </w:rPr>
            </w:pPr>
            <w:r>
              <w:rPr>
                <w:rFonts w:hint="eastAsia" w:ascii="宋体" w:hAnsi="宋体"/>
              </w:rPr>
              <w:t>软件设计应满足医院相关个性化要求和本地特色。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7</w:t>
            </w:r>
          </w:p>
        </w:tc>
        <w:tc>
          <w:tcPr>
            <w:tcW w:w="8590" w:type="dxa"/>
            <w:vAlign w:val="top"/>
          </w:tcPr>
          <w:p>
            <w:pPr>
              <w:rPr>
                <w:rFonts w:ascii="宋体" w:hAnsi="宋体"/>
              </w:rPr>
            </w:pPr>
            <w:r>
              <w:rPr>
                <w:rFonts w:hint="eastAsia" w:ascii="宋体" w:hAnsi="宋体"/>
              </w:rPr>
              <w:t>确保软件系统的稳定性和安全性，所有子系统实施统一的身份认证和权限管理。实现单点登陆，多向访问；有限操作，保存痕迹；应用层与基础数据层有访问限制，保密信息与公开信息有严密隔离等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8</w:t>
            </w:r>
          </w:p>
        </w:tc>
        <w:tc>
          <w:tcPr>
            <w:tcW w:w="8590" w:type="dxa"/>
            <w:vAlign w:val="top"/>
          </w:tcPr>
          <w:p>
            <w:pPr>
              <w:rPr>
                <w:rFonts w:ascii="宋体" w:hAnsi="宋体"/>
              </w:rPr>
            </w:pPr>
            <w:r>
              <w:rPr>
                <w:rFonts w:hint="eastAsia" w:ascii="宋体" w:hAnsi="宋体"/>
              </w:rPr>
              <w:t>建立严格的软件审核、测试、验收等制度，建立反应机敏的BUG追踪和系统化升级修改的软件质量管理机制。按照项目管理的国际规范，在确保质量的前提下，又好又快地按期完成。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rPr>
                <w:rFonts w:ascii="宋体" w:hAnsi="宋体"/>
              </w:rPr>
            </w:pPr>
            <w:r>
              <w:rPr>
                <w:rFonts w:hint="eastAsia" w:ascii="宋体" w:hAnsi="宋体"/>
              </w:rPr>
              <w:t>9</w:t>
            </w:r>
          </w:p>
        </w:tc>
        <w:tc>
          <w:tcPr>
            <w:tcW w:w="8590" w:type="dxa"/>
            <w:vAlign w:val="top"/>
          </w:tcPr>
          <w:p>
            <w:pPr>
              <w:rPr>
                <w:rFonts w:ascii="宋体" w:hAnsi="宋体"/>
              </w:rPr>
            </w:pPr>
            <w:r>
              <w:rPr>
                <w:rFonts w:hint="eastAsia" w:ascii="宋体" w:hAnsi="宋体"/>
              </w:rPr>
              <w:t>提供一次各个层次的技术培训。从项目组织管理、售后服务方面保证为本项目提供长期持续服务支持。</w:t>
            </w:r>
          </w:p>
        </w:tc>
      </w:tr>
    </w:tbl>
    <w:p>
      <w:pPr>
        <w:pStyle w:val="3"/>
      </w:pPr>
      <w:r>
        <w:rPr>
          <w:rFonts w:hint="eastAsia"/>
          <w:lang w:val="en-US" w:eastAsia="zh-CN"/>
        </w:rPr>
        <w:t>2、</w:t>
      </w:r>
      <w:r>
        <w:rPr>
          <w:rFonts w:hint="eastAsia"/>
        </w:rPr>
        <w:t>技术要求</w:t>
      </w:r>
    </w:p>
    <w:tbl>
      <w:tblPr>
        <w:tblW w:w="9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20"/>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blHeader/>
        </w:trPr>
        <w:tc>
          <w:tcPr>
            <w:tcW w:w="707" w:type="dxa"/>
            <w:vAlign w:val="center"/>
          </w:tcPr>
          <w:p>
            <w:pPr>
              <w:rPr>
                <w:rFonts w:ascii="宋体" w:hAnsi="宋体"/>
              </w:rPr>
            </w:pPr>
            <w:r>
              <w:rPr>
                <w:rFonts w:hint="eastAsia" w:ascii="宋体" w:hAnsi="宋体"/>
              </w:rPr>
              <w:t>序号</w:t>
            </w:r>
          </w:p>
        </w:tc>
        <w:tc>
          <w:tcPr>
            <w:tcW w:w="1520" w:type="dxa"/>
            <w:vAlign w:val="center"/>
          </w:tcPr>
          <w:p>
            <w:pPr>
              <w:rPr>
                <w:rFonts w:ascii="宋体" w:hAnsi="宋体"/>
              </w:rPr>
            </w:pPr>
            <w:r>
              <w:rPr>
                <w:rFonts w:hint="eastAsia" w:ascii="宋体" w:hAnsi="宋体"/>
              </w:rPr>
              <w:t>项目</w:t>
            </w:r>
          </w:p>
        </w:tc>
        <w:tc>
          <w:tcPr>
            <w:tcW w:w="7055" w:type="dxa"/>
            <w:vAlign w:val="center"/>
          </w:tcPr>
          <w:p>
            <w:pPr>
              <w:rPr>
                <w:rFonts w:ascii="宋体" w:hAnsi="宋体"/>
              </w:rPr>
            </w:pPr>
            <w:r>
              <w:rPr>
                <w:rFonts w:hint="eastAsia" w:ascii="宋体" w:hAnsi="宋体"/>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07" w:type="dxa"/>
            <w:vAlign w:val="center"/>
          </w:tcPr>
          <w:p>
            <w:pPr>
              <w:rPr>
                <w:rFonts w:ascii="宋体" w:hAnsi="宋体"/>
              </w:rPr>
            </w:pPr>
            <w:r>
              <w:rPr>
                <w:rFonts w:hint="eastAsia" w:ascii="宋体" w:hAnsi="宋体"/>
              </w:rPr>
              <w:t>1</w:t>
            </w:r>
          </w:p>
        </w:tc>
        <w:tc>
          <w:tcPr>
            <w:tcW w:w="1520" w:type="dxa"/>
            <w:vAlign w:val="center"/>
          </w:tcPr>
          <w:p>
            <w:pPr>
              <w:rPr>
                <w:rFonts w:ascii="宋体" w:hAnsi="宋体"/>
              </w:rPr>
            </w:pPr>
            <w:r>
              <w:rPr>
                <w:rFonts w:hint="eastAsia" w:ascii="宋体" w:hAnsi="宋体"/>
              </w:rPr>
              <w:t>研发技术要求</w:t>
            </w:r>
          </w:p>
        </w:tc>
        <w:tc>
          <w:tcPr>
            <w:tcW w:w="7055" w:type="dxa"/>
            <w:vAlign w:val="center"/>
          </w:tcPr>
          <w:p>
            <w:pPr>
              <w:rPr>
                <w:rFonts w:ascii="宋体" w:hAnsi="宋体"/>
              </w:rPr>
            </w:pPr>
            <w:r>
              <w:rPr>
                <w:rFonts w:hint="eastAsia" w:ascii="宋体" w:hAnsi="宋体"/>
              </w:rPr>
              <w:t>采用微服务架构，组件化、平台化开发与集成模式，充分考虑系统的开放性、可扩展性、稳定性及安全性。系统业务逻辑清晰，系统支持B/S架构。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7" w:type="dxa"/>
            <w:vAlign w:val="center"/>
          </w:tcPr>
          <w:p>
            <w:pPr>
              <w:rPr>
                <w:rFonts w:ascii="宋体" w:hAnsi="宋体"/>
              </w:rPr>
            </w:pPr>
            <w:r>
              <w:rPr>
                <w:rFonts w:hint="eastAsia" w:ascii="宋体" w:hAnsi="宋体"/>
              </w:rPr>
              <w:t>2</w:t>
            </w:r>
          </w:p>
        </w:tc>
        <w:tc>
          <w:tcPr>
            <w:tcW w:w="1520" w:type="dxa"/>
            <w:vAlign w:val="center"/>
          </w:tcPr>
          <w:p>
            <w:pPr>
              <w:rPr>
                <w:rFonts w:ascii="宋体" w:hAnsi="宋体"/>
              </w:rPr>
            </w:pPr>
            <w:r>
              <w:rPr>
                <w:rFonts w:hint="eastAsia" w:ascii="宋体" w:hAnsi="宋体"/>
              </w:rPr>
              <w:t>设计方法与技术架构</w:t>
            </w:r>
          </w:p>
        </w:tc>
        <w:tc>
          <w:tcPr>
            <w:tcW w:w="7055" w:type="dxa"/>
            <w:vAlign w:val="center"/>
          </w:tcPr>
          <w:p>
            <w:pPr>
              <w:rPr>
                <w:rFonts w:ascii="宋体" w:hAnsi="宋体"/>
              </w:rPr>
            </w:pPr>
            <w:r>
              <w:rPr>
                <w:rFonts w:hint="eastAsia" w:ascii="宋体" w:hAnsi="宋体"/>
              </w:rPr>
              <w:t>采用业界先进、成熟的软件开发技术和设计方法，可视化的、面向对象的开发工具，支持Java主流开发语言。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7" w:type="dxa"/>
            <w:vAlign w:val="center"/>
          </w:tcPr>
          <w:p>
            <w:pPr>
              <w:rPr>
                <w:rFonts w:ascii="宋体" w:hAnsi="宋体"/>
              </w:rPr>
            </w:pPr>
            <w:r>
              <w:rPr>
                <w:rFonts w:hint="eastAsia" w:ascii="宋体" w:hAnsi="宋体"/>
              </w:rPr>
              <w:t>3</w:t>
            </w:r>
          </w:p>
        </w:tc>
        <w:tc>
          <w:tcPr>
            <w:tcW w:w="1520" w:type="dxa"/>
            <w:vAlign w:val="center"/>
          </w:tcPr>
          <w:p>
            <w:pPr>
              <w:rPr>
                <w:rFonts w:ascii="宋体" w:hAnsi="宋体"/>
              </w:rPr>
            </w:pPr>
            <w:r>
              <w:rPr>
                <w:rFonts w:hint="eastAsia" w:ascii="宋体" w:hAnsi="宋体"/>
              </w:rPr>
              <w:t>标准化要求</w:t>
            </w:r>
          </w:p>
        </w:tc>
        <w:tc>
          <w:tcPr>
            <w:tcW w:w="7055" w:type="dxa"/>
            <w:vAlign w:val="center"/>
          </w:tcPr>
          <w:p>
            <w:pPr>
              <w:rPr>
                <w:rFonts w:ascii="宋体" w:hAnsi="宋体"/>
              </w:rPr>
            </w:pPr>
            <w:r>
              <w:rPr>
                <w:rFonts w:hint="eastAsia" w:ascii="宋体" w:hAnsi="宋体"/>
              </w:rPr>
              <w:t>支持HL7、ICD-10、DICOM、IHE等国际标准，符合卫生部2002年4月《医院信息系统基本功能规范》要求，符合卫生部《电子病历基本架构与数据标准》的要求，软件数据字典应遵循国家数据字典、省部委数据字典、地区和用户数据字典规范。并能充分实现客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07" w:type="dxa"/>
            <w:vAlign w:val="center"/>
          </w:tcPr>
          <w:p>
            <w:pPr>
              <w:rPr>
                <w:rFonts w:ascii="宋体" w:hAnsi="宋体"/>
              </w:rPr>
            </w:pPr>
            <w:r>
              <w:rPr>
                <w:rFonts w:hint="eastAsia" w:ascii="宋体" w:hAnsi="宋体"/>
              </w:rPr>
              <w:t>4</w:t>
            </w:r>
          </w:p>
        </w:tc>
        <w:tc>
          <w:tcPr>
            <w:tcW w:w="1520" w:type="dxa"/>
            <w:vAlign w:val="center"/>
          </w:tcPr>
          <w:p>
            <w:pPr>
              <w:rPr>
                <w:rFonts w:ascii="宋体" w:hAnsi="宋体"/>
              </w:rPr>
            </w:pPr>
            <w:r>
              <w:rPr>
                <w:rFonts w:hint="eastAsia" w:ascii="宋体" w:hAnsi="宋体"/>
              </w:rPr>
              <w:t>集成要求</w:t>
            </w:r>
          </w:p>
        </w:tc>
        <w:tc>
          <w:tcPr>
            <w:tcW w:w="7055" w:type="dxa"/>
            <w:vAlign w:val="center"/>
          </w:tcPr>
          <w:p>
            <w:pPr>
              <w:rPr>
                <w:rFonts w:ascii="宋体" w:hAnsi="宋体"/>
              </w:rPr>
            </w:pPr>
            <w:r>
              <w:rPr>
                <w:rFonts w:hint="eastAsia" w:ascii="宋体" w:hAnsi="宋体"/>
              </w:rPr>
              <w:t>支持病人主索引管理（EMPI）；</w:t>
            </w:r>
          </w:p>
          <w:p>
            <w:pPr>
              <w:rPr>
                <w:rFonts w:ascii="宋体" w:hAnsi="宋体"/>
              </w:rPr>
            </w:pPr>
            <w:r>
              <w:rPr>
                <w:rFonts w:hint="eastAsia" w:ascii="宋体" w:hAnsi="宋体"/>
              </w:rPr>
              <w:t>支持消息机制处理；</w:t>
            </w:r>
          </w:p>
          <w:p>
            <w:pPr>
              <w:rPr>
                <w:rFonts w:ascii="宋体" w:hAnsi="宋体"/>
              </w:rPr>
            </w:pPr>
            <w:r>
              <w:rPr>
                <w:rFonts w:hint="eastAsia" w:ascii="宋体" w:hAnsi="宋体"/>
              </w:rPr>
              <w:t>支持Web Service，提供定制开发接口适配器。</w:t>
            </w:r>
          </w:p>
          <w:p>
            <w:pPr>
              <w:rPr>
                <w:rFonts w:ascii="宋体" w:hAnsi="宋体"/>
              </w:rPr>
            </w:pPr>
            <w:r>
              <w:rPr>
                <w:rFonts w:hint="eastAsia" w:ascii="宋体" w:hAnsi="宋体"/>
              </w:rPr>
              <w:t>同时支持跨院区的数据交换与共享，实现院际间业务协同服务。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707" w:type="dxa"/>
            <w:vAlign w:val="center"/>
          </w:tcPr>
          <w:p>
            <w:pPr>
              <w:rPr>
                <w:rFonts w:ascii="宋体" w:hAnsi="宋体"/>
              </w:rPr>
            </w:pPr>
            <w:r>
              <w:rPr>
                <w:rFonts w:hint="eastAsia" w:ascii="宋体" w:hAnsi="宋体"/>
              </w:rPr>
              <w:t>5</w:t>
            </w:r>
          </w:p>
        </w:tc>
        <w:tc>
          <w:tcPr>
            <w:tcW w:w="1520" w:type="dxa"/>
            <w:vAlign w:val="center"/>
          </w:tcPr>
          <w:p>
            <w:pPr>
              <w:rPr>
                <w:rFonts w:ascii="宋体" w:hAnsi="宋体"/>
              </w:rPr>
            </w:pPr>
            <w:r>
              <w:rPr>
                <w:rFonts w:hint="eastAsia" w:ascii="宋体" w:hAnsi="宋体"/>
              </w:rPr>
              <w:t>数据库要求</w:t>
            </w:r>
          </w:p>
        </w:tc>
        <w:tc>
          <w:tcPr>
            <w:tcW w:w="7055" w:type="dxa"/>
            <w:vAlign w:val="center"/>
          </w:tcPr>
          <w:p>
            <w:pPr>
              <w:rPr>
                <w:rFonts w:ascii="宋体" w:hAnsi="宋体"/>
              </w:rPr>
            </w:pPr>
            <w:r>
              <w:rPr>
                <w:rFonts w:hint="eastAsia" w:ascii="宋体" w:hAnsi="宋体"/>
              </w:rPr>
              <w:t>采用主流结构化和非结构化数据库存储。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7" w:type="dxa"/>
            <w:vAlign w:val="center"/>
          </w:tcPr>
          <w:p>
            <w:pPr>
              <w:rPr>
                <w:rFonts w:ascii="宋体" w:hAnsi="宋体"/>
              </w:rPr>
            </w:pPr>
            <w:r>
              <w:rPr>
                <w:rFonts w:hint="eastAsia" w:ascii="宋体" w:hAnsi="宋体"/>
              </w:rPr>
              <w:t>6</w:t>
            </w:r>
          </w:p>
        </w:tc>
        <w:tc>
          <w:tcPr>
            <w:tcW w:w="1520" w:type="dxa"/>
            <w:vAlign w:val="center"/>
          </w:tcPr>
          <w:p>
            <w:pPr>
              <w:rPr>
                <w:rFonts w:ascii="宋体" w:hAnsi="宋体"/>
              </w:rPr>
            </w:pPr>
            <w:r>
              <w:rPr>
                <w:rFonts w:hint="eastAsia" w:ascii="宋体" w:hAnsi="宋体"/>
              </w:rPr>
              <w:t>系统安全性要求</w:t>
            </w:r>
          </w:p>
        </w:tc>
        <w:tc>
          <w:tcPr>
            <w:tcW w:w="7055" w:type="dxa"/>
            <w:vAlign w:val="center"/>
          </w:tcPr>
          <w:p>
            <w:pPr>
              <w:rPr>
                <w:rFonts w:ascii="宋体" w:hAnsi="宋体"/>
              </w:rPr>
            </w:pPr>
            <w:r>
              <w:rPr>
                <w:rFonts w:hint="eastAsia" w:ascii="宋体" w:hAnsi="宋体"/>
              </w:rPr>
              <w:t>应用系统授权方便、数据库登录用户权限、有完善备份功能、有完备的恢复功能、提供数据修改全程监控、提供错误日志、提供系统运行日志。提供包括单点登录、数据签名</w:t>
            </w:r>
            <w:r>
              <w:rPr>
                <w:rFonts w:ascii="宋体" w:hAnsi="宋体"/>
              </w:rPr>
              <w:t>、</w:t>
            </w:r>
            <w:r>
              <w:rPr>
                <w:rFonts w:hint="eastAsia" w:ascii="宋体" w:hAnsi="宋体"/>
              </w:rPr>
              <w:t>系统单机容灾等在内的信息安全保障措施。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07" w:type="dxa"/>
            <w:vAlign w:val="center"/>
          </w:tcPr>
          <w:p>
            <w:pPr>
              <w:rPr>
                <w:rFonts w:ascii="宋体" w:hAnsi="宋体"/>
              </w:rPr>
            </w:pPr>
            <w:r>
              <w:rPr>
                <w:rFonts w:hint="eastAsia" w:ascii="宋体" w:hAnsi="宋体"/>
              </w:rPr>
              <w:t>7</w:t>
            </w:r>
          </w:p>
        </w:tc>
        <w:tc>
          <w:tcPr>
            <w:tcW w:w="1520" w:type="dxa"/>
            <w:vAlign w:val="center"/>
          </w:tcPr>
          <w:p>
            <w:pPr>
              <w:rPr>
                <w:rFonts w:ascii="宋体" w:hAnsi="宋体"/>
              </w:rPr>
            </w:pPr>
            <w:r>
              <w:rPr>
                <w:rFonts w:hint="eastAsia" w:ascii="宋体" w:hAnsi="宋体"/>
              </w:rPr>
              <w:t>系统可扩充性</w:t>
            </w:r>
          </w:p>
        </w:tc>
        <w:tc>
          <w:tcPr>
            <w:tcW w:w="7055" w:type="dxa"/>
            <w:vAlign w:val="center"/>
          </w:tcPr>
          <w:p>
            <w:pPr>
              <w:rPr>
                <w:rFonts w:ascii="宋体" w:hAnsi="宋体"/>
              </w:rPr>
            </w:pPr>
            <w:r>
              <w:rPr>
                <w:rFonts w:hint="eastAsia" w:ascii="宋体" w:hAnsi="宋体"/>
              </w:rPr>
              <w:t>重要系统模块可以做到既可以单独运行也可以共享运行、提供其它模块和外部调用的函数、动态库、中间件、restful等接口。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07" w:type="dxa"/>
            <w:vAlign w:val="center"/>
          </w:tcPr>
          <w:p>
            <w:pPr>
              <w:rPr>
                <w:rFonts w:ascii="宋体" w:hAnsi="宋体"/>
              </w:rPr>
            </w:pPr>
            <w:r>
              <w:rPr>
                <w:rFonts w:hint="eastAsia" w:ascii="宋体" w:hAnsi="宋体"/>
              </w:rPr>
              <w:t>8</w:t>
            </w:r>
          </w:p>
        </w:tc>
        <w:tc>
          <w:tcPr>
            <w:tcW w:w="1520" w:type="dxa"/>
            <w:vAlign w:val="center"/>
          </w:tcPr>
          <w:p>
            <w:pPr>
              <w:rPr>
                <w:rFonts w:ascii="宋体" w:hAnsi="宋体"/>
              </w:rPr>
            </w:pPr>
            <w:r>
              <w:rPr>
                <w:rFonts w:hint="eastAsia" w:ascii="宋体" w:hAnsi="宋体"/>
              </w:rPr>
              <w:t>系统可维护性</w:t>
            </w:r>
          </w:p>
        </w:tc>
        <w:tc>
          <w:tcPr>
            <w:tcW w:w="7055" w:type="dxa"/>
            <w:vAlign w:val="center"/>
          </w:tcPr>
          <w:p>
            <w:pPr>
              <w:rPr>
                <w:rFonts w:ascii="宋体" w:hAnsi="宋体"/>
              </w:rPr>
            </w:pPr>
            <w:r>
              <w:rPr>
                <w:rFonts w:hint="eastAsia" w:ascii="宋体" w:hAnsi="宋体"/>
              </w:rPr>
              <w:t>系统安装方便、在程序中提供维护数据库的工具。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707" w:type="dxa"/>
            <w:vAlign w:val="center"/>
          </w:tcPr>
          <w:p>
            <w:pPr>
              <w:rPr>
                <w:rFonts w:ascii="宋体" w:hAnsi="宋体"/>
              </w:rPr>
            </w:pPr>
            <w:r>
              <w:rPr>
                <w:rFonts w:hint="eastAsia" w:ascii="宋体" w:hAnsi="宋体"/>
              </w:rPr>
              <w:t>9</w:t>
            </w:r>
          </w:p>
        </w:tc>
        <w:tc>
          <w:tcPr>
            <w:tcW w:w="1520" w:type="dxa"/>
            <w:vAlign w:val="center"/>
          </w:tcPr>
          <w:p>
            <w:pPr>
              <w:rPr>
                <w:rFonts w:ascii="宋体" w:hAnsi="宋体"/>
              </w:rPr>
            </w:pPr>
            <w:r>
              <w:rPr>
                <w:rFonts w:hint="eastAsia" w:ascii="宋体" w:hAnsi="宋体"/>
              </w:rPr>
              <w:t>系统升级方式</w:t>
            </w:r>
          </w:p>
        </w:tc>
        <w:tc>
          <w:tcPr>
            <w:tcW w:w="7055" w:type="dxa"/>
            <w:vAlign w:val="center"/>
          </w:tcPr>
          <w:p>
            <w:pPr>
              <w:rPr>
                <w:rFonts w:ascii="宋体" w:hAnsi="宋体"/>
              </w:rPr>
            </w:pPr>
            <w:r>
              <w:rPr>
                <w:rFonts w:hint="eastAsia" w:ascii="宋体" w:hAnsi="宋体"/>
              </w:rPr>
              <w:t>有统一自动升级程序、客户端自动升级。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07" w:type="dxa"/>
            <w:vAlign w:val="center"/>
          </w:tcPr>
          <w:p>
            <w:pPr>
              <w:rPr>
                <w:rFonts w:ascii="宋体" w:hAnsi="宋体"/>
              </w:rPr>
            </w:pPr>
            <w:r>
              <w:rPr>
                <w:rFonts w:hint="eastAsia" w:ascii="宋体" w:hAnsi="宋体"/>
              </w:rPr>
              <w:t>10</w:t>
            </w:r>
          </w:p>
        </w:tc>
        <w:tc>
          <w:tcPr>
            <w:tcW w:w="1520" w:type="dxa"/>
            <w:vAlign w:val="center"/>
          </w:tcPr>
          <w:p>
            <w:pPr>
              <w:rPr>
                <w:rFonts w:ascii="宋体" w:hAnsi="宋体"/>
              </w:rPr>
            </w:pPr>
            <w:r>
              <w:rPr>
                <w:rFonts w:hint="eastAsia" w:ascii="宋体" w:hAnsi="宋体"/>
              </w:rPr>
              <w:t>易用性</w:t>
            </w:r>
          </w:p>
        </w:tc>
        <w:tc>
          <w:tcPr>
            <w:tcW w:w="7055" w:type="dxa"/>
            <w:vAlign w:val="center"/>
          </w:tcPr>
          <w:p>
            <w:pPr>
              <w:rPr>
                <w:rFonts w:ascii="宋体" w:hAnsi="宋体"/>
              </w:rPr>
            </w:pPr>
            <w:r>
              <w:rPr>
                <w:rFonts w:hint="eastAsia" w:ascii="宋体" w:hAnsi="宋体"/>
              </w:rPr>
              <w:t>具有个性化设置功能，能定义到每一个操作员个性化设置，提供在线帮助，报表支持与EXCEL的接口，界面友好性，重要报告保持电子化的手工纸张样式。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07" w:type="dxa"/>
            <w:vAlign w:val="center"/>
          </w:tcPr>
          <w:p>
            <w:pPr>
              <w:rPr>
                <w:rFonts w:ascii="宋体" w:hAnsi="宋体"/>
              </w:rPr>
            </w:pPr>
            <w:r>
              <w:rPr>
                <w:rFonts w:hint="eastAsia" w:ascii="宋体" w:hAnsi="宋体"/>
              </w:rPr>
              <w:t>11</w:t>
            </w:r>
          </w:p>
        </w:tc>
        <w:tc>
          <w:tcPr>
            <w:tcW w:w="1520" w:type="dxa"/>
            <w:vAlign w:val="center"/>
          </w:tcPr>
          <w:p>
            <w:pPr>
              <w:rPr>
                <w:rFonts w:ascii="宋体" w:hAnsi="宋体"/>
              </w:rPr>
            </w:pPr>
            <w:r>
              <w:rPr>
                <w:rFonts w:hint="eastAsia" w:ascii="宋体" w:hAnsi="宋体"/>
              </w:rPr>
              <w:t>报表工具</w:t>
            </w:r>
          </w:p>
        </w:tc>
        <w:tc>
          <w:tcPr>
            <w:tcW w:w="7055" w:type="dxa"/>
            <w:vAlign w:val="center"/>
          </w:tcPr>
          <w:p>
            <w:pPr>
              <w:rPr>
                <w:rFonts w:ascii="宋体" w:hAnsi="宋体"/>
              </w:rPr>
            </w:pPr>
            <w:r>
              <w:rPr>
                <w:rFonts w:hint="eastAsia" w:ascii="宋体" w:hAnsi="宋体"/>
              </w:rPr>
              <w:t>提供报表工具</w:t>
            </w:r>
          </w:p>
        </w:tc>
      </w:tr>
    </w:tbl>
    <w:p>
      <w:pPr>
        <w:pStyle w:val="3"/>
      </w:pPr>
      <w:r>
        <w:rPr>
          <w:rFonts w:hint="eastAsia"/>
          <w:lang w:val="en-US" w:eastAsia="zh-CN"/>
        </w:rPr>
        <w:t>3、</w:t>
      </w:r>
      <w:r>
        <w:rPr>
          <w:rFonts w:hint="eastAsia"/>
        </w:rPr>
        <w:t>功能要求</w:t>
      </w:r>
    </w:p>
    <w:p>
      <w:pPr>
        <w:pStyle w:val="4"/>
      </w:pPr>
      <w:r>
        <w:rPr>
          <w:rFonts w:hint="eastAsia"/>
        </w:rPr>
        <w:t>软件功能要求</w:t>
      </w:r>
    </w:p>
    <w:p>
      <w:pPr>
        <w:spacing w:line="360" w:lineRule="auto"/>
      </w:pPr>
      <w:r>
        <w:rPr>
          <w:rFonts w:hint="eastAsia"/>
        </w:rPr>
        <w:t>（1）系统概述</w:t>
      </w:r>
    </w:p>
    <w:p>
      <w:pPr>
        <w:spacing w:line="360" w:lineRule="auto"/>
        <w:ind w:firstLine="420" w:firstLineChars="200"/>
      </w:pPr>
      <w:r>
        <w:rPr>
          <w:rFonts w:hint="eastAsia"/>
          <w:highlight w:val="none"/>
        </w:rPr>
        <w:t>新冠疫情爆发近三年多以来，自原始毒株发生了多次变异，产生了数以千种不同亚型分支的毒株，为精确诊断，做好临床与医学研究，为疫苗接种提供指引，夯实医疗科研成果，并及时跟踪新冠病毒变异及流行情况，毒株检测分型工作势在必行，对我院的医学检验业务特别是病理科分子诊断能力提出新的挑战。传统核酸检测作业方式及管理流程无法满足医院对新冠病毒毒株分型的质量要求，本项目将在医院现有病理信息化系统的基础上，遵循CNAS标准进行升级改造，加强分子病理实验室流程质控管理，建立核酸检测及分型管理数字化体系，以核酸样本采集为切入点，加入样本全流程追溯及，提升核酸检测、分型服务能力，并基于采集的数据进行标准化集成和存储，提供多维度查询和分析服务，进而提升科室效能，增加患者满意度，赋能提升临床诊疗质量。</w:t>
      </w:r>
    </w:p>
    <w:p>
      <w:pPr>
        <w:spacing w:line="360" w:lineRule="auto"/>
      </w:pPr>
      <w:r>
        <w:rPr>
          <w:rFonts w:hint="eastAsia"/>
        </w:rPr>
        <w:t>（2）功能清单</w:t>
      </w:r>
    </w:p>
    <w:tbl>
      <w:tblPr>
        <w:tblW w:w="92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9"/>
        <w:gridCol w:w="2310"/>
        <w:gridCol w:w="5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92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8"/>
                <w:szCs w:val="28"/>
                <w:u w:val="none"/>
              </w:rPr>
            </w:pPr>
            <w:r>
              <w:rPr>
                <w:rStyle w:val="26"/>
                <w:lang w:val="en-US" w:eastAsia="zh-CN"/>
              </w:rPr>
              <w:t>核酸检测管理系统软件参数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核酸检测全流程管理</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登记采样</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Style w:val="25"/>
                <w:lang w:val="en-US" w:eastAsia="zh-CN"/>
              </w:rPr>
              <w:t>支持申请单的登记与接收；</w:t>
            </w:r>
            <w:r>
              <w:rPr>
                <w:rStyle w:val="24"/>
                <w:rFonts w:eastAsia="宋体"/>
                <w:lang w:val="en-US" w:eastAsia="zh-CN"/>
              </w:rPr>
              <w:br/>
            </w:r>
            <w:r>
              <w:rPr>
                <w:rStyle w:val="25"/>
                <w:lang w:val="en-US" w:eastAsia="zh-CN"/>
              </w:rPr>
              <w:t>支持一个样本上登记多个检测来源、检测方式、检测项目、检测样本及样本号不应重复；</w:t>
            </w:r>
            <w:r>
              <w:rPr>
                <w:rStyle w:val="24"/>
                <w:rFonts w:eastAsia="宋体"/>
                <w:lang w:val="en-US" w:eastAsia="zh-CN"/>
              </w:rPr>
              <w:br/>
            </w:r>
            <w:r>
              <w:rPr>
                <w:rStyle w:val="25"/>
                <w:lang w:val="en-US" w:eastAsia="zh-CN"/>
              </w:rPr>
              <w:t>支持登记单补登记，添加新的样本和检测项目；支持记录样本不合格拒收原因，提供备注，说明沟通处理措施；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物流打包</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对核酸物流打包流程进行设计并投射系统，设置预警，确保样本跟踪闭环；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核酸提取</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对不同类型的样本，根据不同方法学、检测来源、样本种类、检测平台提供不同的处理方式，比如口腔拭子处理、鼻拭子处理等；</w:t>
            </w:r>
            <w:r>
              <w:rPr>
                <w:rStyle w:val="24"/>
                <w:rFonts w:eastAsia="宋体"/>
                <w:lang w:val="en-US" w:eastAsia="zh-CN"/>
              </w:rPr>
              <w:br/>
            </w:r>
            <w:r>
              <w:rPr>
                <w:rStyle w:val="25"/>
                <w:lang w:val="en-US" w:eastAsia="zh-CN"/>
              </w:rPr>
              <w:t>样本处理时生成不同用途的样本，并对不同用途样本编号，保障样本可溯性；</w:t>
            </w:r>
            <w:r>
              <w:rPr>
                <w:rStyle w:val="24"/>
                <w:rFonts w:eastAsia="宋体"/>
                <w:lang w:val="en-US" w:eastAsia="zh-CN"/>
              </w:rPr>
              <w:br/>
            </w:r>
            <w:r>
              <w:rPr>
                <w:rStyle w:val="25"/>
                <w:lang w:val="en-US" w:eastAsia="zh-CN"/>
              </w:rPr>
              <w:t>提取质控，针对提取失败样本可记录结果及原因并通知重采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核酸分装</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根据不同实验类型项目进行核酸分装与质控，包括：</w:t>
            </w:r>
            <w:r>
              <w:rPr>
                <w:rStyle w:val="24"/>
                <w:rFonts w:eastAsia="宋体"/>
                <w:lang w:val="en-US" w:eastAsia="zh-CN"/>
              </w:rPr>
              <w:t>DNA</w:t>
            </w:r>
            <w:r>
              <w:rPr>
                <w:rStyle w:val="25"/>
                <w:lang w:val="en-US" w:eastAsia="zh-CN"/>
              </w:rPr>
              <w:t>分装、</w:t>
            </w:r>
            <w:r>
              <w:rPr>
                <w:rStyle w:val="24"/>
                <w:rFonts w:eastAsia="宋体"/>
                <w:lang w:val="en-US" w:eastAsia="zh-CN"/>
              </w:rPr>
              <w:t>RNA</w:t>
            </w:r>
            <w:r>
              <w:rPr>
                <w:rStyle w:val="25"/>
                <w:lang w:val="en-US" w:eastAsia="zh-CN"/>
              </w:rPr>
              <w:t>分装，质控不合格样本要有相应的处理结果，包括重采、重提、退检等；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新冠</w:t>
            </w:r>
            <w:r>
              <w:rPr>
                <w:rStyle w:val="24"/>
                <w:rFonts w:eastAsia="宋体"/>
                <w:lang w:val="en-US" w:eastAsia="zh-CN"/>
              </w:rPr>
              <w:t>pcr</w:t>
            </w:r>
            <w:r>
              <w:rPr>
                <w:rStyle w:val="25"/>
                <w:lang w:val="en-US" w:eastAsia="zh-CN"/>
              </w:rPr>
              <w:t>检测</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支持联动设备耗材对实验上机流程做质控，包括：样本选取质控、上机质控环节、环境质控；涉及弱阳性质控、阳性质控、阴性质控、内控、外控等指标。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病毒株分型测序</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主要步骤包含文库制备、测序及序列比对分析；</w:t>
            </w:r>
            <w:r>
              <w:rPr>
                <w:rStyle w:val="24"/>
                <w:rFonts w:eastAsia="宋体"/>
                <w:lang w:val="en-US" w:eastAsia="zh-CN"/>
              </w:rPr>
              <w:br/>
            </w:r>
            <w:r>
              <w:rPr>
                <w:rStyle w:val="25"/>
                <w:lang w:val="en-US" w:eastAsia="zh-CN"/>
              </w:rPr>
              <w:t>提供</w:t>
            </w:r>
            <w:r>
              <w:rPr>
                <w:rStyle w:val="24"/>
                <w:rFonts w:eastAsia="宋体"/>
                <w:lang w:val="en-US" w:eastAsia="zh-CN"/>
              </w:rPr>
              <w:t>Qubit</w:t>
            </w:r>
            <w:r>
              <w:rPr>
                <w:rStyle w:val="25"/>
                <w:lang w:val="en-US" w:eastAsia="zh-CN"/>
              </w:rPr>
              <w:t>浓度、核酸样本投入量、预文库浓度、预文库总量、终文库浓度、终文库片段、</w:t>
            </w:r>
            <w:r>
              <w:rPr>
                <w:rStyle w:val="24"/>
                <w:rFonts w:eastAsia="宋体"/>
                <w:lang w:val="en-US" w:eastAsia="zh-CN"/>
              </w:rPr>
              <w:t>pooling</w:t>
            </w:r>
            <w:r>
              <w:rPr>
                <w:rStyle w:val="25"/>
                <w:lang w:val="en-US" w:eastAsia="zh-CN"/>
              </w:rPr>
              <w:t>投入量、上机投入体积、阳控等指标；</w:t>
            </w:r>
            <w:r>
              <w:rPr>
                <w:rStyle w:val="24"/>
                <w:rFonts w:eastAsia="宋体"/>
                <w:lang w:val="en-US" w:eastAsia="zh-CN"/>
              </w:rPr>
              <w:br/>
            </w:r>
            <w:r>
              <w:rPr>
                <w:rStyle w:val="25"/>
                <w:lang w:val="en-US" w:eastAsia="zh-CN"/>
              </w:rPr>
              <w:t>可一键式生成建库，杂交，上机流程表；</w:t>
            </w:r>
            <w:r>
              <w:rPr>
                <w:rStyle w:val="24"/>
                <w:rFonts w:eastAsia="宋体"/>
                <w:lang w:val="en-US" w:eastAsia="zh-CN"/>
              </w:rPr>
              <w:br/>
            </w:r>
            <w:r>
              <w:rPr>
                <w:rStyle w:val="25"/>
                <w:lang w:val="en-US" w:eastAsia="zh-CN"/>
              </w:rPr>
              <w:t>支持各个节点记录核酸样本、中间产物及终产物存储位置信息、保存时间、计划销毁时间等，各字段根据业务需要做具体调整，并支持样本查看及相应时间预警；</w:t>
            </w:r>
            <w:r>
              <w:rPr>
                <w:rStyle w:val="24"/>
                <w:rFonts w:eastAsia="宋体"/>
                <w:lang w:val="en-US" w:eastAsia="zh-CN"/>
              </w:rPr>
              <w:br/>
            </w:r>
            <w:r>
              <w:rPr>
                <w:rStyle w:val="25"/>
                <w:lang w:val="en-US" w:eastAsia="zh-CN"/>
              </w:rPr>
              <w:t>所有环节要求有一键导出和一键导入功能；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数据分析</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对新冠病毒进行定性</w:t>
            </w:r>
            <w:r>
              <w:rPr>
                <w:rStyle w:val="24"/>
                <w:rFonts w:eastAsia="宋体"/>
                <w:lang w:val="en-US" w:eastAsia="zh-CN"/>
              </w:rPr>
              <w:t>/</w:t>
            </w:r>
            <w:r>
              <w:rPr>
                <w:rStyle w:val="25"/>
                <w:lang w:val="en-US" w:eastAsia="zh-CN"/>
              </w:rPr>
              <w:t>定量分析；</w:t>
            </w:r>
            <w:r>
              <w:rPr>
                <w:rStyle w:val="24"/>
                <w:rFonts w:eastAsia="宋体"/>
                <w:lang w:val="en-US" w:eastAsia="zh-CN"/>
              </w:rPr>
              <w:br/>
            </w:r>
            <w:r>
              <w:rPr>
                <w:rStyle w:val="25"/>
                <w:lang w:val="en-US" w:eastAsia="zh-CN"/>
              </w:rPr>
              <w:t>分析当前流行的毒株种类；分析变异对病毒特性、免疫逃逸能力等的影响；</w:t>
            </w:r>
            <w:r>
              <w:rPr>
                <w:rStyle w:val="24"/>
                <w:rFonts w:eastAsia="宋体"/>
                <w:lang w:val="en-US" w:eastAsia="zh-CN"/>
              </w:rPr>
              <w:br/>
            </w:r>
            <w:r>
              <w:rPr>
                <w:rStyle w:val="25"/>
                <w:lang w:val="en-US" w:eastAsia="zh-CN"/>
              </w:rPr>
              <w:t>统计各分型在感染者中的比例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报告管理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样本状态可见，包括申请、标本接收、核酸提取</w:t>
            </w:r>
            <w:r>
              <w:rPr>
                <w:rStyle w:val="24"/>
                <w:rFonts w:eastAsia="宋体"/>
                <w:lang w:val="en-US" w:eastAsia="zh-CN"/>
              </w:rPr>
              <w:t>/</w:t>
            </w:r>
            <w:r>
              <w:rPr>
                <w:rStyle w:val="25"/>
                <w:lang w:val="en-US" w:eastAsia="zh-CN"/>
              </w:rPr>
              <w:t>待提取、上机检测、结果分析、报告审核等；</w:t>
            </w:r>
            <w:r>
              <w:rPr>
                <w:rStyle w:val="24"/>
                <w:rFonts w:eastAsia="宋体"/>
                <w:lang w:val="en-US" w:eastAsia="zh-CN"/>
              </w:rPr>
              <w:br/>
            </w:r>
            <w:r>
              <w:rPr>
                <w:rStyle w:val="25"/>
                <w:lang w:val="en-US" w:eastAsia="zh-CN"/>
              </w:rPr>
              <w:t>支持核酸检测申请单批量接收处理、批量报告生成、批量报告上传；</w:t>
            </w:r>
            <w:r>
              <w:rPr>
                <w:rStyle w:val="24"/>
                <w:rFonts w:eastAsia="宋体"/>
                <w:lang w:val="en-US" w:eastAsia="zh-CN"/>
              </w:rPr>
              <w:br/>
            </w:r>
            <w:r>
              <w:rPr>
                <w:rStyle w:val="25"/>
                <w:lang w:val="en-US" w:eastAsia="zh-CN"/>
              </w:rPr>
              <w:t>支持单人合并多检测项目生成报告；</w:t>
            </w:r>
            <w:r>
              <w:rPr>
                <w:rStyle w:val="24"/>
                <w:rFonts w:eastAsia="宋体"/>
                <w:lang w:val="en-US" w:eastAsia="zh-CN"/>
              </w:rPr>
              <w:br/>
            </w:r>
            <w:r>
              <w:rPr>
                <w:rStyle w:val="25"/>
                <w:lang w:val="en-US" w:eastAsia="zh-CN"/>
              </w:rPr>
              <w:t>支持报告审核修改特定字段；</w:t>
            </w:r>
            <w:r>
              <w:rPr>
                <w:rStyle w:val="24"/>
                <w:rFonts w:eastAsia="宋体"/>
                <w:lang w:val="en-US" w:eastAsia="zh-CN"/>
              </w:rPr>
              <w:br/>
            </w:r>
            <w:r>
              <w:rPr>
                <w:rStyle w:val="25"/>
                <w:lang w:val="en-US" w:eastAsia="zh-CN"/>
              </w:rPr>
              <w:t>支持自定义报告模板，调整模板样式，设置模板表格颜色、框线等；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结果统计</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支持日常工作量统计、支持检测结果查询、生成报表及下载导出；</w:t>
            </w:r>
            <w:r>
              <w:rPr>
                <w:rStyle w:val="24"/>
                <w:rFonts w:eastAsia="宋体"/>
                <w:lang w:val="en-US" w:eastAsia="zh-CN"/>
              </w:rPr>
              <w:br/>
            </w:r>
            <w:r>
              <w:rPr>
                <w:rStyle w:val="25"/>
                <w:lang w:val="en-US" w:eastAsia="zh-CN"/>
              </w:rPr>
              <w:t>支持以检测项目为维度统计不同时间段检测数据，包括检测总数、检测合格数、报告上传数等多个指标；</w:t>
            </w:r>
            <w:r>
              <w:rPr>
                <w:rStyle w:val="24"/>
                <w:rFonts w:eastAsia="宋体"/>
                <w:lang w:val="en-US" w:eastAsia="zh-CN"/>
              </w:rPr>
              <w:br/>
            </w:r>
            <w:r>
              <w:rPr>
                <w:rStyle w:val="25"/>
                <w:lang w:val="en-US" w:eastAsia="zh-CN"/>
              </w:rPr>
              <w:t>支持根据</w:t>
            </w:r>
            <w:r>
              <w:rPr>
                <w:rStyle w:val="24"/>
                <w:rFonts w:eastAsia="宋体"/>
                <w:lang w:val="en-US" w:eastAsia="zh-CN"/>
              </w:rPr>
              <w:t>Ct</w:t>
            </w:r>
            <w:r>
              <w:rPr>
                <w:rStyle w:val="25"/>
                <w:lang w:val="en-US" w:eastAsia="zh-CN"/>
              </w:rPr>
              <w:t>值自动研判阴性、阳性，自动完成结果筛查与数据统计分析；</w:t>
            </w:r>
            <w:r>
              <w:rPr>
                <w:rStyle w:val="24"/>
                <w:rFonts w:eastAsia="宋体"/>
                <w:lang w:val="en-US" w:eastAsia="zh-CN"/>
              </w:rPr>
              <w:br/>
            </w:r>
            <w:r>
              <w:rPr>
                <w:rStyle w:val="25"/>
                <w:lang w:val="en-US" w:eastAsia="zh-CN"/>
              </w:rPr>
              <w:t>支持首页</w:t>
            </w:r>
            <w:r>
              <w:rPr>
                <w:rStyle w:val="24"/>
                <w:rFonts w:eastAsia="宋体"/>
                <w:lang w:val="en-US" w:eastAsia="zh-CN"/>
              </w:rPr>
              <w:t>BI</w:t>
            </w:r>
            <w:r>
              <w:rPr>
                <w:rStyle w:val="25"/>
                <w:lang w:val="en-US" w:eastAsia="zh-CN"/>
              </w:rPr>
              <w:t>展示检测概览，不同方法学开展趋势图、检测项目数量分布饼状图、检测项目合格情况柱状图、采样类型占比环形图等；</w:t>
            </w:r>
            <w:r>
              <w:rPr>
                <w:rStyle w:val="24"/>
                <w:rFonts w:eastAsia="宋体"/>
                <w:lang w:val="en-US" w:eastAsia="zh-CN"/>
              </w:rPr>
              <w:br/>
            </w:r>
            <w:r>
              <w:rPr>
                <w:rStyle w:val="25"/>
                <w:lang w:val="en-US" w:eastAsia="zh-CN"/>
              </w:rPr>
              <w:t>支持不同条件控制查询；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核酸检测质量与控制</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人员管理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组织架构、人员档案、培训考核、评定授权、外出学习、智能排班、考勤记录等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仪器管理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设备档案、使用维护、维修校准、校准提醒、供应商等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试剂耗材管理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试剂管理、防护用品及耗材管理、申购使用、运输监测、供应商、耗材结算、效期提醒等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流程文件管理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质量手册、使用手册、程序文件、</w:t>
            </w:r>
            <w:r>
              <w:rPr>
                <w:rStyle w:val="24"/>
                <w:rFonts w:eastAsia="宋体"/>
                <w:lang w:val="en-US" w:eastAsia="zh-CN"/>
              </w:rPr>
              <w:t>Sop</w:t>
            </w:r>
            <w:r>
              <w:rPr>
                <w:rStyle w:val="25"/>
                <w:lang w:val="en-US" w:eastAsia="zh-CN"/>
              </w:rPr>
              <w:t>文件、记录文件、仪器说明书或参考书、会议记录、文件分析引擎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环境管理</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空气质量监测、压差监测、温、湿度监测、设备用电管理、暖通设备接入、告警提醒、院感管理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性能验证</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对性能验证的设备、试剂耗材进行管理，记录其性能验证的实际情况；</w:t>
            </w:r>
            <w:r>
              <w:rPr>
                <w:rStyle w:val="24"/>
                <w:rFonts w:eastAsia="宋体"/>
                <w:lang w:val="en-US" w:eastAsia="zh-CN"/>
              </w:rPr>
              <w:br/>
            </w:r>
            <w:r>
              <w:rPr>
                <w:rStyle w:val="25"/>
                <w:lang w:val="en-US" w:eastAsia="zh-CN"/>
              </w:rPr>
              <w:t>记录性能验证的设备、试剂耗材存储的位置及相关的基本信息；</w:t>
            </w:r>
            <w:r>
              <w:rPr>
                <w:rStyle w:val="24"/>
                <w:rFonts w:eastAsia="宋体"/>
                <w:lang w:val="en-US" w:eastAsia="zh-CN"/>
              </w:rPr>
              <w:br/>
            </w:r>
            <w:r>
              <w:rPr>
                <w:rStyle w:val="25"/>
                <w:lang w:val="en-US" w:eastAsia="zh-CN"/>
              </w:rPr>
              <w:t>性能验证报告的上传查看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生物安全</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建立生物安全管理制度、实验室环境样本的消毒处理、菌株灭活、生物安全事件记录及上报、危化品管理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国家质评</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申报记录、质评样本登记处理、结果分析及上传、证书管理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质控总览</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包含但不限于精密度，符合率，检出限，室内质控，室间质控；</w:t>
            </w:r>
            <w:r>
              <w:rPr>
                <w:rStyle w:val="24"/>
                <w:rFonts w:eastAsia="宋体"/>
                <w:lang w:val="en-US" w:eastAsia="zh-CN"/>
              </w:rPr>
              <w:br/>
            </w:r>
            <w:r>
              <w:rPr>
                <w:rStyle w:val="25"/>
                <w:lang w:val="en-US" w:eastAsia="zh-CN"/>
              </w:rPr>
              <w:t>均值，</w:t>
            </w:r>
            <w:r>
              <w:rPr>
                <w:rStyle w:val="24"/>
                <w:rFonts w:eastAsia="宋体"/>
                <w:lang w:val="en-US" w:eastAsia="zh-CN"/>
              </w:rPr>
              <w:t>SD</w:t>
            </w:r>
            <w:r>
              <w:rPr>
                <w:rStyle w:val="25"/>
                <w:lang w:val="en-US" w:eastAsia="zh-CN"/>
              </w:rPr>
              <w:t>，均值</w:t>
            </w:r>
            <w:r>
              <w:rPr>
                <w:rStyle w:val="24"/>
                <w:rFonts w:eastAsia="宋体"/>
                <w:lang w:val="en-US" w:eastAsia="zh-CN"/>
              </w:rPr>
              <w:t>+2sd</w:t>
            </w:r>
            <w:r>
              <w:rPr>
                <w:rStyle w:val="25"/>
                <w:lang w:val="en-US" w:eastAsia="zh-CN"/>
              </w:rPr>
              <w:t>，均值</w:t>
            </w:r>
            <w:r>
              <w:rPr>
                <w:rStyle w:val="24"/>
                <w:rFonts w:eastAsia="宋体"/>
                <w:lang w:val="en-US" w:eastAsia="zh-CN"/>
              </w:rPr>
              <w:t>-2sd</w:t>
            </w:r>
            <w:r>
              <w:rPr>
                <w:rStyle w:val="25"/>
                <w:lang w:val="en-US" w:eastAsia="zh-CN"/>
              </w:rPr>
              <w:t>，均值</w:t>
            </w:r>
            <w:r>
              <w:rPr>
                <w:rStyle w:val="24"/>
                <w:rFonts w:eastAsia="宋体"/>
                <w:lang w:val="en-US" w:eastAsia="zh-CN"/>
              </w:rPr>
              <w:t>+3sd</w:t>
            </w:r>
            <w:r>
              <w:rPr>
                <w:rStyle w:val="25"/>
                <w:lang w:val="en-US" w:eastAsia="zh-CN"/>
              </w:rPr>
              <w:t>，均值</w:t>
            </w:r>
            <w:r>
              <w:rPr>
                <w:rStyle w:val="24"/>
                <w:rFonts w:eastAsia="宋体"/>
                <w:lang w:val="en-US" w:eastAsia="zh-CN"/>
              </w:rPr>
              <w:t>-3sd</w:t>
            </w:r>
            <w:r>
              <w:rPr>
                <w:rStyle w:val="25"/>
                <w:lang w:val="en-US" w:eastAsia="zh-CN"/>
              </w:rPr>
              <w:t>，变异系数</w:t>
            </w:r>
            <w:r>
              <w:rPr>
                <w:rStyle w:val="24"/>
                <w:rFonts w:eastAsia="宋体"/>
                <w:lang w:val="en-US" w:eastAsia="zh-CN"/>
              </w:rPr>
              <w:t>cv</w:t>
            </w:r>
            <w:r>
              <w:rPr>
                <w:rStyle w:val="25"/>
                <w:lang w:val="en-US" w:eastAsia="zh-CN"/>
              </w:rPr>
              <w:t>值，失控率，失控预警等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核酸数据存储与管理</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信息管理服务基础功能</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结合数据的信息查询、导入、基础数据管理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Style w:val="23"/>
                <w:lang w:val="en-US" w:eastAsia="zh-CN"/>
              </w:rPr>
              <w:t>数据管理运营的报表与统计</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数据报表和分析</w:t>
            </w:r>
            <w:r>
              <w:rPr>
                <w:rStyle w:val="24"/>
                <w:rFonts w:eastAsia="宋体"/>
                <w:lang w:val="en-US" w:eastAsia="zh-CN"/>
              </w:rPr>
              <w:t>,</w:t>
            </w:r>
            <w:r>
              <w:rPr>
                <w:rStyle w:val="25"/>
                <w:lang w:val="en-US" w:eastAsia="zh-CN"/>
              </w:rPr>
              <w:t>包括数据报表自定义与统计分析图表生成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数据的接口开发</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包括与院内和区域的各类系统接口的开发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毒株变异数据自定义注释模块</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涉及变异数据自定义注释模块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检测数据备份</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提供数据自动备份模块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自动化监控</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数据计算与自动备份状态监控告警与自动化处理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数据仓库表结构设计</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根据医院需求（分析项目）对原始数据制定多维表。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自动化数据提取转换加载（</w:t>
            </w:r>
            <w:r>
              <w:rPr>
                <w:rStyle w:val="24"/>
                <w:rFonts w:eastAsia="宋体"/>
                <w:lang w:val="en-US" w:eastAsia="zh-CN"/>
              </w:rPr>
              <w:t>ETL</w:t>
            </w:r>
            <w:r>
              <w:rPr>
                <w:rStyle w:val="25"/>
                <w:lang w:val="en-US" w:eastAsia="zh-CN"/>
              </w:rPr>
              <w:t>）</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含结构一致化、数据清理、字典化存储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仪表盘定制化设计服务</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根据客户提供的原始数据定制设计可视化内容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运营分析</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运营分析含检测量监控，</w:t>
            </w:r>
            <w:r>
              <w:rPr>
                <w:rStyle w:val="24"/>
                <w:rFonts w:eastAsia="宋体"/>
                <w:lang w:val="en-US" w:eastAsia="zh-CN"/>
              </w:rPr>
              <w:t>TAT</w:t>
            </w:r>
            <w:r>
              <w:rPr>
                <w:rStyle w:val="25"/>
                <w:lang w:val="en-US" w:eastAsia="zh-CN"/>
              </w:rPr>
              <w:t>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湿实验分析</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含</w:t>
            </w:r>
            <w:r>
              <w:rPr>
                <w:rStyle w:val="24"/>
                <w:rFonts w:eastAsia="宋体"/>
                <w:lang w:val="en-US" w:eastAsia="zh-CN"/>
              </w:rPr>
              <w:t>QC</w:t>
            </w:r>
            <w:r>
              <w:rPr>
                <w:rStyle w:val="25"/>
                <w:lang w:val="en-US" w:eastAsia="zh-CN"/>
              </w:rPr>
              <w:t>监控、重要</w:t>
            </w:r>
            <w:r>
              <w:rPr>
                <w:rStyle w:val="24"/>
                <w:rFonts w:eastAsia="宋体"/>
                <w:lang w:val="en-US" w:eastAsia="zh-CN"/>
              </w:rPr>
              <w:t>QC</w:t>
            </w:r>
            <w:r>
              <w:rPr>
                <w:rStyle w:val="25"/>
                <w:lang w:val="en-US" w:eastAsia="zh-CN"/>
              </w:rPr>
              <w:t>指标分析，具体可定制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干实验分析</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变异分析等，具体可定制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医学分析</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在线医学或生物信息学绘图，含火山图，热图和瀑布图等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1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25"/>
                <w:lang w:val="en-US" w:eastAsia="zh-CN"/>
              </w:rPr>
              <w:t>系统配置</w:t>
            </w:r>
          </w:p>
        </w:tc>
        <w:tc>
          <w:tcPr>
            <w:tcW w:w="53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2"/>
                <w:szCs w:val="22"/>
                <w:u w:val="none"/>
              </w:rPr>
            </w:pPr>
            <w:r>
              <w:rPr>
                <w:rStyle w:val="25"/>
                <w:lang w:val="en-US" w:eastAsia="zh-CN"/>
              </w:rPr>
              <w:t>支持科室人员、职位、角色、权限维护；</w:t>
            </w:r>
            <w:r>
              <w:rPr>
                <w:rStyle w:val="24"/>
                <w:rFonts w:eastAsia="宋体"/>
                <w:lang w:val="en-US" w:eastAsia="zh-CN"/>
              </w:rPr>
              <w:br/>
            </w:r>
            <w:r>
              <w:rPr>
                <w:rStyle w:val="25"/>
                <w:lang w:val="en-US" w:eastAsia="zh-CN"/>
              </w:rPr>
              <w:t>支持检测项目增减维护，结果指标及对应模块维护；</w:t>
            </w:r>
            <w:r>
              <w:rPr>
                <w:rStyle w:val="24"/>
                <w:rFonts w:eastAsia="宋体"/>
                <w:lang w:val="en-US" w:eastAsia="zh-CN"/>
              </w:rPr>
              <w:br/>
            </w:r>
            <w:r>
              <w:rPr>
                <w:rStyle w:val="25"/>
                <w:lang w:val="en-US" w:eastAsia="zh-CN"/>
              </w:rPr>
              <w:t>支持配置检测项目对应检测结果指标，灵活设置检测结果指标属性；</w:t>
            </w:r>
            <w:r>
              <w:rPr>
                <w:rStyle w:val="24"/>
                <w:rFonts w:eastAsia="宋体"/>
                <w:lang w:val="en-US" w:eastAsia="zh-CN"/>
              </w:rPr>
              <w:br/>
            </w:r>
            <w:r>
              <w:rPr>
                <w:rStyle w:val="25"/>
                <w:lang w:val="en-US" w:eastAsia="zh-CN"/>
              </w:rPr>
              <w:t>支持数据字典自定义维护；</w:t>
            </w:r>
          </w:p>
        </w:tc>
      </w:tr>
    </w:tbl>
    <w:p/>
    <w:p>
      <w:pPr>
        <w:pStyle w:val="4"/>
      </w:pPr>
      <w:r>
        <w:rPr>
          <w:rFonts w:hint="eastAsia"/>
        </w:rPr>
        <w:t>配套硬件设施</w:t>
      </w:r>
    </w:p>
    <w:tbl>
      <w:tblPr>
        <w:tblW w:w="92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260"/>
        <w:gridCol w:w="4242"/>
        <w:gridCol w:w="126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blHeader/>
        </w:trPr>
        <w:tc>
          <w:tcPr>
            <w:tcW w:w="12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42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详细技术参数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2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6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服务器</w:t>
            </w:r>
          </w:p>
        </w:tc>
        <w:tc>
          <w:tcPr>
            <w:tcW w:w="4242" w:type="dxa"/>
            <w:tcBorders>
              <w:top w:val="nil"/>
              <w:left w:val="nil"/>
              <w:bottom w:val="single" w:color="auto" w:sz="4" w:space="0"/>
              <w:right w:val="single" w:color="auto" w:sz="4" w:space="0"/>
            </w:tcBorders>
            <w:vAlign w:val="center"/>
          </w:tcPr>
          <w:p>
            <w:pPr>
              <w:widowControl/>
              <w:rPr>
                <w:rFonts w:eastAsia="等线" w:cs="Calibri"/>
                <w:color w:val="000000"/>
                <w:kern w:val="0"/>
                <w:szCs w:val="21"/>
              </w:rPr>
            </w:pPr>
            <w:r>
              <w:rPr>
                <w:rFonts w:eastAsia="等线" w:cs="Calibri"/>
                <w:color w:val="000000"/>
                <w:kern w:val="0"/>
                <w:szCs w:val="21"/>
              </w:rPr>
              <w:t>1.</w:t>
            </w:r>
            <w:r>
              <w:rPr>
                <w:rFonts w:hint="eastAsia" w:ascii="宋体" w:hAnsi="宋体" w:cs="Calibri"/>
                <w:color w:val="000000"/>
                <w:kern w:val="0"/>
                <w:szCs w:val="21"/>
              </w:rPr>
              <w:t>设备外型：</w:t>
            </w:r>
            <w:r>
              <w:rPr>
                <w:rFonts w:eastAsia="等线" w:cs="Calibri"/>
                <w:color w:val="000000"/>
                <w:kern w:val="0"/>
                <w:szCs w:val="21"/>
              </w:rPr>
              <w:t>2U</w:t>
            </w:r>
            <w:r>
              <w:rPr>
                <w:rFonts w:hint="eastAsia" w:ascii="宋体" w:hAnsi="宋体" w:cs="Calibri"/>
                <w:color w:val="000000"/>
                <w:kern w:val="0"/>
                <w:szCs w:val="21"/>
              </w:rPr>
              <w:t>机架式</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242" w:type="dxa"/>
            <w:tcBorders>
              <w:top w:val="nil"/>
              <w:left w:val="nil"/>
              <w:bottom w:val="single" w:color="auto" w:sz="4" w:space="0"/>
              <w:right w:val="single" w:color="auto" w:sz="4" w:space="0"/>
            </w:tcBorders>
            <w:vAlign w:val="center"/>
          </w:tcPr>
          <w:p>
            <w:pPr>
              <w:widowControl/>
              <w:rPr>
                <w:rFonts w:eastAsia="等线" w:cs="Calibri"/>
                <w:color w:val="000000"/>
                <w:kern w:val="0"/>
                <w:szCs w:val="21"/>
              </w:rPr>
            </w:pPr>
            <w:r>
              <w:rPr>
                <w:rFonts w:hint="eastAsia" w:ascii="宋体" w:hAnsi="宋体" w:cs="宋体"/>
                <w:color w:val="000000"/>
                <w:kern w:val="0"/>
                <w:szCs w:val="21"/>
              </w:rPr>
              <w:t>▲</w:t>
            </w:r>
            <w:r>
              <w:rPr>
                <w:rFonts w:eastAsia="等线" w:cs="Calibri"/>
                <w:color w:val="000000"/>
                <w:kern w:val="0"/>
                <w:szCs w:val="21"/>
              </w:rPr>
              <w:t>2.CPU</w:t>
            </w:r>
            <w:r>
              <w:rPr>
                <w:rFonts w:hint="eastAsia" w:ascii="宋体" w:hAnsi="宋体" w:cs="Calibri"/>
                <w:color w:val="000000"/>
                <w:kern w:val="0"/>
                <w:szCs w:val="21"/>
              </w:rPr>
              <w:t>级别：配置≥</w:t>
            </w:r>
            <w:r>
              <w:rPr>
                <w:rFonts w:eastAsia="等线" w:cs="Calibri"/>
                <w:color w:val="000000"/>
                <w:kern w:val="0"/>
                <w:szCs w:val="21"/>
              </w:rPr>
              <w:t>2</w:t>
            </w:r>
            <w:r>
              <w:rPr>
                <w:rFonts w:hint="eastAsia" w:ascii="宋体" w:hAnsi="宋体" w:cs="Calibri"/>
                <w:color w:val="000000"/>
                <w:kern w:val="0"/>
                <w:szCs w:val="21"/>
              </w:rPr>
              <w:t>颗国产</w:t>
            </w:r>
            <w:r>
              <w:rPr>
                <w:rFonts w:eastAsia="等线" w:cs="Calibri"/>
                <w:color w:val="000000"/>
                <w:kern w:val="0"/>
                <w:szCs w:val="21"/>
              </w:rPr>
              <w:t>x86</w:t>
            </w:r>
            <w:r>
              <w:rPr>
                <w:rFonts w:hint="eastAsia" w:ascii="宋体" w:hAnsi="宋体" w:cs="Calibri"/>
                <w:color w:val="000000"/>
                <w:kern w:val="0"/>
                <w:szCs w:val="21"/>
              </w:rPr>
              <w:t>处理器，每颗</w:t>
            </w:r>
            <w:r>
              <w:rPr>
                <w:rFonts w:eastAsia="等线" w:cs="Calibri"/>
                <w:color w:val="000000"/>
                <w:kern w:val="0"/>
                <w:szCs w:val="21"/>
              </w:rPr>
              <w:t>CPU</w:t>
            </w:r>
            <w:r>
              <w:rPr>
                <w:rFonts w:hint="eastAsia" w:ascii="宋体" w:hAnsi="宋体" w:cs="Calibri"/>
                <w:color w:val="000000"/>
                <w:kern w:val="0"/>
                <w:szCs w:val="21"/>
              </w:rPr>
              <w:t>物理核心数≥</w:t>
            </w:r>
            <w:r>
              <w:rPr>
                <w:rFonts w:eastAsia="等线" w:cs="Calibri"/>
                <w:color w:val="000000"/>
                <w:kern w:val="0"/>
                <w:szCs w:val="21"/>
              </w:rPr>
              <w:t>24</w:t>
            </w:r>
            <w:r>
              <w:rPr>
                <w:rFonts w:hint="eastAsia" w:ascii="宋体" w:hAnsi="宋体" w:cs="Calibri"/>
                <w:color w:val="000000"/>
                <w:kern w:val="0"/>
                <w:szCs w:val="21"/>
              </w:rPr>
              <w:t>核，每颗</w:t>
            </w:r>
            <w:r>
              <w:rPr>
                <w:rFonts w:eastAsia="等线" w:cs="Calibri"/>
                <w:color w:val="000000"/>
                <w:kern w:val="0"/>
                <w:szCs w:val="21"/>
              </w:rPr>
              <w:t>CPU</w:t>
            </w:r>
            <w:r>
              <w:rPr>
                <w:rFonts w:hint="eastAsia" w:ascii="宋体" w:hAnsi="宋体" w:cs="Calibri"/>
                <w:color w:val="000000"/>
                <w:kern w:val="0"/>
                <w:szCs w:val="21"/>
              </w:rPr>
              <w:t>主频≥</w:t>
            </w:r>
            <w:r>
              <w:rPr>
                <w:rFonts w:eastAsia="等线" w:cs="Calibri"/>
                <w:color w:val="000000"/>
                <w:kern w:val="0"/>
                <w:szCs w:val="21"/>
              </w:rPr>
              <w:t>2.2GHz</w:t>
            </w:r>
            <w:r>
              <w:rPr>
                <w:rFonts w:hint="eastAsia" w:ascii="宋体" w:hAnsi="宋体" w:cs="Calibri"/>
                <w:color w:val="000000"/>
                <w:kern w:val="0"/>
                <w:szCs w:val="21"/>
              </w:rPr>
              <w:t>，每颗</w:t>
            </w:r>
            <w:r>
              <w:rPr>
                <w:rFonts w:eastAsia="等线" w:cs="Calibri"/>
                <w:color w:val="000000"/>
                <w:kern w:val="0"/>
                <w:szCs w:val="21"/>
              </w:rPr>
              <w:t>CPU</w:t>
            </w:r>
            <w:r>
              <w:rPr>
                <w:rFonts w:hint="eastAsia" w:ascii="宋体" w:hAnsi="宋体" w:cs="Calibri"/>
                <w:color w:val="000000"/>
                <w:kern w:val="0"/>
                <w:szCs w:val="21"/>
              </w:rPr>
              <w:t>三级缓存≥</w:t>
            </w:r>
            <w:r>
              <w:rPr>
                <w:rFonts w:eastAsia="等线" w:cs="Calibri"/>
                <w:color w:val="000000"/>
                <w:kern w:val="0"/>
                <w:szCs w:val="21"/>
              </w:rPr>
              <w:t>64MB</w:t>
            </w:r>
            <w:r>
              <w:rPr>
                <w:rFonts w:hint="eastAsia" w:ascii="宋体" w:hAnsi="宋体" w:cs="Calibri"/>
                <w:color w:val="000000"/>
                <w:kern w:val="0"/>
                <w:szCs w:val="21"/>
              </w:rPr>
              <w:t>；</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242" w:type="dxa"/>
            <w:tcBorders>
              <w:top w:val="nil"/>
              <w:left w:val="nil"/>
              <w:bottom w:val="single" w:color="auto" w:sz="4" w:space="0"/>
              <w:right w:val="single" w:color="auto" w:sz="4" w:space="0"/>
            </w:tcBorders>
            <w:vAlign w:val="center"/>
          </w:tcPr>
          <w:p>
            <w:pPr>
              <w:widowControl/>
              <w:rPr>
                <w:rFonts w:eastAsia="等线" w:cs="Calibri"/>
                <w:color w:val="000000"/>
                <w:kern w:val="0"/>
                <w:szCs w:val="21"/>
              </w:rPr>
            </w:pPr>
            <w:r>
              <w:rPr>
                <w:rFonts w:eastAsia="等线" w:cs="Calibri"/>
                <w:color w:val="000000"/>
                <w:kern w:val="0"/>
                <w:szCs w:val="21"/>
              </w:rPr>
              <w:t>3.</w:t>
            </w:r>
            <w:r>
              <w:rPr>
                <w:rFonts w:ascii="Times New Roman" w:hAnsi="Times New Roman" w:eastAsia="等线"/>
                <w:color w:val="000000"/>
                <w:kern w:val="0"/>
                <w:szCs w:val="21"/>
              </w:rPr>
              <w:t xml:space="preserve"> </w:t>
            </w:r>
            <w:r>
              <w:rPr>
                <w:rFonts w:hint="eastAsia" w:ascii="宋体" w:hAnsi="宋体" w:cs="Calibri"/>
                <w:color w:val="000000"/>
                <w:kern w:val="0"/>
                <w:szCs w:val="21"/>
              </w:rPr>
              <w:t>内存类型：配置≥</w:t>
            </w:r>
            <w:r>
              <w:rPr>
                <w:rFonts w:hint="eastAsia" w:eastAsia="等线" w:cs="Calibri"/>
                <w:color w:val="000000"/>
                <w:kern w:val="0"/>
                <w:szCs w:val="21"/>
                <w:lang w:val="en-US" w:eastAsia="zh-CN"/>
              </w:rPr>
              <w:t>256</w:t>
            </w:r>
            <w:r>
              <w:rPr>
                <w:rFonts w:eastAsia="等线" w:cs="Calibri"/>
                <w:color w:val="000000"/>
                <w:kern w:val="0"/>
                <w:szCs w:val="21"/>
              </w:rPr>
              <w:t>GB DDR4 RDIMM</w:t>
            </w:r>
            <w:r>
              <w:rPr>
                <w:rFonts w:hint="eastAsia" w:ascii="宋体" w:hAnsi="宋体" w:cs="Calibri"/>
                <w:color w:val="000000"/>
                <w:kern w:val="0"/>
                <w:szCs w:val="21"/>
              </w:rPr>
              <w:t>内存；</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1"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242" w:type="dxa"/>
            <w:tcBorders>
              <w:top w:val="nil"/>
              <w:left w:val="nil"/>
              <w:bottom w:val="single" w:color="auto" w:sz="4" w:space="0"/>
              <w:right w:val="single" w:color="auto" w:sz="4" w:space="0"/>
            </w:tcBorders>
            <w:vAlign w:val="center"/>
          </w:tcPr>
          <w:p>
            <w:pPr>
              <w:widowControl/>
              <w:rPr>
                <w:rFonts w:hint="eastAsia" w:eastAsia="等线" w:cs="Calibri"/>
                <w:color w:val="000000"/>
                <w:kern w:val="0"/>
                <w:szCs w:val="21"/>
                <w:lang w:val="en-US" w:eastAsia="zh-CN"/>
              </w:rPr>
            </w:pPr>
            <w:r>
              <w:rPr>
                <w:rFonts w:hint="eastAsia" w:eastAsia="等线" w:cs="Calibri"/>
                <w:color w:val="000000"/>
                <w:kern w:val="0"/>
                <w:szCs w:val="21"/>
                <w:lang w:val="en-US" w:eastAsia="zh-CN"/>
              </w:rPr>
              <w:t>4.其它配置调研时提供</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24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ascii="Times New Roman" w:hAnsi="Times New Roman"/>
                <w:color w:val="000000"/>
                <w:kern w:val="0"/>
                <w:szCs w:val="21"/>
              </w:rPr>
              <w:t xml:space="preserve"> </w:t>
            </w:r>
            <w:r>
              <w:rPr>
                <w:rFonts w:hint="eastAsia" w:ascii="宋体" w:hAnsi="宋体" w:cs="宋体"/>
                <w:color w:val="000000"/>
                <w:kern w:val="0"/>
                <w:szCs w:val="21"/>
              </w:rPr>
              <w:t>售后服务：提供</w:t>
            </w:r>
            <w:r>
              <w:rPr>
                <w:rFonts w:cs="Calibri"/>
                <w:color w:val="000000"/>
                <w:kern w:val="0"/>
                <w:szCs w:val="21"/>
              </w:rPr>
              <w:t>3</w:t>
            </w:r>
            <w:r>
              <w:rPr>
                <w:rFonts w:hint="eastAsia" w:ascii="宋体" w:hAnsi="宋体" w:cs="宋体"/>
                <w:color w:val="000000"/>
                <w:kern w:val="0"/>
                <w:szCs w:val="21"/>
              </w:rPr>
              <w:t>年售后保修服务，提供原厂项目授权函。</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bl>
    <w:p/>
    <w:p>
      <w:pPr>
        <w:widowControl/>
        <w:jc w:val="left"/>
      </w:pPr>
    </w:p>
    <w:p>
      <w:pPr>
        <w:widowControl/>
        <w:jc w:val="left"/>
        <w:rPr>
          <w:rFonts w:ascii="仿宋" w:hAnsi="仿宋" w:eastAsia="仿宋" w:cs="仿宋"/>
          <w:b/>
          <w:color w:val="000000"/>
          <w:kern w:val="0"/>
          <w:sz w:val="28"/>
          <w:szCs w:val="28"/>
          <w:shd w:val="clear" w:color="auto" w:fill="FFFFFF"/>
        </w:rPr>
      </w:pPr>
      <w:r>
        <w:br w:type="page"/>
      </w:r>
      <w:r>
        <w:rPr>
          <w:rFonts w:hint="eastAsia" w:ascii="仿宋" w:hAnsi="仿宋" w:eastAsia="仿宋" w:cs="仿宋"/>
          <w:b/>
          <w:color w:val="000000"/>
          <w:kern w:val="0"/>
          <w:sz w:val="28"/>
          <w:szCs w:val="28"/>
        </w:rPr>
        <w:t>三、</w:t>
      </w:r>
      <w:r>
        <w:rPr>
          <w:rFonts w:hint="eastAsia" w:ascii="仿宋" w:hAnsi="仿宋" w:eastAsia="仿宋" w:cs="仿宋"/>
          <w:b/>
          <w:color w:val="000000"/>
          <w:kern w:val="0"/>
          <w:sz w:val="28"/>
          <w:szCs w:val="28"/>
          <w:shd w:val="clear" w:color="auto" w:fill="FFFFFF"/>
        </w:rPr>
        <w:t>本次调研说明</w:t>
      </w:r>
    </w:p>
    <w:p>
      <w:pPr>
        <w:spacing w:line="590" w:lineRule="exact"/>
        <w:ind w:firstLine="562" w:firstLineChars="200"/>
        <w:rPr>
          <w:rFonts w:ascii="仿宋_GB2312" w:eastAsia="仿宋_GB2312"/>
          <w:b/>
          <w:bCs/>
          <w:sz w:val="28"/>
          <w:szCs w:val="28"/>
        </w:rPr>
      </w:pPr>
      <w:r>
        <w:rPr>
          <w:rFonts w:hint="eastAsia" w:ascii="仿宋_GB2312" w:eastAsia="仿宋_GB2312"/>
          <w:b/>
          <w:bCs/>
          <w:sz w:val="28"/>
          <w:szCs w:val="28"/>
        </w:rPr>
        <w:t>欢迎有意向的供应商参与本次调研。</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本调研会的报价仅做为本项目公开招标的预算限价；</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本调研会不做参与投标的限制条件；</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上述各参数将做为本项目招标的主要参数，不代表本项目公开招标的最终参数；</w:t>
      </w:r>
    </w:p>
    <w:p>
      <w:pPr>
        <w:numPr>
          <w:ilvl w:val="0"/>
          <w:numId w:val="2"/>
        </w:numPr>
        <w:spacing w:line="590" w:lineRule="exact"/>
        <w:ind w:firstLine="560"/>
        <w:rPr>
          <w:rFonts w:ascii="仿宋_GB2312" w:eastAsia="仿宋_GB2312"/>
          <w:sz w:val="28"/>
          <w:szCs w:val="28"/>
        </w:rPr>
      </w:pPr>
      <w:r>
        <w:rPr>
          <w:rFonts w:hint="eastAsia" w:ascii="仿宋_GB2312" w:eastAsia="仿宋_GB2312"/>
          <w:sz w:val="28"/>
          <w:szCs w:val="28"/>
        </w:rPr>
        <w:t>参加调研会的公司应准备PPT材料（含方案介绍、服务及集成能力、应用案例、报价等）、技术参数等材料，每公司讲解时间30分钟（含答疑10分钟）；同时上述材料须交予院方留档（可提供U盘留档）。</w:t>
      </w:r>
    </w:p>
    <w:p>
      <w:pPr>
        <w:widowControl/>
        <w:shd w:val="clear" w:color="auto" w:fill="FFFFFF"/>
        <w:spacing w:line="336" w:lineRule="auto"/>
        <w:jc w:val="center"/>
        <w:rPr>
          <w:rFonts w:ascii="宋体" w:hAnsi="宋体" w:cs="宋体"/>
          <w:b/>
          <w:bCs/>
          <w:color w:val="000000"/>
          <w:sz w:val="28"/>
          <w:szCs w:val="28"/>
          <w:shd w:val="clear" w:color="auto" w:fill="FFFFFF"/>
        </w:rPr>
        <w:sectPr>
          <w:footerReference r:id="rId4" w:type="default"/>
          <w:pgSz w:w="12240" w:h="15840"/>
          <w:pgMar w:top="1134" w:right="1587" w:bottom="1134" w:left="1587" w:header="720" w:footer="720" w:gutter="0"/>
          <w:cols w:space="720" w:num="1"/>
          <w:docGrid w:type="lines" w:linePitch="316" w:charSpace="0"/>
        </w:sectPr>
      </w:pPr>
    </w:p>
    <w:p>
      <w:pPr>
        <w:widowControl/>
        <w:shd w:val="clear" w:color="auto" w:fill="FFFFFF"/>
        <w:spacing w:line="336" w:lineRule="auto"/>
        <w:jc w:val="center"/>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项目文件回执单</w:t>
      </w:r>
    </w:p>
    <w:p>
      <w:pPr>
        <w:widowControl/>
        <w:shd w:val="clear" w:color="auto" w:fill="FFFFFF"/>
        <w:spacing w:line="336" w:lineRule="auto"/>
        <w:ind w:left="420" w:firstLine="420"/>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序号</w:t>
            </w:r>
          </w:p>
        </w:tc>
        <w:tc>
          <w:tcPr>
            <w:tcW w:w="31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公司名称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产品名称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报价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1</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2</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3</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4</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5</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bl>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公司名称：</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联系人：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联系电话：</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邮箱号：　</w:t>
      </w:r>
      <w:r>
        <w:rPr>
          <w:rFonts w:hint="eastAsia" w:ascii="仿宋" w:hAnsi="仿宋" w:eastAsia="仿宋" w:cs="仿宋"/>
          <w:b/>
          <w:color w:val="000000"/>
          <w:kern w:val="0"/>
          <w:sz w:val="28"/>
          <w:szCs w:val="28"/>
          <w:u w:val="single"/>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公司盖章：</w:t>
      </w:r>
    </w:p>
    <w:p>
      <w:pPr>
        <w:widowControl/>
        <w:shd w:val="clear" w:color="auto" w:fill="FFFFFF"/>
        <w:spacing w:line="336" w:lineRule="auto"/>
        <w:jc w:val="center"/>
        <w:rPr>
          <w:sz w:val="28"/>
          <w:szCs w:val="28"/>
        </w:rPr>
      </w:pPr>
      <w:r>
        <w:rPr>
          <w:rFonts w:hint="eastAsia" w:ascii="宋体" w:hAnsi="宋体" w:cs="宋体"/>
          <w:b/>
          <w:color w:val="000000"/>
          <w:kern w:val="0"/>
          <w:sz w:val="28"/>
          <w:szCs w:val="28"/>
          <w:shd w:val="clear" w:color="auto" w:fill="FFFFFF"/>
        </w:rPr>
        <w:t> </w:t>
      </w:r>
    </w:p>
    <w:p>
      <w:pPr>
        <w:spacing w:line="590" w:lineRule="exact"/>
        <w:jc w:val="right"/>
        <w:rPr>
          <w:rFonts w:ascii="仿宋_GB2312" w:eastAsia="仿宋_GB2312"/>
          <w:sz w:val="32"/>
          <w:szCs w:val="32"/>
        </w:rPr>
      </w:pPr>
      <w:r>
        <w:rPr>
          <w:rFonts w:hint="eastAsia" w:ascii="宋体" w:hAnsi="宋体" w:cs="宋体"/>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　　　　　　 202</w:t>
      </w:r>
      <w:r>
        <w:rPr>
          <w:rFonts w:hint="eastAsia" w:ascii="仿宋" w:hAnsi="仿宋" w:eastAsia="仿宋" w:cs="仿宋"/>
          <w:b/>
          <w:color w:val="000000"/>
          <w:kern w:val="0"/>
          <w:sz w:val="28"/>
          <w:szCs w:val="28"/>
          <w:shd w:val="clear" w:color="auto" w:fill="FFFFFF"/>
          <w:lang w:val="en-US" w:eastAsia="zh-CN"/>
        </w:rPr>
        <w:t>3</w:t>
      </w:r>
      <w:r>
        <w:rPr>
          <w:rFonts w:hint="eastAsia" w:ascii="仿宋" w:hAnsi="仿宋" w:eastAsia="仿宋" w:cs="仿宋"/>
          <w:b/>
          <w:color w:val="000000"/>
          <w:kern w:val="0"/>
          <w:sz w:val="28"/>
          <w:szCs w:val="28"/>
          <w:shd w:val="clear" w:color="auto" w:fill="FFFFFF"/>
        </w:rPr>
        <w:t>年　月　日　</w:t>
      </w:r>
      <w:r>
        <w:rPr>
          <w:rFonts w:hint="eastAsia" w:ascii="宋体" w:hAnsi="宋体" w:cs="宋体"/>
          <w:b/>
          <w:color w:val="000000"/>
          <w:kern w:val="0"/>
          <w:sz w:val="28"/>
          <w:szCs w:val="28"/>
          <w:shd w:val="clear" w:color="auto" w:fill="FFFFFF"/>
        </w:rPr>
        <w:t>　</w:t>
      </w:r>
    </w:p>
    <w:sectPr>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55590503">
    <w:nsid w:val="925D5667"/>
    <w:multiLevelType w:val="singleLevel"/>
    <w:tmpl w:val="925D5667"/>
    <w:lvl w:ilvl="0" w:tentative="1">
      <w:start w:val="1"/>
      <w:numFmt w:val="chineseCounting"/>
      <w:suff w:val="nothing"/>
      <w:lvlText w:val="%1、"/>
      <w:lvlJc w:val="left"/>
      <w:rPr>
        <w:rFonts w:hint="eastAsia"/>
      </w:rPr>
    </w:lvl>
  </w:abstractNum>
  <w:abstractNum w:abstractNumId="1623815692">
    <w:nsid w:val="60C9760C"/>
    <w:multiLevelType w:val="singleLevel"/>
    <w:tmpl w:val="60C9760C"/>
    <w:lvl w:ilvl="0" w:tentative="1">
      <w:start w:val="1"/>
      <w:numFmt w:val="decimal"/>
      <w:suff w:val="nothing"/>
      <w:lvlText w:val="%1、"/>
      <w:lvlJc w:val="left"/>
    </w:lvl>
  </w:abstractNum>
  <w:num w:numId="1">
    <w:abstractNumId w:val="2455590503"/>
  </w:num>
  <w:num w:numId="2">
    <w:abstractNumId w:val="16238156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8"/>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2"/>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paragraph" w:styleId="5">
    <w:name w:val="Body Text First Indent"/>
    <w:basedOn w:val="6"/>
    <w:unhideWhenUsed/>
    <w:qFormat/>
    <w:uiPriority w:val="99"/>
    <w:pPr>
      <w:ind w:firstLine="420" w:firstLineChars="100"/>
    </w:pPr>
  </w:style>
  <w:style w:type="paragraph" w:styleId="6">
    <w:name w:val="Body Text"/>
    <w:basedOn w:val="1"/>
    <w:semiHidden/>
    <w:unhideWhenUsed/>
    <w:qFormat/>
    <w:uiPriority w:val="99"/>
    <w:pPr>
      <w:spacing w:after="120"/>
    </w:pPr>
  </w:style>
  <w:style w:type="paragraph" w:styleId="7">
    <w:name w:val="Normal Indent"/>
    <w:basedOn w:val="1"/>
    <w:link w:val="20"/>
    <w:qFormat/>
    <w:uiPriority w:val="0"/>
    <w:pPr>
      <w:ind w:firstLine="420" w:firstLineChars="200"/>
    </w:p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paragraph" w:styleId="11">
    <w:name w:val="Title"/>
    <w:basedOn w:val="1"/>
    <w:next w:val="1"/>
    <w:qFormat/>
    <w:uiPriority w:val="10"/>
    <w:pPr>
      <w:spacing w:before="240" w:after="60"/>
      <w:jc w:val="center"/>
      <w:outlineLvl w:val="0"/>
    </w:pPr>
    <w:rPr>
      <w:rFonts w:ascii="Calibri Light" w:hAnsi="Calibri Light" w:cs="宋体"/>
      <w:b/>
      <w:bCs/>
      <w:sz w:val="32"/>
      <w:szCs w:val="32"/>
    </w:rPr>
  </w:style>
  <w:style w:type="character" w:styleId="13">
    <w:name w:val="Strong"/>
    <w:qFormat/>
    <w:uiPriority w:val="0"/>
    <w:rPr>
      <w:b/>
    </w:rPr>
  </w:style>
  <w:style w:type="paragraph" w:customStyle="1" w:styleId="14">
    <w:name w:val="列出段落1"/>
    <w:basedOn w:val="1"/>
    <w:unhideWhenUsed/>
    <w:qFormat/>
    <w:uiPriority w:val="99"/>
    <w:pPr>
      <w:ind w:firstLine="420" w:firstLineChars="200"/>
    </w:pPr>
  </w:style>
  <w:style w:type="paragraph" w:customStyle="1" w:styleId="15">
    <w:name w:val="列表段落1"/>
    <w:basedOn w:val="1"/>
    <w:link w:val="18"/>
    <w:qFormat/>
    <w:uiPriority w:val="34"/>
    <w:pPr>
      <w:widowControl/>
      <w:spacing w:before="100" w:beforeAutospacing="1" w:after="100" w:afterAutospacing="1" w:line="360" w:lineRule="auto"/>
      <w:ind w:firstLine="420" w:firstLineChars="200"/>
      <w:jc w:val="left"/>
    </w:pPr>
    <w:rPr>
      <w:szCs w:val="22"/>
    </w:rPr>
  </w:style>
  <w:style w:type="character" w:customStyle="1" w:styleId="16">
    <w:name w:val="页眉 字符"/>
    <w:link w:val="9"/>
    <w:qFormat/>
    <w:uiPriority w:val="0"/>
    <w:rPr>
      <w:rFonts w:ascii="Calibri" w:hAnsi="Calibri" w:eastAsia="宋体"/>
      <w:kern w:val="2"/>
      <w:sz w:val="18"/>
      <w:szCs w:val="18"/>
    </w:rPr>
  </w:style>
  <w:style w:type="character" w:customStyle="1" w:styleId="17">
    <w:name w:val="页脚 字符"/>
    <w:link w:val="8"/>
    <w:qFormat/>
    <w:uiPriority w:val="99"/>
    <w:rPr>
      <w:rFonts w:ascii="Calibri" w:hAnsi="Calibri" w:eastAsia="宋体"/>
      <w:kern w:val="2"/>
      <w:sz w:val="18"/>
      <w:szCs w:val="18"/>
    </w:rPr>
  </w:style>
  <w:style w:type="character" w:customStyle="1" w:styleId="18">
    <w:name w:val="列表段落 字符"/>
    <w:link w:val="15"/>
    <w:qFormat/>
    <w:uiPriority w:val="34"/>
    <w:rPr>
      <w:rFonts w:ascii="Calibri" w:hAnsi="Calibri" w:eastAsia="宋体"/>
      <w:kern w:val="2"/>
      <w:sz w:val="21"/>
      <w:szCs w:val="22"/>
    </w:rPr>
  </w:style>
  <w:style w:type="character" w:customStyle="1" w:styleId="19">
    <w:name w:val="标题 2 字符"/>
    <w:link w:val="3"/>
    <w:qFormat/>
    <w:uiPriority w:val="0"/>
    <w:rPr>
      <w:rFonts w:ascii="Calibri Light" w:hAnsi="Calibri Light" w:cs="Times New Roman"/>
      <w:b/>
      <w:bCs/>
      <w:kern w:val="2"/>
      <w:sz w:val="32"/>
      <w:szCs w:val="32"/>
    </w:rPr>
  </w:style>
  <w:style w:type="character" w:customStyle="1" w:styleId="20">
    <w:name w:val="正文缩进 字符"/>
    <w:link w:val="7"/>
    <w:qFormat/>
    <w:uiPriority w:val="0"/>
    <w:rPr>
      <w:rFonts w:cs="Times New Roman"/>
      <w:kern w:val="2"/>
      <w:sz w:val="21"/>
      <w:szCs w:val="24"/>
    </w:rPr>
  </w:style>
  <w:style w:type="character" w:customStyle="1" w:styleId="21">
    <w:name w:val="列出段落 Char"/>
    <w:qFormat/>
    <w:uiPriority w:val="34"/>
    <w:rPr>
      <w:rFonts w:cs="宋体"/>
      <w:kern w:val="2"/>
      <w:sz w:val="21"/>
      <w:szCs w:val="22"/>
    </w:rPr>
  </w:style>
  <w:style w:type="character" w:customStyle="1" w:styleId="22">
    <w:name w:val="标题 3 字符"/>
    <w:link w:val="4"/>
    <w:semiHidden/>
    <w:uiPriority w:val="0"/>
    <w:rPr>
      <w:rFonts w:cs="Times New Roman"/>
      <w:b/>
      <w:bCs/>
      <w:kern w:val="2"/>
      <w:sz w:val="32"/>
      <w:szCs w:val="32"/>
    </w:rPr>
  </w:style>
  <w:style w:type="character" w:customStyle="1" w:styleId="23">
    <w:name w:val="font91"/>
    <w:basedOn w:val="12"/>
    <w:uiPriority w:val="0"/>
    <w:rPr>
      <w:rFonts w:hint="eastAsia" w:ascii="宋体" w:hAnsi="宋体" w:eastAsia="宋体" w:cs="宋体"/>
      <w:color w:val="000000"/>
      <w:sz w:val="21"/>
      <w:szCs w:val="21"/>
      <w:u w:val="none"/>
    </w:rPr>
  </w:style>
  <w:style w:type="character" w:customStyle="1" w:styleId="24">
    <w:name w:val="font21"/>
    <w:basedOn w:val="12"/>
    <w:uiPriority w:val="0"/>
    <w:rPr>
      <w:rFonts w:hint="default" w:ascii="Times New Roman" w:hAnsi="Times New Roman" w:cs="Times New Roman"/>
      <w:color w:val="000000"/>
      <w:sz w:val="22"/>
      <w:szCs w:val="22"/>
      <w:u w:val="none"/>
    </w:rPr>
  </w:style>
  <w:style w:type="character" w:customStyle="1" w:styleId="25">
    <w:name w:val="font01"/>
    <w:basedOn w:val="12"/>
    <w:uiPriority w:val="0"/>
    <w:rPr>
      <w:rFonts w:hint="eastAsia" w:ascii="宋体" w:hAnsi="宋体" w:eastAsia="宋体" w:cs="宋体"/>
      <w:color w:val="000000"/>
      <w:sz w:val="22"/>
      <w:szCs w:val="22"/>
      <w:u w:val="none"/>
    </w:rPr>
  </w:style>
  <w:style w:type="character" w:customStyle="1" w:styleId="26">
    <w:name w:val="font81"/>
    <w:basedOn w:val="12"/>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752</Words>
  <Characters>4289</Characters>
  <Lines>35</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2021-10-21T06:00:00Z</dcterms:created>
  <dc:creator>air</dc:creator>
  <cp:lastModifiedBy>Administrator</cp:lastModifiedBy>
  <cp:lastPrinted>2021-06-16T01:18:00Z</cp:lastPrinted>
  <dcterms:modified xsi:type="dcterms:W3CDTF">2023-01-06T08:11:49Z</dcterms:modified>
  <dc:title>关于网络及安全设备的采购、更新报告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