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pPr>
        <w:shd w:val="clear" w:color="auto" w:fill="FFFFFF"/>
        <w:adjustRightInd w:val="0"/>
        <w:snapToGrid w:val="0"/>
        <w:spacing w:beforeLines="50" w:line="590" w:lineRule="exact"/>
        <w:jc w:val="center"/>
        <w:rPr>
          <w:rFonts w:ascii="仿宋_GB2312" w:hAnsi="仿宋_GB2312" w:eastAsia="仿宋_GB2312" w:cs="仿宋_GB2312"/>
          <w:sz w:val="36"/>
          <w:szCs w:val="36"/>
        </w:rPr>
      </w:pPr>
      <w:r>
        <w:rPr>
          <w:rFonts w:hint="eastAsia" w:ascii="仿宋_GB2312" w:hAnsi="仿宋_GB2312" w:eastAsia="仿宋_GB2312" w:cs="仿宋_GB2312"/>
          <w:b/>
          <w:color w:val="000000"/>
          <w:kern w:val="0"/>
          <w:sz w:val="36"/>
          <w:szCs w:val="36"/>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spacing w:line="360" w:lineRule="atLeast"/>
              <w:jc w:val="center"/>
              <w:rPr>
                <w:rFonts w:cs="仿宋_GB2312"/>
                <w:sz w:val="28"/>
                <w:szCs w:val="28"/>
              </w:rPr>
            </w:pPr>
            <w:r>
              <w:rPr>
                <w:rFonts w:hint="eastAsia" w:cs="仿宋_GB2312"/>
                <w:b/>
                <w:color w:val="000000"/>
                <w:sz w:val="28"/>
                <w:szCs w:val="28"/>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宋体" w:hAnsi="宋体" w:cs="仿宋_GB2312"/>
                <w:sz w:val="28"/>
                <w:szCs w:val="28"/>
              </w:rPr>
            </w:pPr>
            <w:r>
              <w:rPr>
                <w:rFonts w:hint="eastAsia" w:ascii="宋体" w:hAnsi="宋体" w:cs="仿宋_GB2312"/>
                <w:b/>
                <w:color w:val="000000"/>
                <w:kern w:val="0"/>
                <w:sz w:val="28"/>
                <w:szCs w:val="28"/>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宋体" w:hAnsi="宋体" w:cs="仿宋_GB2312"/>
                <w:color w:val="000000"/>
                <w:kern w:val="0"/>
                <w:sz w:val="28"/>
                <w:szCs w:val="28"/>
              </w:rPr>
            </w:pPr>
            <w:r>
              <w:rPr>
                <w:rFonts w:hint="eastAsia" w:ascii="宋体" w:hAnsi="宋体" w:cs="仿宋_GB2312"/>
                <w:color w:val="000000"/>
                <w:kern w:val="0"/>
                <w:sz w:val="28"/>
                <w:szCs w:val="28"/>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宋体" w:hAnsi="宋体" w:cs="仿宋_GB2312"/>
                <w:color w:val="000000"/>
                <w:kern w:val="0"/>
                <w:sz w:val="28"/>
                <w:szCs w:val="28"/>
              </w:rPr>
            </w:pPr>
            <w:r>
              <w:rPr>
                <w:rFonts w:hint="eastAsia" w:ascii="宋体" w:hAnsi="宋体" w:cs="仿宋_GB2312"/>
                <w:color w:val="000000"/>
                <w:kern w:val="0"/>
                <w:sz w:val="28"/>
                <w:szCs w:val="28"/>
              </w:rPr>
              <w:t>项目名称：</w:t>
            </w:r>
            <w:r>
              <w:rPr>
                <w:rFonts w:hint="eastAsia" w:ascii="宋体" w:hAnsi="宋体" w:cs="仿宋_GB2312"/>
                <w:color w:val="000000"/>
                <w:kern w:val="0"/>
                <w:sz w:val="28"/>
                <w:szCs w:val="28"/>
                <w:lang w:eastAsia="zh-CN"/>
              </w:rPr>
              <w:t>医院信息系统安全等</w:t>
            </w:r>
            <w:r>
              <w:rPr>
                <w:rFonts w:hint="eastAsia" w:ascii="宋体" w:hAnsi="宋体" w:cs="仿宋_GB2312"/>
                <w:color w:val="000000"/>
                <w:kern w:val="0"/>
                <w:sz w:val="28"/>
                <w:szCs w:val="28"/>
                <w:lang w:val="en-US" w:eastAsia="zh-CN"/>
              </w:rPr>
              <w:t>保</w:t>
            </w:r>
            <w:r>
              <w:rPr>
                <w:rFonts w:hint="eastAsia" w:ascii="宋体" w:hAnsi="宋体" w:cs="仿宋_GB2312"/>
                <w:color w:val="000000"/>
                <w:kern w:val="0"/>
                <w:sz w:val="28"/>
                <w:szCs w:val="28"/>
                <w:lang w:eastAsia="zh-CN"/>
              </w:rPr>
              <w:t>测评工作</w:t>
            </w:r>
            <w:r>
              <w:rPr>
                <w:rFonts w:hint="eastAsia" w:ascii="宋体" w:hAnsi="宋体" w:cs="仿宋_GB2312"/>
                <w:color w:val="000000"/>
                <w:kern w:val="0"/>
                <w:sz w:val="28"/>
                <w:szCs w:val="28"/>
                <w:lang w:val="en-US" w:eastAsia="zh-CN"/>
              </w:rPr>
              <w:t>及</w:t>
            </w:r>
            <w:r>
              <w:rPr>
                <w:rFonts w:hint="eastAsia" w:ascii="宋体" w:hAnsi="宋体" w:cs="仿宋_GB2312"/>
                <w:color w:val="000000"/>
                <w:kern w:val="0"/>
                <w:sz w:val="28"/>
                <w:szCs w:val="28"/>
              </w:rPr>
              <w:t>网络安全攻防演练</w:t>
            </w:r>
            <w:r>
              <w:rPr>
                <w:rFonts w:hint="eastAsia" w:ascii="宋体" w:hAnsi="宋体" w:cs="仿宋_GB2312"/>
                <w:color w:val="000000"/>
                <w:kern w:val="0"/>
                <w:sz w:val="28"/>
                <w:szCs w:val="28"/>
                <w:lang w:val="en-US" w:eastAsia="zh-CN"/>
              </w:rPr>
              <w:t>项目</w:t>
            </w:r>
            <w:bookmarkStart w:id="0" w:name="_GoBack"/>
            <w:bookmarkEnd w:id="0"/>
            <w:r>
              <w:rPr>
                <w:rFonts w:hint="eastAsia" w:ascii="宋体" w:hAnsi="宋体" w:cs="仿宋_GB2312"/>
                <w:color w:val="000000"/>
                <w:kern w:val="0"/>
                <w:sz w:val="28"/>
                <w:szCs w:val="28"/>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宋体" w:hAnsi="宋体" w:cs="仿宋_GB2312"/>
                <w:sz w:val="28"/>
                <w:szCs w:val="28"/>
              </w:rPr>
            </w:pPr>
            <w:r>
              <w:rPr>
                <w:rFonts w:hint="eastAsia" w:ascii="宋体" w:hAnsi="宋体" w:cs="仿宋_GB2312"/>
                <w:color w:val="000000"/>
                <w:kern w:val="0"/>
                <w:sz w:val="28"/>
                <w:szCs w:val="28"/>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调研报名时间： 2023年</w:t>
            </w:r>
            <w:r>
              <w:rPr>
                <w:rFonts w:hint="eastAsia" w:ascii="宋体" w:hAnsi="宋体" w:cs="仿宋_GB2312"/>
                <w:color w:val="auto"/>
                <w:kern w:val="0"/>
                <w:sz w:val="28"/>
                <w:szCs w:val="28"/>
                <w:highlight w:val="none"/>
                <w:lang w:val="en-US" w:eastAsia="zh-CN"/>
              </w:rPr>
              <w:t>7</w:t>
            </w:r>
            <w:r>
              <w:rPr>
                <w:rFonts w:hint="eastAsia" w:ascii="宋体" w:hAnsi="宋体" w:cs="仿宋_GB2312"/>
                <w:color w:val="auto"/>
                <w:kern w:val="0"/>
                <w:sz w:val="28"/>
                <w:szCs w:val="28"/>
                <w:highlight w:val="none"/>
              </w:rPr>
              <w:t>月</w:t>
            </w:r>
            <w:r>
              <w:rPr>
                <w:rFonts w:hint="eastAsia" w:ascii="宋体" w:hAnsi="宋体" w:cs="仿宋_GB2312"/>
                <w:color w:val="auto"/>
                <w:kern w:val="0"/>
                <w:sz w:val="28"/>
                <w:szCs w:val="28"/>
                <w:highlight w:val="none"/>
                <w:lang w:val="en-US" w:eastAsia="zh-CN"/>
              </w:rPr>
              <w:t>5</w:t>
            </w:r>
            <w:r>
              <w:rPr>
                <w:rFonts w:hint="eastAsia" w:ascii="宋体" w:hAnsi="宋体" w:cs="仿宋_GB2312"/>
                <w:color w:val="auto"/>
                <w:kern w:val="0"/>
                <w:sz w:val="28"/>
                <w:szCs w:val="28"/>
                <w:highlight w:val="none"/>
              </w:rPr>
              <w:t>日至</w:t>
            </w:r>
            <w:r>
              <w:rPr>
                <w:rFonts w:hint="eastAsia" w:ascii="宋体" w:hAnsi="宋体" w:cs="仿宋_GB2312"/>
                <w:color w:val="auto"/>
                <w:kern w:val="0"/>
                <w:sz w:val="28"/>
                <w:szCs w:val="28"/>
                <w:highlight w:val="none"/>
                <w:lang w:val="en-US" w:eastAsia="zh-CN"/>
              </w:rPr>
              <w:t>7</w:t>
            </w:r>
            <w:r>
              <w:rPr>
                <w:rFonts w:hint="eastAsia" w:ascii="宋体" w:hAnsi="宋体" w:cs="仿宋_GB2312"/>
                <w:color w:val="auto"/>
                <w:kern w:val="0"/>
                <w:sz w:val="28"/>
                <w:szCs w:val="28"/>
                <w:highlight w:val="none"/>
              </w:rPr>
              <w:t>月</w:t>
            </w:r>
            <w:r>
              <w:rPr>
                <w:rFonts w:hint="eastAsia" w:ascii="宋体" w:hAnsi="宋体" w:cs="仿宋_GB2312"/>
                <w:color w:val="auto"/>
                <w:kern w:val="0"/>
                <w:sz w:val="28"/>
                <w:szCs w:val="28"/>
                <w:highlight w:val="none"/>
                <w:lang w:val="en-US" w:eastAsia="zh-CN"/>
              </w:rPr>
              <w:t>12</w:t>
            </w:r>
            <w:r>
              <w:rPr>
                <w:rFonts w:hint="eastAsia" w:ascii="宋体" w:hAnsi="宋体" w:cs="仿宋_GB2312"/>
                <w:color w:val="auto"/>
                <w:kern w:val="0"/>
                <w:sz w:val="28"/>
                <w:szCs w:val="28"/>
                <w:highlight w:val="none"/>
              </w:rPr>
              <w:t xml:space="preserve">日 </w:t>
            </w:r>
            <w:r>
              <w:rPr>
                <w:rFonts w:hint="eastAsia" w:ascii="宋体" w:hAnsi="宋体" w:cs="仿宋_GB2312"/>
                <w:color w:val="auto"/>
                <w:spacing w:val="-8"/>
                <w:kern w:val="0"/>
                <w:sz w:val="28"/>
                <w:szCs w:val="28"/>
                <w:highlight w:val="none"/>
                <w:shd w:val="clear" w:color="auto" w:fill="FFFFFF"/>
              </w:rPr>
              <w:t>(节假日除外)8：00-12：00或14：00-17：30(北京时间）</w:t>
            </w:r>
          </w:p>
          <w:p>
            <w:pPr>
              <w:spacing w:line="315" w:lineRule="atLeast"/>
              <w:rPr>
                <w:rFonts w:ascii="宋体" w:hAnsi="宋体" w:cs="仿宋_GB2312"/>
                <w:color w:val="000000"/>
                <w:kern w:val="0"/>
                <w:sz w:val="28"/>
                <w:szCs w:val="28"/>
                <w:u w:val="single"/>
              </w:rPr>
            </w:pPr>
            <w:r>
              <w:rPr>
                <w:rFonts w:hint="eastAsia" w:ascii="宋体" w:hAnsi="宋体" w:cs="仿宋_GB2312"/>
                <w:color w:val="auto"/>
                <w:kern w:val="0"/>
                <w:sz w:val="28"/>
                <w:szCs w:val="28"/>
                <w:highlight w:val="none"/>
              </w:rPr>
              <w:t>调研会时间： 2023年</w:t>
            </w:r>
            <w:r>
              <w:rPr>
                <w:rFonts w:hint="eastAsia" w:ascii="宋体" w:hAnsi="宋体" w:cs="仿宋_GB2312"/>
                <w:color w:val="auto"/>
                <w:kern w:val="0"/>
                <w:sz w:val="28"/>
                <w:szCs w:val="28"/>
                <w:highlight w:val="none"/>
                <w:lang w:val="en-US" w:eastAsia="zh-CN"/>
              </w:rPr>
              <w:t>7</w:t>
            </w:r>
            <w:r>
              <w:rPr>
                <w:rFonts w:hint="eastAsia" w:ascii="宋体" w:hAnsi="宋体" w:cs="仿宋_GB2312"/>
                <w:color w:val="auto"/>
                <w:kern w:val="0"/>
                <w:sz w:val="28"/>
                <w:szCs w:val="28"/>
                <w:highlight w:val="none"/>
              </w:rPr>
              <w:t xml:space="preserve">月 </w:t>
            </w:r>
            <w:r>
              <w:rPr>
                <w:rFonts w:hint="eastAsia" w:ascii="宋体" w:hAnsi="宋体" w:cs="仿宋_GB2312"/>
                <w:color w:val="auto"/>
                <w:kern w:val="0"/>
                <w:sz w:val="28"/>
                <w:szCs w:val="28"/>
                <w:highlight w:val="none"/>
                <w:lang w:val="en-US" w:eastAsia="zh-CN"/>
              </w:rPr>
              <w:t>14</w:t>
            </w:r>
            <w:r>
              <w:rPr>
                <w:rFonts w:hint="eastAsia" w:ascii="宋体" w:hAnsi="宋体" w:cs="仿宋_GB2312"/>
                <w:color w:val="auto"/>
                <w:kern w:val="0"/>
                <w:sz w:val="28"/>
                <w:szCs w:val="28"/>
                <w:highlight w:val="none"/>
              </w:rPr>
              <w:t>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宋体" w:hAnsi="宋体" w:cs="仿宋_GB2312"/>
                <w:sz w:val="28"/>
                <w:szCs w:val="28"/>
              </w:rPr>
            </w:pPr>
            <w:r>
              <w:rPr>
                <w:rFonts w:hint="eastAsia" w:ascii="宋体" w:hAnsi="宋体" w:cs="仿宋_GB2312"/>
                <w:color w:val="000000"/>
                <w:kern w:val="0"/>
                <w:sz w:val="28"/>
                <w:szCs w:val="28"/>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宋体" w:hAnsi="宋体" w:cs="仿宋_GB2312"/>
                <w:sz w:val="28"/>
                <w:szCs w:val="28"/>
              </w:rPr>
            </w:pPr>
            <w:r>
              <w:rPr>
                <w:rFonts w:hint="eastAsia" w:ascii="宋体" w:hAnsi="宋体" w:cs="仿宋_GB2312"/>
                <w:color w:val="000000"/>
                <w:sz w:val="28"/>
                <w:szCs w:val="28"/>
              </w:rPr>
              <w:t>文件正本</w:t>
            </w:r>
            <w:r>
              <w:rPr>
                <w:rFonts w:hint="eastAsia" w:ascii="宋体" w:hAnsi="宋体" w:cs="仿宋_GB2312"/>
                <w:bCs/>
                <w:color w:val="000000"/>
                <w:sz w:val="28"/>
                <w:szCs w:val="28"/>
                <w:u w:val="single"/>
              </w:rPr>
              <w:t>壹</w:t>
            </w:r>
            <w:r>
              <w:rPr>
                <w:rFonts w:hint="eastAsia" w:ascii="宋体" w:hAnsi="宋体" w:cs="仿宋_GB2312"/>
                <w:color w:val="000000"/>
                <w:sz w:val="28"/>
                <w:szCs w:val="28"/>
              </w:rPr>
              <w:t>份,副本</w:t>
            </w:r>
            <w:r>
              <w:rPr>
                <w:rFonts w:hint="eastAsia" w:ascii="宋体" w:hAnsi="宋体" w:cs="仿宋_GB2312"/>
                <w:bCs/>
                <w:color w:val="000000"/>
                <w:sz w:val="28"/>
                <w:szCs w:val="28"/>
                <w:u w:val="single"/>
              </w:rPr>
              <w:t>壹</w:t>
            </w:r>
            <w:r>
              <w:rPr>
                <w:rFonts w:hint="eastAsia" w:ascii="宋体" w:hAnsi="宋体" w:cs="仿宋_GB2312"/>
                <w:color w:val="000000"/>
                <w:sz w:val="28"/>
                <w:szCs w:val="28"/>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宋体" w:hAnsi="宋体" w:cs="仿宋_GB2312"/>
                <w:sz w:val="28"/>
                <w:szCs w:val="28"/>
              </w:rPr>
            </w:pPr>
            <w:r>
              <w:rPr>
                <w:rFonts w:hint="eastAsia" w:ascii="宋体" w:hAnsi="宋体" w:cs="仿宋_GB2312"/>
                <w:color w:val="000000"/>
                <w:kern w:val="0"/>
                <w:sz w:val="28"/>
                <w:szCs w:val="28"/>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宋体" w:hAnsi="宋体" w:cs="仿宋_GB2312"/>
                <w:sz w:val="28"/>
                <w:szCs w:val="28"/>
              </w:rPr>
            </w:pPr>
            <w:r>
              <w:rPr>
                <w:rFonts w:hint="eastAsia" w:ascii="宋体" w:hAnsi="宋体" w:cs="仿宋_GB2312"/>
                <w:color w:val="000000"/>
                <w:kern w:val="0"/>
                <w:sz w:val="28"/>
                <w:szCs w:val="28"/>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宋体" w:hAnsi="宋体" w:cs="仿宋_GB2312"/>
                <w:sz w:val="28"/>
                <w:szCs w:val="28"/>
              </w:rPr>
            </w:pPr>
            <w:r>
              <w:rPr>
                <w:rFonts w:hint="eastAsia" w:ascii="宋体" w:hAnsi="宋体" w:cs="仿宋_GB2312"/>
                <w:color w:val="000000"/>
                <w:kern w:val="0"/>
                <w:sz w:val="28"/>
                <w:szCs w:val="28"/>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宋体" w:hAnsi="宋体" w:cs="仿宋_GB2312"/>
                <w:sz w:val="28"/>
                <w:szCs w:val="28"/>
              </w:rPr>
            </w:pPr>
            <w:r>
              <w:rPr>
                <w:rFonts w:hint="eastAsia" w:ascii="宋体" w:hAnsi="宋体" w:cs="仿宋_GB2312"/>
                <w:color w:val="000000"/>
                <w:kern w:val="0"/>
                <w:sz w:val="28"/>
                <w:szCs w:val="28"/>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宋体" w:hAnsi="宋体" w:cs="仿宋_GB2312"/>
                <w:sz w:val="28"/>
                <w:szCs w:val="28"/>
              </w:rPr>
            </w:pPr>
            <w:r>
              <w:rPr>
                <w:rFonts w:hint="eastAsia" w:ascii="宋体" w:hAnsi="宋体" w:cs="仿宋_GB2312"/>
                <w:sz w:val="28"/>
                <w:szCs w:val="28"/>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spacing w:line="360" w:lineRule="auto"/>
              <w:rPr>
                <w:rFonts w:ascii="宋体" w:hAnsi="宋体" w:cs="仿宋_GB2312"/>
                <w:sz w:val="28"/>
                <w:szCs w:val="28"/>
              </w:rPr>
            </w:pPr>
            <w:r>
              <w:rPr>
                <w:rFonts w:hint="eastAsia" w:ascii="宋体" w:hAnsi="宋体" w:cs="仿宋_GB2312"/>
                <w:bCs/>
                <w:color w:val="000000"/>
                <w:kern w:val="0"/>
                <w:sz w:val="28"/>
                <w:szCs w:val="28"/>
                <w:shd w:val="clear" w:color="auto" w:fill="FFFFFF"/>
              </w:rPr>
              <w:t>采购报名、采购调研等采购过程中有任何异议，可联系我院监督科室。电话：83660063-8407；83660063-8467。</w:t>
            </w:r>
          </w:p>
        </w:tc>
      </w:tr>
    </w:tbl>
    <w:p>
      <w:pPr>
        <w:shd w:val="clear" w:color="auto" w:fill="FFFFFF"/>
        <w:spacing w:beforeLines="100" w:line="336" w:lineRule="auto"/>
        <w:rPr>
          <w:rFonts w:ascii="宋体" w:hAnsi="宋体" w:cs="仿宋_GB2312"/>
          <w:bCs/>
          <w:color w:val="000000"/>
          <w:kern w:val="0"/>
          <w:sz w:val="28"/>
          <w:szCs w:val="28"/>
          <w:shd w:val="clear" w:color="auto" w:fill="FFFFFF"/>
        </w:rPr>
      </w:pPr>
      <w:r>
        <w:rPr>
          <w:rFonts w:hint="eastAsia" w:ascii="宋体" w:hAnsi="宋体" w:cs="仿宋_GB2312"/>
          <w:bCs/>
          <w:color w:val="000000"/>
          <w:kern w:val="0"/>
          <w:sz w:val="28"/>
          <w:szCs w:val="28"/>
          <w:shd w:val="clear" w:color="auto" w:fill="FFFFFF"/>
        </w:rPr>
        <w:t xml:space="preserve">地　址：  福建省福州市福马路420号 </w:t>
      </w:r>
    </w:p>
    <w:p>
      <w:pPr>
        <w:shd w:val="clear" w:color="auto" w:fill="FFFFFF"/>
        <w:spacing w:line="336" w:lineRule="auto"/>
        <w:ind w:firstLine="1400" w:firstLineChars="500"/>
        <w:rPr>
          <w:rFonts w:ascii="宋体" w:hAnsi="宋体" w:cs="仿宋_GB2312"/>
          <w:bCs/>
          <w:sz w:val="28"/>
          <w:szCs w:val="28"/>
        </w:rPr>
      </w:pPr>
      <w:r>
        <w:rPr>
          <w:rFonts w:hint="eastAsia" w:ascii="宋体" w:hAnsi="宋体" w:cs="仿宋_GB2312"/>
          <w:bCs/>
          <w:color w:val="000000"/>
          <w:kern w:val="0"/>
          <w:sz w:val="28"/>
          <w:szCs w:val="28"/>
          <w:shd w:val="clear" w:color="auto" w:fill="FFFFFF"/>
        </w:rPr>
        <w:t>福建省肿瘤医院科研楼四楼网络技术中心</w:t>
      </w:r>
    </w:p>
    <w:p>
      <w:pPr>
        <w:shd w:val="clear" w:color="auto" w:fill="FFFFFF"/>
        <w:spacing w:line="440" w:lineRule="atLeast"/>
        <w:rPr>
          <w:rFonts w:ascii="宋体" w:hAnsi="宋体" w:cs="仿宋_GB2312"/>
          <w:bCs/>
          <w:sz w:val="28"/>
          <w:szCs w:val="28"/>
        </w:rPr>
      </w:pPr>
      <w:r>
        <w:rPr>
          <w:rFonts w:hint="eastAsia" w:ascii="宋体" w:hAnsi="宋体" w:cs="仿宋_GB2312"/>
          <w:bCs/>
          <w:color w:val="000000"/>
          <w:kern w:val="0"/>
          <w:sz w:val="28"/>
          <w:szCs w:val="28"/>
          <w:shd w:val="clear" w:color="auto" w:fill="FFFFFF"/>
        </w:rPr>
        <w:t>邮　编： 350014　 </w:t>
      </w:r>
    </w:p>
    <w:p>
      <w:pPr>
        <w:shd w:val="clear" w:color="auto" w:fill="FFFFFF"/>
        <w:spacing w:line="440" w:lineRule="atLeast"/>
        <w:rPr>
          <w:rFonts w:ascii="宋体" w:hAnsi="宋体" w:cs="仿宋_GB2312"/>
          <w:bCs/>
          <w:sz w:val="28"/>
          <w:szCs w:val="28"/>
        </w:rPr>
      </w:pPr>
      <w:r>
        <w:rPr>
          <w:rFonts w:hint="eastAsia" w:ascii="宋体" w:hAnsi="宋体" w:cs="仿宋_GB2312"/>
          <w:bCs/>
          <w:color w:val="000000"/>
          <w:kern w:val="0"/>
          <w:sz w:val="28"/>
          <w:szCs w:val="28"/>
          <w:shd w:val="clear" w:color="auto" w:fill="FFFFFF"/>
        </w:rPr>
        <w:t>报名联系电话：0591-83660063-8822</w:t>
      </w:r>
    </w:p>
    <w:p>
      <w:pPr>
        <w:shd w:val="clear" w:color="auto" w:fill="FFFFFF"/>
        <w:spacing w:line="440" w:lineRule="atLeast"/>
        <w:rPr>
          <w:rFonts w:ascii="宋体" w:hAnsi="宋体" w:cs="仿宋_GB2312"/>
          <w:bCs/>
          <w:color w:val="000000"/>
          <w:kern w:val="0"/>
          <w:sz w:val="28"/>
          <w:szCs w:val="28"/>
          <w:shd w:val="clear" w:color="auto" w:fill="FFFFFF"/>
        </w:rPr>
      </w:pPr>
      <w:r>
        <w:rPr>
          <w:rFonts w:hint="eastAsia" w:ascii="宋体" w:hAnsi="宋体" w:cs="仿宋_GB2312"/>
          <w:bCs/>
          <w:color w:val="000000"/>
          <w:kern w:val="0"/>
          <w:sz w:val="28"/>
          <w:szCs w:val="28"/>
          <w:shd w:val="clear" w:color="auto" w:fill="FFFFFF"/>
        </w:rPr>
        <w:t>联系人： 金 工</w:t>
      </w:r>
    </w:p>
    <w:p>
      <w:pPr>
        <w:shd w:val="clear" w:color="auto" w:fill="FFFFFF"/>
        <w:adjustRightInd w:val="0"/>
        <w:snapToGrid w:val="0"/>
        <w:spacing w:beforeLines="50" w:line="59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第二部分 具体要求</w:t>
      </w:r>
    </w:p>
    <w:p>
      <w:pPr>
        <w:shd w:val="clear" w:color="auto" w:fill="FFFFFF"/>
        <w:spacing w:line="440" w:lineRule="atLeast"/>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pPr w:leftFromText="180" w:rightFromText="180" w:vertAnchor="text" w:horzAnchor="page" w:tblpX="1562" w:tblpY="283"/>
        <w:tblOverlap w:val="never"/>
        <w:tblW w:w="9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84"/>
        <w:gridCol w:w="4820"/>
        <w:gridCol w:w="126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73" w:hRule="exact"/>
        </w:trPr>
        <w:tc>
          <w:tcPr>
            <w:tcW w:w="1384" w:type="dxa"/>
            <w:tcBorders>
              <w:tl2br w:val="nil"/>
              <w:tr2bl w:val="nil"/>
            </w:tcBorders>
            <w:vAlign w:val="center"/>
          </w:tcPr>
          <w:p>
            <w:pPr>
              <w:spacing w:afterLines="50"/>
              <w:jc w:val="center"/>
              <w:rPr>
                <w:rFonts w:ascii="宋体" w:hAnsi="宋体" w:cs="仿宋_GB2312"/>
                <w:b/>
                <w:bCs/>
                <w:sz w:val="28"/>
                <w:szCs w:val="28"/>
              </w:rPr>
            </w:pPr>
            <w:r>
              <w:rPr>
                <w:rFonts w:hint="eastAsia" w:ascii="宋体" w:hAnsi="宋体" w:cs="仿宋_GB2312"/>
                <w:b/>
                <w:bCs/>
                <w:color w:val="000000"/>
                <w:kern w:val="0"/>
                <w:sz w:val="28"/>
                <w:szCs w:val="28"/>
              </w:rPr>
              <w:t>合同包</w:t>
            </w:r>
          </w:p>
        </w:tc>
        <w:tc>
          <w:tcPr>
            <w:tcW w:w="4820" w:type="dxa"/>
            <w:tcBorders>
              <w:tl2br w:val="nil"/>
              <w:tr2bl w:val="nil"/>
            </w:tcBorders>
            <w:vAlign w:val="center"/>
          </w:tcPr>
          <w:p>
            <w:pPr>
              <w:spacing w:afterLines="50"/>
              <w:jc w:val="center"/>
              <w:rPr>
                <w:rFonts w:ascii="宋体" w:hAnsi="宋体" w:cs="仿宋_GB2312"/>
                <w:b/>
                <w:bCs/>
                <w:kern w:val="0"/>
                <w:sz w:val="28"/>
                <w:szCs w:val="28"/>
              </w:rPr>
            </w:pPr>
            <w:r>
              <w:rPr>
                <w:rFonts w:hint="eastAsia" w:ascii="宋体" w:hAnsi="宋体" w:cs="仿宋_GB2312"/>
                <w:b/>
                <w:bCs/>
                <w:color w:val="000000"/>
                <w:kern w:val="0"/>
                <w:sz w:val="28"/>
                <w:szCs w:val="28"/>
              </w:rPr>
              <w:t>名 称</w:t>
            </w:r>
          </w:p>
        </w:tc>
        <w:tc>
          <w:tcPr>
            <w:tcW w:w="1261" w:type="dxa"/>
            <w:tcBorders>
              <w:tl2br w:val="nil"/>
              <w:tr2bl w:val="nil"/>
            </w:tcBorders>
            <w:vAlign w:val="center"/>
          </w:tcPr>
          <w:p>
            <w:pPr>
              <w:spacing w:afterLines="50"/>
              <w:jc w:val="center"/>
              <w:rPr>
                <w:rFonts w:ascii="宋体" w:hAnsi="宋体" w:cs="仿宋_GB2312"/>
                <w:b/>
                <w:bCs/>
                <w:kern w:val="0"/>
                <w:sz w:val="28"/>
                <w:szCs w:val="28"/>
              </w:rPr>
            </w:pPr>
            <w:r>
              <w:rPr>
                <w:rFonts w:hint="eastAsia" w:ascii="宋体" w:hAnsi="宋体" w:cs="仿宋_GB2312"/>
                <w:b/>
                <w:bCs/>
                <w:color w:val="000000"/>
                <w:kern w:val="0"/>
                <w:sz w:val="28"/>
                <w:szCs w:val="28"/>
              </w:rPr>
              <w:t>数量</w:t>
            </w:r>
          </w:p>
        </w:tc>
        <w:tc>
          <w:tcPr>
            <w:tcW w:w="1894" w:type="dxa"/>
            <w:tcBorders>
              <w:tl2br w:val="nil"/>
              <w:tr2bl w:val="nil"/>
            </w:tcBorders>
            <w:vAlign w:val="center"/>
          </w:tcPr>
          <w:p>
            <w:pPr>
              <w:spacing w:afterLines="50"/>
              <w:jc w:val="center"/>
              <w:rPr>
                <w:rFonts w:ascii="宋体" w:hAnsi="宋体" w:cs="仿宋_GB2312"/>
                <w:b/>
                <w:bCs/>
                <w:kern w:val="0"/>
                <w:sz w:val="28"/>
                <w:szCs w:val="28"/>
              </w:rPr>
            </w:pPr>
            <w:r>
              <w:rPr>
                <w:rFonts w:hint="eastAsia" w:ascii="宋体" w:hAnsi="宋体" w:cs="仿宋_GB2312"/>
                <w:b/>
                <w:bCs/>
                <w:color w:val="000000"/>
                <w:kern w:val="0"/>
                <w:sz w:val="28"/>
                <w:szCs w:val="28"/>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92" w:hRule="exact"/>
        </w:trPr>
        <w:tc>
          <w:tcPr>
            <w:tcW w:w="1384" w:type="dxa"/>
            <w:tcBorders>
              <w:tl2br w:val="nil"/>
              <w:tr2bl w:val="nil"/>
            </w:tcBorders>
            <w:vAlign w:val="center"/>
          </w:tcPr>
          <w:p>
            <w:pPr>
              <w:snapToGrid w:val="0"/>
              <w:jc w:val="center"/>
              <w:rPr>
                <w:rFonts w:ascii="宋体" w:hAnsi="宋体" w:cs="仿宋_GB2312"/>
                <w:b/>
                <w:bCs/>
                <w:sz w:val="28"/>
                <w:szCs w:val="28"/>
              </w:rPr>
            </w:pPr>
            <w:r>
              <w:rPr>
                <w:rFonts w:hint="eastAsia" w:ascii="宋体" w:hAnsi="宋体" w:cs="仿宋_GB2312"/>
                <w:b/>
                <w:bCs/>
                <w:color w:val="000000"/>
                <w:kern w:val="0"/>
                <w:sz w:val="28"/>
                <w:szCs w:val="28"/>
              </w:rPr>
              <w:t>（一）</w:t>
            </w:r>
          </w:p>
        </w:tc>
        <w:tc>
          <w:tcPr>
            <w:tcW w:w="4820" w:type="dxa"/>
            <w:tcBorders>
              <w:tl2br w:val="nil"/>
              <w:tr2bl w:val="nil"/>
            </w:tcBorders>
            <w:vAlign w:val="center"/>
          </w:tcPr>
          <w:p>
            <w:pPr>
              <w:snapToGrid w:val="0"/>
              <w:rPr>
                <w:rFonts w:ascii="宋体" w:hAnsi="宋体" w:cs="仿宋_GB2312"/>
                <w:b/>
                <w:bCs/>
                <w:kern w:val="0"/>
                <w:sz w:val="28"/>
                <w:szCs w:val="28"/>
              </w:rPr>
            </w:pPr>
            <w:r>
              <w:rPr>
                <w:rFonts w:hint="eastAsia" w:ascii="宋体" w:hAnsi="宋体" w:cs="仿宋_GB2312"/>
                <w:b/>
                <w:bCs/>
                <w:color w:val="000000"/>
                <w:kern w:val="0"/>
                <w:sz w:val="28"/>
                <w:szCs w:val="28"/>
              </w:rPr>
              <w:t>等级保护咨询及安全运维测评服务</w:t>
            </w:r>
          </w:p>
        </w:tc>
        <w:tc>
          <w:tcPr>
            <w:tcW w:w="1261" w:type="dxa"/>
            <w:vMerge w:val="restart"/>
            <w:tcBorders>
              <w:tl2br w:val="nil"/>
              <w:tr2bl w:val="nil"/>
            </w:tcBorders>
            <w:vAlign w:val="center"/>
          </w:tcPr>
          <w:p>
            <w:pPr>
              <w:autoSpaceDN w:val="0"/>
              <w:snapToGrid w:val="0"/>
              <w:jc w:val="center"/>
              <w:textAlignment w:val="center"/>
              <w:rPr>
                <w:rFonts w:ascii="宋体" w:hAnsi="宋体" w:cs="仿宋_GB2312"/>
                <w:color w:val="auto"/>
                <w:kern w:val="0"/>
                <w:sz w:val="28"/>
                <w:szCs w:val="28"/>
                <w:highlight w:val="none"/>
                <w:shd w:val="clear" w:color="auto" w:fill="auto"/>
              </w:rPr>
            </w:pPr>
            <w:r>
              <w:rPr>
                <w:rFonts w:ascii="宋体" w:hAnsi="宋体" w:cs="仿宋_GB2312"/>
                <w:color w:val="auto"/>
                <w:sz w:val="28"/>
                <w:szCs w:val="28"/>
                <w:highlight w:val="none"/>
                <w:shd w:val="clear" w:color="auto" w:fill="auto"/>
              </w:rPr>
              <w:t>1</w:t>
            </w:r>
            <w:r>
              <w:rPr>
                <w:rFonts w:hint="eastAsia" w:ascii="宋体" w:hAnsi="宋体" w:cs="仿宋_GB2312"/>
                <w:color w:val="auto"/>
                <w:sz w:val="28"/>
                <w:szCs w:val="28"/>
                <w:highlight w:val="none"/>
                <w:shd w:val="clear" w:color="auto" w:fill="auto"/>
              </w:rPr>
              <w:t>项</w:t>
            </w:r>
          </w:p>
        </w:tc>
        <w:tc>
          <w:tcPr>
            <w:tcW w:w="1894" w:type="dxa"/>
            <w:vMerge w:val="restart"/>
            <w:tcBorders>
              <w:tl2br w:val="nil"/>
              <w:tr2bl w:val="nil"/>
            </w:tcBorders>
            <w:vAlign w:val="center"/>
          </w:tcPr>
          <w:p>
            <w:pPr>
              <w:autoSpaceDN w:val="0"/>
              <w:snapToGrid w:val="0"/>
              <w:jc w:val="center"/>
              <w:textAlignment w:val="center"/>
              <w:rPr>
                <w:rFonts w:ascii="宋体" w:hAnsi="宋体" w:cs="仿宋_GB2312"/>
                <w:color w:val="auto"/>
                <w:sz w:val="28"/>
                <w:szCs w:val="28"/>
                <w:highlight w:val="none"/>
                <w:shd w:val="clear" w:color="auto" w:fill="auto"/>
              </w:rPr>
            </w:pPr>
            <w:r>
              <w:rPr>
                <w:rFonts w:hint="eastAsia" w:ascii="宋体" w:hAnsi="宋体" w:cs="仿宋_GB2312"/>
                <w:color w:val="auto"/>
                <w:sz w:val="28"/>
                <w:szCs w:val="28"/>
                <w:highlight w:val="none"/>
                <w:shd w:val="clear" w:color="auto" w:fill="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3" w:hRule="exact"/>
        </w:trPr>
        <w:tc>
          <w:tcPr>
            <w:tcW w:w="1384" w:type="dxa"/>
            <w:tcBorders>
              <w:tl2br w:val="nil"/>
              <w:tr2bl w:val="nil"/>
            </w:tcBorders>
            <w:vAlign w:val="center"/>
          </w:tcPr>
          <w:p>
            <w:pPr>
              <w:snapToGrid w:val="0"/>
              <w:jc w:val="center"/>
              <w:rPr>
                <w:rFonts w:ascii="宋体" w:hAnsi="宋体" w:cs="仿宋_GB2312"/>
                <w:color w:val="000000"/>
                <w:kern w:val="0"/>
                <w:sz w:val="28"/>
                <w:szCs w:val="28"/>
              </w:rPr>
            </w:pPr>
            <w:r>
              <w:rPr>
                <w:rFonts w:hint="eastAsia" w:ascii="宋体" w:hAnsi="宋体" w:cs="仿宋_GB2312"/>
                <w:color w:val="000000"/>
                <w:kern w:val="0"/>
                <w:sz w:val="28"/>
                <w:szCs w:val="28"/>
              </w:rPr>
              <w:t>1</w:t>
            </w:r>
          </w:p>
        </w:tc>
        <w:tc>
          <w:tcPr>
            <w:tcW w:w="4820" w:type="dxa"/>
            <w:tcBorders>
              <w:tl2br w:val="nil"/>
              <w:tr2bl w:val="nil"/>
            </w:tcBorders>
            <w:vAlign w:val="center"/>
          </w:tcPr>
          <w:p>
            <w:pPr>
              <w:snapToGrid w:val="0"/>
              <w:rPr>
                <w:rFonts w:ascii="宋体" w:hAnsi="宋体" w:cs="仿宋_GB2312"/>
                <w:color w:val="000000"/>
                <w:kern w:val="0"/>
                <w:sz w:val="28"/>
                <w:szCs w:val="28"/>
              </w:rPr>
            </w:pPr>
            <w:r>
              <w:rPr>
                <w:rFonts w:hint="eastAsia" w:ascii="宋体" w:hAnsi="宋体" w:cs="仿宋_GB2312"/>
                <w:color w:val="000000"/>
                <w:kern w:val="0"/>
                <w:sz w:val="28"/>
                <w:szCs w:val="28"/>
              </w:rPr>
              <w:t>信息安全等级保护测评服务</w:t>
            </w:r>
          </w:p>
        </w:tc>
        <w:tc>
          <w:tcPr>
            <w:tcW w:w="1261" w:type="dxa"/>
            <w:vMerge w:val="continue"/>
            <w:tcBorders>
              <w:tl2br w:val="nil"/>
              <w:tr2bl w:val="nil"/>
            </w:tcBorders>
            <w:vAlign w:val="center"/>
          </w:tcPr>
          <w:p>
            <w:pPr>
              <w:autoSpaceDN w:val="0"/>
              <w:snapToGrid w:val="0"/>
              <w:jc w:val="center"/>
              <w:textAlignment w:val="center"/>
              <w:rPr>
                <w:rFonts w:ascii="宋体" w:hAnsi="宋体" w:cs="仿宋_GB2312"/>
                <w:color w:val="000000"/>
                <w:sz w:val="28"/>
                <w:szCs w:val="28"/>
              </w:rPr>
            </w:pPr>
          </w:p>
        </w:tc>
        <w:tc>
          <w:tcPr>
            <w:tcW w:w="1894" w:type="dxa"/>
            <w:vMerge w:val="continue"/>
            <w:tcBorders>
              <w:tl2br w:val="nil"/>
              <w:tr2bl w:val="nil"/>
            </w:tcBorders>
            <w:vAlign w:val="center"/>
          </w:tcPr>
          <w:p>
            <w:pPr>
              <w:autoSpaceDN w:val="0"/>
              <w:snapToGrid w:val="0"/>
              <w:textAlignment w:val="center"/>
              <w:rPr>
                <w:rFonts w:ascii="宋体" w:hAnsi="宋体"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exact"/>
        </w:trPr>
        <w:tc>
          <w:tcPr>
            <w:tcW w:w="1384" w:type="dxa"/>
            <w:tcBorders>
              <w:tl2br w:val="nil"/>
              <w:tr2bl w:val="nil"/>
            </w:tcBorders>
            <w:vAlign w:val="center"/>
          </w:tcPr>
          <w:p>
            <w:pPr>
              <w:snapToGrid w:val="0"/>
              <w:jc w:val="center"/>
              <w:rPr>
                <w:rFonts w:ascii="宋体" w:hAnsi="宋体" w:cs="仿宋_GB2312"/>
                <w:color w:val="000000"/>
                <w:kern w:val="0"/>
                <w:sz w:val="28"/>
                <w:szCs w:val="28"/>
              </w:rPr>
            </w:pPr>
            <w:r>
              <w:rPr>
                <w:rFonts w:hint="eastAsia" w:ascii="宋体" w:hAnsi="宋体" w:cs="仿宋_GB2312"/>
                <w:color w:val="000000"/>
                <w:kern w:val="0"/>
                <w:sz w:val="28"/>
                <w:szCs w:val="28"/>
              </w:rPr>
              <w:t>2</w:t>
            </w:r>
          </w:p>
        </w:tc>
        <w:tc>
          <w:tcPr>
            <w:tcW w:w="4820" w:type="dxa"/>
            <w:tcBorders>
              <w:tl2br w:val="nil"/>
              <w:tr2bl w:val="nil"/>
            </w:tcBorders>
            <w:vAlign w:val="center"/>
          </w:tcPr>
          <w:p>
            <w:pPr>
              <w:snapToGrid w:val="0"/>
              <w:rPr>
                <w:rFonts w:ascii="宋体" w:hAnsi="宋体" w:cs="仿宋_GB2312"/>
                <w:color w:val="000000"/>
                <w:kern w:val="0"/>
                <w:sz w:val="28"/>
                <w:szCs w:val="28"/>
              </w:rPr>
            </w:pPr>
            <w:r>
              <w:rPr>
                <w:rFonts w:hint="eastAsia" w:ascii="宋体" w:hAnsi="宋体" w:cs="仿宋_GB2312"/>
                <w:color w:val="000000"/>
                <w:kern w:val="0"/>
                <w:sz w:val="28"/>
                <w:szCs w:val="28"/>
              </w:rPr>
              <w:t>等保咨询及安全运维服务</w:t>
            </w:r>
          </w:p>
        </w:tc>
        <w:tc>
          <w:tcPr>
            <w:tcW w:w="1261" w:type="dxa"/>
            <w:vMerge w:val="continue"/>
            <w:tcBorders>
              <w:tl2br w:val="nil"/>
              <w:tr2bl w:val="nil"/>
            </w:tcBorders>
            <w:vAlign w:val="center"/>
          </w:tcPr>
          <w:p>
            <w:pPr>
              <w:autoSpaceDN w:val="0"/>
              <w:snapToGrid w:val="0"/>
              <w:jc w:val="center"/>
              <w:textAlignment w:val="center"/>
              <w:rPr>
                <w:rFonts w:ascii="宋体" w:hAnsi="宋体" w:cs="仿宋_GB2312"/>
                <w:color w:val="000000"/>
                <w:sz w:val="28"/>
                <w:szCs w:val="28"/>
              </w:rPr>
            </w:pPr>
          </w:p>
        </w:tc>
        <w:tc>
          <w:tcPr>
            <w:tcW w:w="1894" w:type="dxa"/>
            <w:vMerge w:val="continue"/>
            <w:tcBorders>
              <w:tl2br w:val="nil"/>
              <w:tr2bl w:val="nil"/>
            </w:tcBorders>
            <w:vAlign w:val="center"/>
          </w:tcPr>
          <w:p>
            <w:pPr>
              <w:autoSpaceDN w:val="0"/>
              <w:snapToGrid w:val="0"/>
              <w:textAlignment w:val="center"/>
              <w:rPr>
                <w:rFonts w:ascii="宋体" w:hAnsi="宋体"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1" w:hRule="exact"/>
        </w:trPr>
        <w:tc>
          <w:tcPr>
            <w:tcW w:w="1384" w:type="dxa"/>
            <w:tcBorders>
              <w:tl2br w:val="nil"/>
              <w:tr2bl w:val="nil"/>
            </w:tcBorders>
            <w:vAlign w:val="center"/>
          </w:tcPr>
          <w:p>
            <w:pPr>
              <w:snapToGrid w:val="0"/>
              <w:jc w:val="center"/>
              <w:rPr>
                <w:rFonts w:ascii="宋体" w:hAnsi="宋体" w:cs="仿宋_GB2312"/>
                <w:color w:val="000000"/>
                <w:kern w:val="0"/>
                <w:sz w:val="28"/>
                <w:szCs w:val="28"/>
              </w:rPr>
            </w:pPr>
            <w:r>
              <w:rPr>
                <w:rFonts w:ascii="宋体" w:hAnsi="宋体" w:cs="仿宋_GB2312"/>
                <w:color w:val="000000"/>
                <w:kern w:val="0"/>
                <w:sz w:val="28"/>
                <w:szCs w:val="28"/>
              </w:rPr>
              <w:t>3</w:t>
            </w:r>
          </w:p>
        </w:tc>
        <w:tc>
          <w:tcPr>
            <w:tcW w:w="4820" w:type="dxa"/>
            <w:tcBorders>
              <w:tl2br w:val="nil"/>
              <w:tr2bl w:val="nil"/>
            </w:tcBorders>
            <w:vAlign w:val="center"/>
          </w:tcPr>
          <w:p>
            <w:pPr>
              <w:snapToGrid w:val="0"/>
              <w:rPr>
                <w:rFonts w:ascii="宋体" w:hAnsi="宋体" w:cs="仿宋_GB2312"/>
                <w:color w:val="000000"/>
                <w:kern w:val="0"/>
                <w:sz w:val="28"/>
                <w:szCs w:val="28"/>
              </w:rPr>
            </w:pPr>
            <w:r>
              <w:rPr>
                <w:rFonts w:hint="eastAsia" w:ascii="宋体" w:hAnsi="宋体" w:cs="仿宋_GB2312"/>
                <w:color w:val="000000"/>
                <w:kern w:val="0"/>
                <w:sz w:val="28"/>
                <w:szCs w:val="28"/>
              </w:rPr>
              <w:t>攻防演练安全保障服务</w:t>
            </w:r>
          </w:p>
        </w:tc>
        <w:tc>
          <w:tcPr>
            <w:tcW w:w="1261" w:type="dxa"/>
            <w:vMerge w:val="continue"/>
            <w:tcBorders>
              <w:tl2br w:val="nil"/>
              <w:tr2bl w:val="nil"/>
            </w:tcBorders>
            <w:vAlign w:val="center"/>
          </w:tcPr>
          <w:p>
            <w:pPr>
              <w:autoSpaceDN w:val="0"/>
              <w:snapToGrid w:val="0"/>
              <w:jc w:val="center"/>
              <w:textAlignment w:val="center"/>
              <w:rPr>
                <w:rFonts w:ascii="宋体" w:hAnsi="宋体" w:cs="仿宋_GB2312"/>
                <w:color w:val="000000"/>
                <w:sz w:val="28"/>
                <w:szCs w:val="28"/>
              </w:rPr>
            </w:pPr>
          </w:p>
        </w:tc>
        <w:tc>
          <w:tcPr>
            <w:tcW w:w="1894" w:type="dxa"/>
            <w:vMerge w:val="continue"/>
            <w:tcBorders>
              <w:tl2br w:val="nil"/>
              <w:tr2bl w:val="nil"/>
            </w:tcBorders>
            <w:vAlign w:val="center"/>
          </w:tcPr>
          <w:p>
            <w:pPr>
              <w:autoSpaceDN w:val="0"/>
              <w:snapToGrid w:val="0"/>
              <w:textAlignment w:val="center"/>
              <w:rPr>
                <w:rFonts w:ascii="宋体" w:hAnsi="宋体" w:cs="仿宋_GB2312"/>
                <w:color w:val="000000"/>
                <w:sz w:val="28"/>
                <w:szCs w:val="28"/>
              </w:rPr>
            </w:pPr>
          </w:p>
        </w:tc>
      </w:tr>
    </w:tbl>
    <w:p>
      <w:pPr>
        <w:shd w:val="clear" w:color="auto" w:fill="FFFFFF"/>
        <w:autoSpaceDE w:val="0"/>
        <w:spacing w:before="120" w:after="120"/>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4"/>
        <w:spacing w:beforeLines="50" w:afterLines="50"/>
        <w:rPr>
          <w:rFonts w:ascii="宋体" w:hAnsi="宋体" w:eastAsia="宋体" w:cs="仿宋_GB2312"/>
          <w:b/>
          <w:bCs/>
          <w:sz w:val="32"/>
          <w:szCs w:val="32"/>
        </w:rPr>
      </w:pPr>
      <w:r>
        <w:rPr>
          <w:rFonts w:hint="eastAsia" w:ascii="宋体" w:hAnsi="宋体" w:eastAsia="宋体" w:cs="仿宋_GB2312"/>
          <w:b/>
          <w:bCs/>
          <w:sz w:val="32"/>
          <w:szCs w:val="32"/>
        </w:rPr>
        <w:t>1、合同包（一）</w:t>
      </w:r>
    </w:p>
    <w:tbl>
      <w:tblPr>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27"/>
        <w:gridCol w:w="231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27" w:type="dxa"/>
            <w:vAlign w:val="center"/>
          </w:tcPr>
          <w:p>
            <w:pPr>
              <w:jc w:val="center"/>
              <w:rPr>
                <w:rFonts w:ascii="宋体" w:hAnsi="宋体" w:cs="仿宋_GB2312"/>
                <w:b/>
                <w:bCs/>
                <w:sz w:val="28"/>
                <w:szCs w:val="28"/>
              </w:rPr>
            </w:pPr>
            <w:r>
              <w:rPr>
                <w:rFonts w:hint="eastAsia" w:ascii="宋体" w:hAnsi="宋体" w:cs="仿宋_GB2312"/>
                <w:b/>
                <w:bCs/>
                <w:sz w:val="28"/>
                <w:szCs w:val="28"/>
              </w:rPr>
              <w:t>序号</w:t>
            </w:r>
          </w:p>
        </w:tc>
        <w:tc>
          <w:tcPr>
            <w:tcW w:w="2310" w:type="dxa"/>
            <w:vAlign w:val="center"/>
          </w:tcPr>
          <w:p>
            <w:pPr>
              <w:jc w:val="center"/>
              <w:rPr>
                <w:rFonts w:ascii="宋体" w:hAnsi="宋体" w:cs="仿宋_GB2312"/>
                <w:b/>
                <w:bCs/>
                <w:sz w:val="28"/>
                <w:szCs w:val="28"/>
              </w:rPr>
            </w:pPr>
            <w:r>
              <w:rPr>
                <w:rFonts w:hint="eastAsia" w:ascii="宋体" w:hAnsi="宋体" w:cs="仿宋_GB2312"/>
                <w:b/>
                <w:bCs/>
                <w:sz w:val="28"/>
                <w:szCs w:val="28"/>
              </w:rPr>
              <w:t>项目</w:t>
            </w:r>
          </w:p>
        </w:tc>
        <w:tc>
          <w:tcPr>
            <w:tcW w:w="5983" w:type="dxa"/>
            <w:vAlign w:val="center"/>
          </w:tcPr>
          <w:p>
            <w:pPr>
              <w:jc w:val="center"/>
              <w:rPr>
                <w:rFonts w:ascii="宋体" w:hAnsi="宋体" w:cs="仿宋_GB2312"/>
                <w:b/>
                <w:bCs/>
                <w:sz w:val="28"/>
                <w:szCs w:val="28"/>
              </w:rPr>
            </w:pPr>
            <w:r>
              <w:rPr>
                <w:rFonts w:hint="eastAsia" w:ascii="宋体" w:hAnsi="宋体" w:cs="仿宋_GB2312"/>
                <w:b/>
                <w:bCs/>
                <w:sz w:val="28"/>
                <w:szCs w:val="28"/>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27" w:type="dxa"/>
            <w:vAlign w:val="center"/>
          </w:tcPr>
          <w:p>
            <w:pPr>
              <w:numPr>
                <w:ilvl w:val="0"/>
                <w:numId w:val="1"/>
              </w:numPr>
              <w:jc w:val="center"/>
              <w:rPr>
                <w:rFonts w:ascii="宋体" w:hAnsi="宋体" w:cs="仿宋_GB2312"/>
                <w:sz w:val="28"/>
                <w:szCs w:val="28"/>
              </w:rPr>
            </w:pPr>
          </w:p>
        </w:tc>
        <w:tc>
          <w:tcPr>
            <w:tcW w:w="2310" w:type="dxa"/>
            <w:vAlign w:val="center"/>
          </w:tcPr>
          <w:p>
            <w:pPr>
              <w:snapToGrid w:val="0"/>
              <w:spacing w:line="360" w:lineRule="auto"/>
              <w:rPr>
                <w:rFonts w:ascii="仿宋_GB2312" w:hAnsi="仿宋_GB2312" w:eastAsia="仿宋_GB2312" w:cs="仿宋_GB2312"/>
                <w:sz w:val="28"/>
                <w:szCs w:val="28"/>
              </w:rPr>
            </w:pPr>
            <w:r>
              <w:rPr>
                <w:rFonts w:hint="eastAsia" w:ascii="宋体" w:hAnsi="宋体" w:cs="仿宋_GB2312"/>
                <w:color w:val="000000"/>
                <w:kern w:val="0"/>
                <w:sz w:val="28"/>
                <w:szCs w:val="28"/>
              </w:rPr>
              <w:t>信息安全等级保护测评服务</w:t>
            </w:r>
          </w:p>
        </w:tc>
        <w:tc>
          <w:tcPr>
            <w:tcW w:w="5983" w:type="dxa"/>
            <w:vAlign w:val="center"/>
          </w:tcPr>
          <w:p>
            <w:pPr>
              <w:snapToGrid w:val="0"/>
              <w:spacing w:line="360" w:lineRule="auto"/>
              <w:rPr>
                <w:rFonts w:ascii="宋体" w:hAnsi="宋体" w:cs="宋体"/>
                <w:kern w:val="0"/>
                <w:sz w:val="24"/>
              </w:rPr>
            </w:pPr>
            <w:r>
              <w:rPr>
                <w:rFonts w:hint="eastAsia" w:ascii="宋体" w:hAnsi="宋体" w:cs="宋体"/>
                <w:kern w:val="0"/>
                <w:sz w:val="24"/>
              </w:rPr>
              <w:t>依照GB/T22239-2019《信息安全技术信息安全等级保护基本要求》和《行业信息系统安全等级保护基本要求》，由</w:t>
            </w:r>
            <w:r>
              <w:rPr>
                <w:rFonts w:hint="eastAsia" w:ascii="宋体" w:hAnsi="宋体" w:cs="宋体"/>
                <w:color w:val="000000"/>
                <w:kern w:val="0"/>
                <w:sz w:val="24"/>
                <w:shd w:val="clear" w:color="auto" w:fill="FFFFFF"/>
              </w:rPr>
              <w:t>中标人邀请具有</w:t>
            </w:r>
            <w:r>
              <w:rPr>
                <w:rFonts w:hint="eastAsia" w:ascii="宋体" w:hAnsi="宋体" w:cs="宋体"/>
                <w:color w:val="000000"/>
                <w:kern w:val="0"/>
                <w:sz w:val="24"/>
              </w:rPr>
              <w:t>资质的等保测评机构</w:t>
            </w:r>
            <w:r>
              <w:rPr>
                <w:rFonts w:hint="eastAsia" w:ascii="宋体" w:hAnsi="宋体" w:cs="宋体"/>
                <w:kern w:val="0"/>
                <w:sz w:val="24"/>
              </w:rPr>
              <w:t>对福建省肿瘤医院</w:t>
            </w:r>
            <w:r>
              <w:rPr>
                <w:rFonts w:hint="eastAsia" w:ascii="宋体" w:hAnsi="宋体" w:cs="宋体"/>
                <w:color w:val="000000"/>
                <w:kern w:val="0"/>
                <w:sz w:val="24"/>
              </w:rPr>
              <w:t>被测系统</w:t>
            </w:r>
            <w:r>
              <w:rPr>
                <w:rFonts w:hint="eastAsia" w:ascii="宋体" w:hAnsi="宋体" w:cs="宋体"/>
                <w:color w:val="FF0000"/>
                <w:kern w:val="0"/>
                <w:sz w:val="24"/>
              </w:rPr>
              <w:t>（HIS、LIS、PACS、EMR、O</w:t>
            </w:r>
            <w:r>
              <w:rPr>
                <w:rFonts w:ascii="宋体" w:hAnsi="宋体" w:cs="宋体"/>
                <w:color w:val="FF0000"/>
                <w:kern w:val="0"/>
                <w:sz w:val="24"/>
              </w:rPr>
              <w:t>A</w:t>
            </w:r>
            <w:r>
              <w:rPr>
                <w:rFonts w:hint="eastAsia" w:ascii="宋体" w:hAnsi="宋体" w:cs="宋体"/>
                <w:color w:val="FF0000"/>
                <w:kern w:val="0"/>
                <w:sz w:val="24"/>
              </w:rPr>
              <w:t>系统、移动A</w:t>
            </w:r>
            <w:r>
              <w:rPr>
                <w:rFonts w:ascii="宋体" w:hAnsi="宋体" w:cs="宋体"/>
                <w:color w:val="FF0000"/>
                <w:kern w:val="0"/>
                <w:sz w:val="24"/>
              </w:rPr>
              <w:t>PP</w:t>
            </w:r>
            <w:r>
              <w:rPr>
                <w:rFonts w:hint="eastAsia" w:ascii="宋体" w:hAnsi="宋体" w:cs="宋体"/>
                <w:color w:val="FF0000"/>
                <w:kern w:val="0"/>
                <w:sz w:val="24"/>
              </w:rPr>
              <w:t>、门户网站、互联网医疗及处方流转服务平台（含慢病管理）、</w:t>
            </w:r>
            <w:r>
              <w:rPr>
                <w:rFonts w:hint="eastAsia" w:ascii="宋体" w:hAnsi="宋体" w:cs="宋体"/>
                <w:color w:val="FF0000"/>
                <w:kern w:val="0"/>
                <w:sz w:val="24"/>
                <w:lang w:eastAsia="zh-CN"/>
              </w:rPr>
              <w:t>肿瘤直报平台</w:t>
            </w:r>
            <w:r>
              <w:rPr>
                <w:rFonts w:hint="eastAsia" w:ascii="宋体" w:hAnsi="宋体" w:cs="宋体"/>
                <w:color w:val="FF0000"/>
                <w:kern w:val="0"/>
                <w:sz w:val="24"/>
              </w:rPr>
              <w:t>）</w:t>
            </w:r>
            <w:r>
              <w:rPr>
                <w:rFonts w:hint="eastAsia" w:ascii="宋体" w:hAnsi="宋体" w:cs="宋体"/>
                <w:color w:val="000000"/>
                <w:kern w:val="0"/>
                <w:sz w:val="24"/>
              </w:rPr>
              <w:t>进行三级等级保护测评。</w:t>
            </w:r>
            <w:r>
              <w:rPr>
                <w:rFonts w:hint="eastAsia" w:ascii="宋体" w:hAnsi="宋体" w:cs="宋体"/>
                <w:kern w:val="0"/>
                <w:sz w:val="24"/>
              </w:rPr>
              <w:t>服务期限自合同签订起1年，或测评完成，以先到为止。</w:t>
            </w:r>
          </w:p>
          <w:p>
            <w:pPr>
              <w:snapToGrid w:val="0"/>
              <w:spacing w:line="360" w:lineRule="auto"/>
              <w:rPr>
                <w:rFonts w:ascii="宋体" w:hAnsi="宋体" w:cs="宋体"/>
                <w:kern w:val="0"/>
                <w:sz w:val="24"/>
              </w:rPr>
            </w:pPr>
            <w:r>
              <w:rPr>
                <w:rFonts w:hint="eastAsia" w:ascii="宋体" w:hAnsi="宋体" w:cs="宋体"/>
                <w:kern w:val="0"/>
                <w:sz w:val="24"/>
              </w:rPr>
              <w:t>等级测评将覆盖安全物理环境、安全通信网络、安全区域边界、安全计算环境、安全管理中心、安全管理制度等方面的内容，内容包括但不限于以下内容：</w:t>
            </w:r>
          </w:p>
          <w:p>
            <w:pPr>
              <w:snapToGrid w:val="0"/>
              <w:spacing w:line="360" w:lineRule="auto"/>
              <w:rPr>
                <w:rFonts w:ascii="宋体" w:hAnsi="宋体" w:cs="宋体"/>
                <w:kern w:val="0"/>
                <w:sz w:val="24"/>
              </w:rPr>
            </w:pPr>
            <w:r>
              <w:rPr>
                <w:rFonts w:hint="eastAsia" w:ascii="宋体" w:hAnsi="宋体" w:cs="宋体"/>
                <w:kern w:val="0"/>
                <w:sz w:val="24"/>
              </w:rPr>
              <w:t>1.1总体要求测评：包括总体技术要求、总体管理要求；</w:t>
            </w:r>
          </w:p>
          <w:p>
            <w:pPr>
              <w:snapToGrid w:val="0"/>
              <w:spacing w:line="360" w:lineRule="auto"/>
              <w:rPr>
                <w:rFonts w:ascii="宋体" w:hAnsi="宋体" w:cs="宋体"/>
                <w:kern w:val="0"/>
                <w:sz w:val="24"/>
              </w:rPr>
            </w:pPr>
            <w:r>
              <w:rPr>
                <w:rFonts w:hint="eastAsia" w:ascii="宋体" w:hAnsi="宋体" w:cs="宋体"/>
                <w:kern w:val="0"/>
                <w:sz w:val="24"/>
              </w:rPr>
              <w:t>1.2安全技术测评：安全物理环境、安全通信网络、安全区域边界、安全计算环境、安全管理中心等五个方面的安全测评；</w:t>
            </w:r>
          </w:p>
          <w:p>
            <w:pPr>
              <w:snapToGrid w:val="0"/>
              <w:spacing w:line="360" w:lineRule="auto"/>
              <w:rPr>
                <w:rFonts w:ascii="宋体" w:hAnsi="宋体" w:cs="宋体"/>
                <w:kern w:val="0"/>
                <w:sz w:val="24"/>
              </w:rPr>
            </w:pPr>
            <w:r>
              <w:rPr>
                <w:rFonts w:hint="eastAsia" w:ascii="宋体" w:hAnsi="宋体" w:cs="宋体"/>
                <w:kern w:val="0"/>
                <w:sz w:val="24"/>
              </w:rPr>
              <w:t>1.3安全管理测评：安全管理制度、安全管理机构、安全管理人员、安全建设管理和安全运维管理等五个方面的安全控制测评；</w:t>
            </w:r>
          </w:p>
          <w:p>
            <w:pPr>
              <w:snapToGrid w:val="0"/>
              <w:spacing w:line="360" w:lineRule="auto"/>
              <w:rPr>
                <w:rFonts w:ascii="宋体" w:hAnsi="宋体" w:cs="宋体"/>
                <w:kern w:val="0"/>
                <w:sz w:val="24"/>
              </w:rPr>
            </w:pPr>
            <w:r>
              <w:rPr>
                <w:rFonts w:hint="eastAsia" w:ascii="宋体" w:hAnsi="宋体" w:cs="宋体"/>
                <w:kern w:val="0"/>
                <w:sz w:val="24"/>
              </w:rPr>
              <w:t>1.4最终版报告需加盖有网络安全等级保护工作协调小组办公室颁发的《网络安全等级保护测评机构推荐证书》资质公司的印章及等级保护专用章。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42" w:hRule="atLeast"/>
        </w:trPr>
        <w:tc>
          <w:tcPr>
            <w:tcW w:w="1127" w:type="dxa"/>
            <w:vAlign w:val="center"/>
          </w:tcPr>
          <w:p>
            <w:pPr>
              <w:numPr>
                <w:ilvl w:val="0"/>
                <w:numId w:val="1"/>
              </w:numPr>
              <w:jc w:val="center"/>
              <w:rPr>
                <w:rFonts w:ascii="宋体" w:hAnsi="宋体" w:cs="仿宋_GB2312"/>
                <w:sz w:val="28"/>
                <w:szCs w:val="28"/>
              </w:rPr>
            </w:pPr>
          </w:p>
        </w:tc>
        <w:tc>
          <w:tcPr>
            <w:tcW w:w="2310" w:type="dxa"/>
            <w:vAlign w:val="center"/>
          </w:tcPr>
          <w:p>
            <w:pPr>
              <w:snapToGrid w:val="0"/>
              <w:spacing w:line="360" w:lineRule="auto"/>
              <w:rPr>
                <w:rFonts w:ascii="仿宋_GB2312" w:hAnsi="仿宋_GB2312" w:eastAsia="仿宋_GB2312" w:cs="仿宋_GB2312"/>
                <w:sz w:val="28"/>
                <w:szCs w:val="28"/>
              </w:rPr>
            </w:pPr>
            <w:r>
              <w:rPr>
                <w:rFonts w:hint="eastAsia" w:ascii="宋体" w:hAnsi="宋体" w:cs="仿宋_GB2312"/>
                <w:color w:val="000000"/>
                <w:kern w:val="0"/>
                <w:sz w:val="28"/>
                <w:szCs w:val="28"/>
              </w:rPr>
              <w:t>等保咨询及安全运维服务</w:t>
            </w:r>
          </w:p>
        </w:tc>
        <w:tc>
          <w:tcPr>
            <w:tcW w:w="5983" w:type="dxa"/>
            <w:vAlign w:val="center"/>
          </w:tcPr>
          <w:p>
            <w:pPr>
              <w:snapToGrid w:val="0"/>
              <w:spacing w:line="360" w:lineRule="auto"/>
              <w:rPr>
                <w:rFonts w:ascii="宋体" w:hAnsi="宋体" w:cs="宋体"/>
                <w:b/>
                <w:bCs/>
                <w:kern w:val="0"/>
                <w:sz w:val="24"/>
              </w:rPr>
            </w:pPr>
            <w:r>
              <w:rPr>
                <w:rFonts w:hint="eastAsia" w:ascii="宋体" w:hAnsi="宋体" w:cs="宋体"/>
                <w:b/>
                <w:bCs/>
                <w:kern w:val="0"/>
                <w:sz w:val="24"/>
              </w:rPr>
              <w:t>2.1</w:t>
            </w:r>
            <w:r>
              <w:rPr>
                <w:rFonts w:hint="eastAsia" w:ascii="宋体" w:hAnsi="宋体" w:cs="宋体"/>
                <w:b/>
                <w:bCs/>
                <w:kern w:val="0"/>
                <w:sz w:val="24"/>
              </w:rPr>
              <w:tab/>
            </w:r>
            <w:r>
              <w:rPr>
                <w:rFonts w:hint="eastAsia" w:ascii="宋体" w:hAnsi="宋体" w:cs="宋体"/>
                <w:b/>
                <w:bCs/>
                <w:kern w:val="0"/>
                <w:sz w:val="24"/>
              </w:rPr>
              <w:t>等保咨询服务</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对福建省肿瘤医院重要信息系统</w:t>
            </w:r>
            <w:r>
              <w:rPr>
                <w:rFonts w:hint="eastAsia" w:ascii="宋体" w:hAnsi="宋体" w:eastAsia="宋体" w:cs="宋体"/>
                <w:color w:val="FF0000"/>
                <w:kern w:val="0"/>
                <w:szCs w:val="24"/>
              </w:rPr>
              <w:t>（HIS、LIS、PACS、EMR、OA系统、移动APP、门户网站、互联网医疗及处方流转服务平台（含慢病管理）、</w:t>
            </w:r>
            <w:r>
              <w:rPr>
                <w:rFonts w:hint="eastAsia" w:ascii="宋体" w:hAnsi="宋体" w:eastAsia="宋体" w:cs="宋体"/>
                <w:color w:val="FF0000"/>
                <w:kern w:val="0"/>
                <w:szCs w:val="24"/>
                <w:lang w:eastAsia="zh-CN"/>
              </w:rPr>
              <w:t>肿瘤直报平台</w:t>
            </w:r>
            <w:r>
              <w:rPr>
                <w:rFonts w:hint="eastAsia" w:ascii="宋体" w:hAnsi="宋体" w:eastAsia="宋体" w:cs="宋体"/>
                <w:color w:val="FF0000"/>
                <w:kern w:val="0"/>
                <w:szCs w:val="24"/>
              </w:rPr>
              <w:t>、集成平台）</w:t>
            </w:r>
            <w:r>
              <w:rPr>
                <w:rFonts w:hint="eastAsia" w:ascii="宋体" w:hAnsi="宋体" w:eastAsia="宋体" w:cs="宋体"/>
                <w:kern w:val="0"/>
                <w:szCs w:val="24"/>
              </w:rPr>
              <w:t>按照GB/T22239-2019《信息安全技术信息安全等级保护基本要求》和《行业信息系统安全等级保护基本要求》要求服务，包括资产分析服务、风险分析服务、差距评估、安全加固服务、等保制度建设服务、定级备案协助服务、辅助测评一站式服务。服务期限自合同签订起1年，或测评完成，以先到为止。</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服务交付成果包括：《信息系统基本情况调查表》、《等级保护安全评估与整改建议》、《等级保护安全管理制度汇编》等。</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为保障安全服务项目顺利实施，供应商或所投服务提供商采用的等保服务工具支持同时对1000个以上IP进行归属地查询，支持批量对输入的信息按照标准化格式自动调整，提取需要的关键信息，删除冗余信息；支持对反动、赌博、色情等内容进行检查；检查的目标文件类型不限，可同时支持PHP、ASP、JSP、ASPX、JSPX等脚本类型；支持对各类威胁进行自动评分，并按照危险值从高到低进行排序；支持导出检测结果，支持对可疑文件进行批量复制或批量删除。</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为防止虚假应标，采购人有权要求中标的报价人在中标后进行服务工具的功能现场演示，且提供服务工具的著作权证书，若中标人无法满足要求，则采购单位有权取消中标人的中选资格。</w:t>
            </w:r>
          </w:p>
          <w:p>
            <w:pPr>
              <w:pStyle w:val="14"/>
              <w:snapToGrid w:val="0"/>
              <w:spacing w:line="360" w:lineRule="auto"/>
              <w:rPr>
                <w:rFonts w:ascii="宋体" w:hAnsi="宋体" w:eastAsia="宋体" w:cs="宋体"/>
                <w:b/>
                <w:bCs/>
                <w:kern w:val="0"/>
                <w:szCs w:val="24"/>
              </w:rPr>
            </w:pPr>
            <w:r>
              <w:rPr>
                <w:rFonts w:hint="eastAsia" w:ascii="宋体" w:hAnsi="宋体" w:eastAsia="宋体" w:cs="宋体"/>
                <w:b/>
                <w:bCs/>
                <w:kern w:val="0"/>
                <w:szCs w:val="24"/>
              </w:rPr>
              <w:t>2</w:t>
            </w:r>
            <w:r>
              <w:rPr>
                <w:rFonts w:ascii="宋体" w:hAnsi="宋体" w:eastAsia="宋体" w:cs="宋体"/>
                <w:b/>
                <w:bCs/>
                <w:kern w:val="0"/>
                <w:szCs w:val="24"/>
              </w:rPr>
              <w:t xml:space="preserve">.2 </w:t>
            </w:r>
            <w:r>
              <w:rPr>
                <w:rFonts w:hint="eastAsia" w:ascii="宋体" w:hAnsi="宋体" w:eastAsia="宋体" w:cs="宋体"/>
                <w:b/>
                <w:bCs/>
                <w:kern w:val="0"/>
                <w:szCs w:val="24"/>
              </w:rPr>
              <w:t>安全运维服务</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对福建省肿瘤医院重要信息系统（HIS、LIS、PACS、EMR、OA系统、移动APP、门户网站、互联网医疗及处方流转服务平台（含慢病管理）、</w:t>
            </w:r>
            <w:r>
              <w:rPr>
                <w:rFonts w:hint="eastAsia" w:ascii="宋体" w:hAnsi="宋体" w:eastAsia="宋体" w:cs="宋体"/>
                <w:kern w:val="0"/>
                <w:szCs w:val="24"/>
                <w:lang w:eastAsia="zh-CN"/>
              </w:rPr>
              <w:t>肿瘤直报平台</w:t>
            </w:r>
            <w:r>
              <w:rPr>
                <w:rFonts w:hint="eastAsia" w:ascii="宋体" w:hAnsi="宋体" w:eastAsia="宋体" w:cs="宋体"/>
                <w:kern w:val="0"/>
                <w:szCs w:val="24"/>
              </w:rPr>
              <w:t>、集成平台）提供信息安全运维服务，包括安全评估、渗透测试、应用安全检测、网站安全监控、安全加固、安全培训、威胁情报更新、应急响应等一站式服务，服务期限自合同签订起1年。</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服务内容包括：</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（1）安全评估服务</w:t>
            </w:r>
            <w:r>
              <w:rPr>
                <w:rFonts w:ascii="宋体" w:hAnsi="宋体" w:eastAsia="宋体" w:cs="宋体"/>
                <w:kern w:val="0"/>
                <w:szCs w:val="24"/>
              </w:rPr>
              <w:t>(4</w:t>
            </w:r>
            <w:r>
              <w:rPr>
                <w:rFonts w:hint="eastAsia" w:ascii="宋体" w:hAnsi="宋体" w:eastAsia="宋体" w:cs="宋体"/>
                <w:kern w:val="0"/>
                <w:szCs w:val="24"/>
              </w:rPr>
              <w:t>次/年)</w:t>
            </w:r>
            <w:r>
              <w:rPr>
                <w:rFonts w:ascii="宋体" w:hAnsi="宋体" w:eastAsia="宋体" w:cs="宋体"/>
                <w:kern w:val="0"/>
                <w:szCs w:val="24"/>
              </w:rPr>
              <w:t>:</w:t>
            </w:r>
            <w:r>
              <w:rPr>
                <w:rFonts w:hint="eastAsia"/>
              </w:rPr>
              <w:t xml:space="preserve"> </w:t>
            </w:r>
            <w:r>
              <w:rPr>
                <w:rFonts w:hint="eastAsia" w:ascii="宋体" w:hAnsi="宋体" w:eastAsia="宋体" w:cs="宋体"/>
                <w:kern w:val="0"/>
                <w:szCs w:val="24"/>
              </w:rPr>
              <w:t>通过安全评估来识别的安全现状，全面了解和掌握系统面临的安全威胁和风险，为安全需求和解决方案的提出提供原始依据，为信息系统的使用、管理部门开展信息安全等级保护提供依据，为确立安全策略、制定安全规划、开展安全建设提供决策支持，保障信息系统安全运行。交付成果：《安全评估报告》</w:t>
            </w:r>
            <w:r>
              <w:rPr>
                <w:rFonts w:ascii="宋体" w:hAnsi="宋体" w:eastAsia="宋体" w:cs="宋体"/>
                <w:kern w:val="0"/>
                <w:szCs w:val="24"/>
              </w:rPr>
              <w:t>4</w:t>
            </w:r>
            <w:r>
              <w:rPr>
                <w:rFonts w:hint="eastAsia" w:ascii="宋体" w:hAnsi="宋体" w:eastAsia="宋体" w:cs="宋体"/>
                <w:kern w:val="0"/>
                <w:szCs w:val="24"/>
              </w:rPr>
              <w:t>份</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w:t>
            </w:r>
            <w:r>
              <w:rPr>
                <w:rFonts w:ascii="宋体" w:hAnsi="宋体" w:eastAsia="宋体" w:cs="宋体"/>
                <w:kern w:val="0"/>
                <w:szCs w:val="24"/>
              </w:rPr>
              <w:t>2</w:t>
            </w:r>
            <w:r>
              <w:rPr>
                <w:rFonts w:hint="eastAsia" w:ascii="宋体" w:hAnsi="宋体" w:eastAsia="宋体" w:cs="宋体"/>
                <w:kern w:val="0"/>
                <w:szCs w:val="24"/>
              </w:rPr>
              <w:t>）渗透测试服务</w:t>
            </w:r>
            <w:r>
              <w:rPr>
                <w:rFonts w:ascii="宋体" w:hAnsi="宋体" w:eastAsia="宋体" w:cs="宋体"/>
                <w:kern w:val="0"/>
                <w:szCs w:val="24"/>
              </w:rPr>
              <w:t>(</w:t>
            </w:r>
            <w:r>
              <w:rPr>
                <w:rFonts w:hint="eastAsia" w:ascii="宋体" w:hAnsi="宋体" w:eastAsia="宋体" w:cs="宋体"/>
                <w:kern w:val="0"/>
                <w:szCs w:val="24"/>
              </w:rPr>
              <w:t>1次/年)</w:t>
            </w:r>
            <w:r>
              <w:rPr>
                <w:rFonts w:ascii="宋体" w:hAnsi="宋体" w:eastAsia="宋体" w:cs="宋体"/>
                <w:kern w:val="0"/>
                <w:szCs w:val="24"/>
              </w:rPr>
              <w:t>:</w:t>
            </w:r>
            <w:r>
              <w:rPr>
                <w:rFonts w:hint="eastAsia" w:ascii="宋体" w:hAnsi="宋体" w:eastAsia="宋体" w:cs="宋体"/>
                <w:kern w:val="0"/>
                <w:szCs w:val="24"/>
              </w:rPr>
              <w:t>安排安全攻防专家人员针对目标系统开展黑客模拟攻击渗透测试服务，全面检测被测系统安全性;交付成果：《渗透测试报告》1份</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w:t>
            </w:r>
            <w:r>
              <w:rPr>
                <w:rFonts w:ascii="宋体" w:hAnsi="宋体" w:eastAsia="宋体" w:cs="宋体"/>
                <w:kern w:val="0"/>
                <w:szCs w:val="24"/>
              </w:rPr>
              <w:t>3</w:t>
            </w:r>
            <w:r>
              <w:rPr>
                <w:rFonts w:hint="eastAsia" w:ascii="宋体" w:hAnsi="宋体" w:eastAsia="宋体" w:cs="宋体"/>
                <w:kern w:val="0"/>
                <w:szCs w:val="24"/>
              </w:rPr>
              <w:t>）应用安全检测服务</w:t>
            </w:r>
            <w:r>
              <w:rPr>
                <w:rFonts w:ascii="宋体" w:hAnsi="宋体" w:eastAsia="宋体" w:cs="宋体"/>
                <w:kern w:val="0"/>
                <w:szCs w:val="24"/>
              </w:rPr>
              <w:t>(4</w:t>
            </w:r>
            <w:r>
              <w:rPr>
                <w:rFonts w:hint="eastAsia" w:ascii="宋体" w:hAnsi="宋体" w:eastAsia="宋体" w:cs="宋体"/>
                <w:kern w:val="0"/>
                <w:szCs w:val="24"/>
              </w:rPr>
              <w:t xml:space="preserve">次/年)：采用自动化检测工具与平台进行全面检测Web应用程序的安全性，安排专业攻防人员深度挖掘程序中存在的各种漏洞和所面临的威胁，从而帮忙客户全面了解和掌控其网站的安全状况。并针对已发现的安全问题进行人工验证，以判断网站当前的漏洞是否真实有利用，剔除误报干扰，提供专业的安全加固措施指导建议。交付成果：《应用安全检测报告》 </w:t>
            </w:r>
            <w:r>
              <w:rPr>
                <w:rFonts w:ascii="宋体" w:hAnsi="宋体" w:eastAsia="宋体" w:cs="宋体"/>
                <w:kern w:val="0"/>
                <w:szCs w:val="24"/>
              </w:rPr>
              <w:t>4</w:t>
            </w:r>
            <w:r>
              <w:rPr>
                <w:rFonts w:hint="eastAsia" w:ascii="宋体" w:hAnsi="宋体" w:eastAsia="宋体" w:cs="宋体"/>
                <w:kern w:val="0"/>
                <w:szCs w:val="24"/>
              </w:rPr>
              <w:t>份</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w:t>
            </w:r>
            <w:r>
              <w:rPr>
                <w:rFonts w:ascii="宋体" w:hAnsi="宋体" w:eastAsia="宋体" w:cs="宋体"/>
                <w:kern w:val="0"/>
                <w:szCs w:val="24"/>
              </w:rPr>
              <w:t>4</w:t>
            </w:r>
            <w:r>
              <w:rPr>
                <w:rFonts w:hint="eastAsia" w:ascii="宋体" w:hAnsi="宋体" w:eastAsia="宋体" w:cs="宋体"/>
                <w:kern w:val="0"/>
                <w:szCs w:val="24"/>
              </w:rPr>
              <w:t>）网站安全监控服务（全年）：1年365天通过专业的网站安全监控平台对网站提供网站可用性监控、域名劫持监控等，网站安全监控平台具备至少200多个分布式监测的能力，实现对网站稳定性和可用性分析，支持http（https）、ftp、ping、smtp等多种协议，覆盖中国移动、中国联通、中国电信、教育网等主流网络运营商线路，构建起强大的网站监测网络；提供网站高级安全监控，对网站进行周期性轮询监控，内容覆盖网页敏感词内容监控弱口令监控、挂马监控、暗链监控等；网站安全监控人工告警，配备7*24小时的值班，第一时间进行人工验证，并告警。交付成果：《网站安全监控报告》4份</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w:t>
            </w:r>
            <w:r>
              <w:rPr>
                <w:rFonts w:ascii="宋体" w:hAnsi="宋体" w:eastAsia="宋体" w:cs="宋体"/>
                <w:kern w:val="0"/>
                <w:szCs w:val="24"/>
              </w:rPr>
              <w:t>5</w:t>
            </w:r>
            <w:r>
              <w:rPr>
                <w:rFonts w:hint="eastAsia" w:ascii="宋体" w:hAnsi="宋体" w:eastAsia="宋体" w:cs="宋体"/>
                <w:kern w:val="0"/>
                <w:szCs w:val="24"/>
              </w:rPr>
              <w:t>）安全加固服务</w:t>
            </w:r>
            <w:r>
              <w:rPr>
                <w:rFonts w:ascii="宋体" w:hAnsi="宋体" w:eastAsia="宋体" w:cs="宋体"/>
                <w:kern w:val="0"/>
                <w:szCs w:val="24"/>
              </w:rPr>
              <w:t>(4</w:t>
            </w:r>
            <w:r>
              <w:rPr>
                <w:rFonts w:hint="eastAsia" w:ascii="宋体" w:hAnsi="宋体" w:eastAsia="宋体" w:cs="宋体"/>
                <w:kern w:val="0"/>
                <w:szCs w:val="24"/>
              </w:rPr>
              <w:t>次/年)：根据安全评估和测试服务的结果，提供应用安全加固辅导、操作系统安全策略加固、Web服务器（中间件）加固辅导、数据库安全加固辅导服务，提升系统整体安全性，并提交报告。交付成果：《安全加固报告》4份</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w:t>
            </w:r>
            <w:r>
              <w:rPr>
                <w:rFonts w:ascii="宋体" w:hAnsi="宋体" w:eastAsia="宋体" w:cs="宋体"/>
                <w:kern w:val="0"/>
                <w:szCs w:val="24"/>
              </w:rPr>
              <w:t>6</w:t>
            </w:r>
            <w:r>
              <w:rPr>
                <w:rFonts w:hint="eastAsia" w:ascii="宋体" w:hAnsi="宋体" w:eastAsia="宋体" w:cs="宋体"/>
                <w:kern w:val="0"/>
                <w:szCs w:val="24"/>
              </w:rPr>
              <w:t>）安全培训服务</w:t>
            </w:r>
            <w:r>
              <w:rPr>
                <w:rFonts w:ascii="宋体" w:hAnsi="宋体" w:eastAsia="宋体" w:cs="宋体"/>
                <w:kern w:val="0"/>
                <w:szCs w:val="24"/>
              </w:rPr>
              <w:t>(</w:t>
            </w:r>
            <w:r>
              <w:rPr>
                <w:rFonts w:hint="eastAsia" w:ascii="宋体" w:hAnsi="宋体" w:eastAsia="宋体" w:cs="宋体"/>
                <w:kern w:val="0"/>
                <w:szCs w:val="24"/>
              </w:rPr>
              <w:t>1次/年)：开展网络安全意识培训(一节课30-60分钟)，面向全院新员工讲座，培训内容包含不限于以下方面：安全标准、政策法规解读，信息安全意识、信息安全发展方向，周期性安全服务报告解读，可定制培训内容。交付成果：《安全培训P</w:t>
            </w:r>
            <w:r>
              <w:rPr>
                <w:rFonts w:ascii="宋体" w:hAnsi="宋体" w:eastAsia="宋体" w:cs="宋体"/>
                <w:kern w:val="0"/>
                <w:szCs w:val="24"/>
              </w:rPr>
              <w:t>PT</w:t>
            </w:r>
            <w:r>
              <w:rPr>
                <w:rFonts w:hint="eastAsia" w:ascii="宋体" w:hAnsi="宋体" w:eastAsia="宋体" w:cs="宋体"/>
                <w:kern w:val="0"/>
                <w:szCs w:val="24"/>
              </w:rPr>
              <w:t>》</w:t>
            </w:r>
            <w:r>
              <w:rPr>
                <w:rFonts w:ascii="宋体" w:hAnsi="宋体" w:eastAsia="宋体" w:cs="宋体"/>
                <w:kern w:val="0"/>
                <w:szCs w:val="24"/>
              </w:rPr>
              <w:t>1</w:t>
            </w:r>
            <w:r>
              <w:rPr>
                <w:rFonts w:hint="eastAsia" w:ascii="宋体" w:hAnsi="宋体" w:eastAsia="宋体" w:cs="宋体"/>
                <w:kern w:val="0"/>
                <w:szCs w:val="24"/>
              </w:rPr>
              <w:t>份</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w:t>
            </w:r>
            <w:r>
              <w:rPr>
                <w:rFonts w:ascii="宋体" w:hAnsi="宋体" w:eastAsia="宋体" w:cs="宋体"/>
                <w:kern w:val="0"/>
                <w:szCs w:val="24"/>
              </w:rPr>
              <w:t>7</w:t>
            </w:r>
            <w:r>
              <w:rPr>
                <w:rFonts w:hint="eastAsia" w:ascii="宋体" w:hAnsi="宋体" w:eastAsia="宋体" w:cs="宋体"/>
                <w:kern w:val="0"/>
                <w:szCs w:val="24"/>
              </w:rPr>
              <w:t>）威胁情报更新服务（</w:t>
            </w:r>
            <w:r>
              <w:rPr>
                <w:rFonts w:ascii="宋体" w:hAnsi="宋体" w:eastAsia="宋体" w:cs="宋体"/>
                <w:kern w:val="0"/>
                <w:szCs w:val="24"/>
              </w:rPr>
              <w:t>12</w:t>
            </w:r>
            <w:r>
              <w:rPr>
                <w:rFonts w:hint="eastAsia" w:ascii="宋体" w:hAnsi="宋体" w:eastAsia="宋体" w:cs="宋体"/>
                <w:kern w:val="0"/>
                <w:szCs w:val="24"/>
              </w:rPr>
              <w:t>次/年）：每月根据网络安全发展形势，定期更新本院内外网态势感知威胁情报库，并出具《态势感知威胁情报更新报告》。交付成果：《态势感知威胁情报更新报告》</w:t>
            </w:r>
            <w:r>
              <w:rPr>
                <w:rFonts w:ascii="宋体" w:hAnsi="宋体" w:eastAsia="宋体" w:cs="宋体"/>
                <w:kern w:val="0"/>
                <w:szCs w:val="24"/>
              </w:rPr>
              <w:t>12</w:t>
            </w:r>
            <w:r>
              <w:rPr>
                <w:rFonts w:hint="eastAsia" w:ascii="宋体" w:hAnsi="宋体" w:eastAsia="宋体" w:cs="宋体"/>
                <w:kern w:val="0"/>
                <w:szCs w:val="24"/>
              </w:rPr>
              <w:t>份</w:t>
            </w: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w:t>
            </w:r>
            <w:r>
              <w:rPr>
                <w:rFonts w:ascii="宋体" w:hAnsi="宋体" w:eastAsia="宋体" w:cs="宋体"/>
                <w:kern w:val="0"/>
                <w:szCs w:val="24"/>
              </w:rPr>
              <w:t>8</w:t>
            </w:r>
            <w:r>
              <w:rPr>
                <w:rFonts w:hint="eastAsia" w:ascii="宋体" w:hAnsi="宋体" w:eastAsia="宋体" w:cs="宋体"/>
                <w:kern w:val="0"/>
                <w:szCs w:val="24"/>
              </w:rPr>
              <w:t>）应急响应服务（按需提供）：当客户单位网络和信息系统遇到黑客攻击或网页篡改等恶性事件，提供5*8小时电话响应或即时通讯或邮件等方式解疑答惑；远程支持无法解决时，提供市区2小时内突发安全事件现场应急响应服务。交付成果：按需提供《应急响应报告》。</w:t>
            </w:r>
          </w:p>
          <w:p>
            <w:pPr>
              <w:pStyle w:val="14"/>
              <w:snapToGrid w:val="0"/>
              <w:spacing w:line="360" w:lineRule="auto"/>
              <w:rPr>
                <w:rFonts w:ascii="宋体" w:hAnsi="宋体" w:eastAsia="宋体" w:cs="宋体"/>
                <w:kern w:val="0"/>
                <w:szCs w:val="24"/>
              </w:rPr>
            </w:pPr>
          </w:p>
          <w:p>
            <w:pPr>
              <w:pStyle w:val="14"/>
              <w:snapToGrid w:val="0"/>
              <w:spacing w:line="360" w:lineRule="auto"/>
              <w:rPr>
                <w:rFonts w:ascii="宋体" w:hAnsi="宋体" w:eastAsia="宋体" w:cs="宋体"/>
                <w:kern w:val="0"/>
                <w:szCs w:val="24"/>
              </w:rPr>
            </w:pPr>
            <w:r>
              <w:rPr>
                <w:rFonts w:hint="eastAsia" w:ascii="宋体" w:hAnsi="宋体" w:eastAsia="宋体" w:cs="宋体"/>
                <w:kern w:val="0"/>
                <w:szCs w:val="24"/>
              </w:rPr>
              <w:t>为保障安全服务实施质量，供应商拟投入的项目团队需至少包含1名项目经理，同时具备IT服务项目经理认证、国家注册信息安全专业人员（CISP）证书、注册渗透测试工程师（CISP-PTE）证书、信息安全保障人员工程师CISAW证书（安全集成专业级或以上）、CCRC网络安全应急管理能力证书。为防止虚假投标，采购人有权要求中标的报价人在中标后三个工作日内提供项目经理相关证书复印件及供应商或所投服务提供商为其缴纳的投标截止前六个月（不含当月）任意一个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27" w:type="dxa"/>
            <w:vAlign w:val="center"/>
          </w:tcPr>
          <w:p>
            <w:pPr>
              <w:numPr>
                <w:ilvl w:val="0"/>
                <w:numId w:val="1"/>
              </w:numPr>
              <w:jc w:val="center"/>
              <w:rPr>
                <w:rFonts w:ascii="宋体" w:hAnsi="宋体" w:cs="仿宋_GB2312"/>
                <w:sz w:val="28"/>
                <w:szCs w:val="28"/>
              </w:rPr>
            </w:pPr>
          </w:p>
        </w:tc>
        <w:tc>
          <w:tcPr>
            <w:tcW w:w="2310" w:type="dxa"/>
            <w:vAlign w:val="center"/>
          </w:tcPr>
          <w:p>
            <w:pPr>
              <w:snapToGrid w:val="0"/>
              <w:rPr>
                <w:rFonts w:ascii="仿宋_GB2312" w:hAnsi="仿宋_GB2312" w:eastAsia="仿宋_GB2312" w:cs="仿宋_GB2312"/>
                <w:sz w:val="28"/>
                <w:szCs w:val="28"/>
              </w:rPr>
            </w:pPr>
            <w:r>
              <w:rPr>
                <w:rFonts w:hint="eastAsia" w:ascii="宋体" w:hAnsi="宋体" w:cs="仿宋_GB2312"/>
                <w:color w:val="000000"/>
                <w:kern w:val="0"/>
                <w:sz w:val="24"/>
              </w:rPr>
              <w:t>攻防演练安全保障服务</w:t>
            </w:r>
          </w:p>
        </w:tc>
        <w:tc>
          <w:tcPr>
            <w:tcW w:w="5983" w:type="dxa"/>
            <w:vAlign w:val="center"/>
          </w:tcPr>
          <w:p>
            <w:pPr>
              <w:snapToGrid w:val="0"/>
              <w:spacing w:line="360" w:lineRule="auto"/>
              <w:rPr>
                <w:rFonts w:ascii="宋体" w:hAnsi="宋体" w:cs="宋体"/>
                <w:kern w:val="0"/>
                <w:sz w:val="24"/>
              </w:rPr>
            </w:pPr>
            <w:r>
              <w:rPr>
                <w:rFonts w:hint="eastAsia" w:ascii="宋体" w:hAnsi="宋体" w:cs="宋体"/>
                <w:kern w:val="0"/>
                <w:sz w:val="24"/>
              </w:rPr>
              <w:t>为医院互联网业务系统提供1次攻防演练安全保障服务，服务内容满足以下要求：</w:t>
            </w:r>
          </w:p>
          <w:p>
            <w:pPr>
              <w:numPr>
                <w:ilvl w:val="1"/>
                <w:numId w:val="1"/>
              </w:numPr>
              <w:snapToGrid w:val="0"/>
              <w:spacing w:line="360" w:lineRule="auto"/>
              <w:rPr>
                <w:rFonts w:ascii="宋体" w:hAnsi="宋体" w:cs="宋体"/>
                <w:kern w:val="0"/>
                <w:sz w:val="24"/>
              </w:rPr>
            </w:pPr>
            <w:r>
              <w:rPr>
                <w:rFonts w:hint="eastAsia" w:ascii="宋体" w:hAnsi="宋体" w:cs="宋体"/>
                <w:kern w:val="0"/>
                <w:sz w:val="24"/>
              </w:rPr>
              <w:t>前期风险自查服务</w:t>
            </w:r>
          </w:p>
          <w:p>
            <w:pPr>
              <w:pStyle w:val="14"/>
              <w:spacing w:line="360" w:lineRule="auto"/>
              <w:rPr>
                <w:rFonts w:ascii="宋体" w:hAnsi="宋体" w:eastAsia="宋体" w:cs="宋体"/>
                <w:kern w:val="0"/>
                <w:szCs w:val="24"/>
              </w:rPr>
            </w:pPr>
            <w:r>
              <w:rPr>
                <w:rFonts w:hint="eastAsia" w:ascii="宋体" w:hAnsi="宋体" w:eastAsia="宋体" w:cs="宋体"/>
                <w:kern w:val="0"/>
                <w:szCs w:val="24"/>
              </w:rPr>
              <w:t>提供演练前期风险自查服务，服务内容包括但不限于：</w:t>
            </w:r>
          </w:p>
          <w:p>
            <w:pPr>
              <w:pStyle w:val="14"/>
              <w:spacing w:line="360" w:lineRule="auto"/>
              <w:rPr>
                <w:rFonts w:ascii="宋体" w:hAnsi="宋体" w:eastAsia="宋体" w:cs="宋体"/>
                <w:kern w:val="0"/>
                <w:szCs w:val="24"/>
              </w:rPr>
            </w:pPr>
            <w:r>
              <w:rPr>
                <w:rFonts w:hint="eastAsia" w:ascii="宋体" w:hAnsi="宋体" w:eastAsia="宋体" w:cs="宋体"/>
                <w:kern w:val="0"/>
                <w:szCs w:val="24"/>
              </w:rPr>
              <w:t>（1）资产识别：进行全网资产探测与梳理，识别暴露面、高风险端口等；</w:t>
            </w:r>
          </w:p>
          <w:p>
            <w:pPr>
              <w:pStyle w:val="14"/>
              <w:spacing w:line="360" w:lineRule="auto"/>
              <w:rPr>
                <w:rFonts w:ascii="宋体" w:hAnsi="宋体" w:eastAsia="宋体" w:cs="宋体"/>
                <w:kern w:val="0"/>
                <w:szCs w:val="24"/>
              </w:rPr>
            </w:pPr>
            <w:r>
              <w:rPr>
                <w:rFonts w:hint="eastAsia" w:ascii="宋体" w:hAnsi="宋体" w:eastAsia="宋体" w:cs="宋体"/>
                <w:kern w:val="0"/>
                <w:szCs w:val="24"/>
              </w:rPr>
              <w:t>（2）服务器入侵检查：包括网页木马查杀、系统后门检查、入侵痕迹检查、日志分析服务等；</w:t>
            </w:r>
          </w:p>
          <w:p>
            <w:pPr>
              <w:pStyle w:val="14"/>
              <w:spacing w:line="360" w:lineRule="auto"/>
              <w:rPr>
                <w:rFonts w:ascii="宋体" w:hAnsi="宋体" w:eastAsia="宋体" w:cs="宋体"/>
                <w:kern w:val="0"/>
                <w:szCs w:val="24"/>
              </w:rPr>
            </w:pPr>
            <w:r>
              <w:rPr>
                <w:rFonts w:hint="eastAsia" w:ascii="宋体" w:hAnsi="宋体" w:eastAsia="宋体" w:cs="宋体"/>
                <w:kern w:val="0"/>
                <w:szCs w:val="24"/>
              </w:rPr>
              <w:t>（3）漏洞扫描：针对网络设备、安全设备、主机系统、数据库系统、中间件等开展主机系统漏洞扫描、应用系统漏洞扫描等。</w:t>
            </w:r>
          </w:p>
          <w:p>
            <w:pPr>
              <w:pStyle w:val="14"/>
              <w:spacing w:line="360" w:lineRule="auto"/>
              <w:rPr>
                <w:rFonts w:ascii="宋体" w:hAnsi="宋体" w:eastAsia="宋体" w:cs="宋体"/>
                <w:kern w:val="0"/>
                <w:szCs w:val="24"/>
              </w:rPr>
            </w:pPr>
            <w:r>
              <w:rPr>
                <w:rFonts w:hint="eastAsia" w:ascii="宋体" w:hAnsi="宋体" w:eastAsia="宋体" w:cs="宋体"/>
                <w:kern w:val="0"/>
                <w:szCs w:val="24"/>
              </w:rPr>
              <w:t>服务交付：《安全风险自查报告》1份</w:t>
            </w:r>
          </w:p>
          <w:p>
            <w:pPr>
              <w:pStyle w:val="14"/>
              <w:spacing w:line="360" w:lineRule="auto"/>
              <w:rPr>
                <w:rFonts w:ascii="宋体" w:hAnsi="宋体" w:eastAsia="宋体" w:cs="宋体"/>
                <w:kern w:val="0"/>
                <w:szCs w:val="24"/>
              </w:rPr>
            </w:pPr>
            <w:r>
              <w:rPr>
                <w:rFonts w:ascii="宋体" w:hAnsi="宋体" w:eastAsia="宋体" w:cs="宋体"/>
                <w:kern w:val="0"/>
                <w:szCs w:val="24"/>
              </w:rPr>
              <w:t xml:space="preserve">3.2 </w:t>
            </w:r>
            <w:r>
              <w:rPr>
                <w:rFonts w:hint="eastAsia" w:ascii="宋体" w:hAnsi="宋体" w:eastAsia="宋体" w:cs="宋体"/>
                <w:kern w:val="0"/>
                <w:szCs w:val="24"/>
              </w:rPr>
              <w:t>前期整改加固服务</w:t>
            </w:r>
          </w:p>
          <w:p>
            <w:pPr>
              <w:pStyle w:val="14"/>
              <w:spacing w:line="360" w:lineRule="auto"/>
              <w:rPr>
                <w:rFonts w:ascii="宋体" w:hAnsi="宋体" w:eastAsia="宋体" w:cs="宋体"/>
                <w:kern w:val="0"/>
                <w:szCs w:val="24"/>
              </w:rPr>
            </w:pPr>
            <w:r>
              <w:rPr>
                <w:rFonts w:hint="eastAsia" w:ascii="宋体" w:hAnsi="宋体" w:eastAsia="宋体" w:cs="宋体"/>
                <w:kern w:val="0"/>
                <w:szCs w:val="24"/>
              </w:rPr>
              <w:t>提供演练前期整改加固服务，服务内容包括但不限于：</w:t>
            </w:r>
          </w:p>
          <w:p>
            <w:pPr>
              <w:pStyle w:val="14"/>
              <w:spacing w:line="360" w:lineRule="auto"/>
              <w:rPr>
                <w:rFonts w:ascii="宋体" w:hAnsi="宋体" w:eastAsia="宋体" w:cs="宋体"/>
                <w:kern w:val="0"/>
                <w:szCs w:val="24"/>
              </w:rPr>
            </w:pPr>
            <w:r>
              <w:rPr>
                <w:rFonts w:hint="eastAsia" w:ascii="宋体" w:hAnsi="宋体" w:eastAsia="宋体" w:cs="宋体"/>
                <w:kern w:val="0"/>
                <w:szCs w:val="24"/>
              </w:rPr>
              <w:t>（1）对安全检查发现的风险协助进行整体加固：如强口令、应用上传点的执行权限控制、协助进行主机与应用系统漏洞验证和整改等。</w:t>
            </w:r>
          </w:p>
          <w:p>
            <w:pPr>
              <w:pStyle w:val="14"/>
              <w:spacing w:line="360" w:lineRule="auto"/>
              <w:rPr>
                <w:rFonts w:ascii="宋体" w:hAnsi="宋体" w:eastAsia="宋体" w:cs="宋体"/>
                <w:kern w:val="0"/>
                <w:szCs w:val="24"/>
              </w:rPr>
            </w:pPr>
            <w:r>
              <w:rPr>
                <w:rFonts w:hint="eastAsia" w:ascii="宋体" w:hAnsi="宋体" w:eastAsia="宋体" w:cs="宋体"/>
                <w:kern w:val="0"/>
                <w:szCs w:val="24"/>
              </w:rPr>
              <w:t>（2）对资产识别发现的风险协助进行整改加固；</w:t>
            </w:r>
          </w:p>
          <w:p>
            <w:pPr>
              <w:pStyle w:val="14"/>
              <w:spacing w:line="360" w:lineRule="auto"/>
              <w:rPr>
                <w:rFonts w:ascii="宋体" w:hAnsi="宋体" w:eastAsia="宋体" w:cs="宋体"/>
                <w:kern w:val="0"/>
                <w:szCs w:val="24"/>
              </w:rPr>
            </w:pPr>
            <w:r>
              <w:rPr>
                <w:rFonts w:hint="eastAsia" w:ascii="宋体" w:hAnsi="宋体" w:eastAsia="宋体" w:cs="宋体"/>
                <w:kern w:val="0"/>
                <w:szCs w:val="24"/>
              </w:rPr>
              <w:t>（3）对服务器入侵清查发现的风险问题协助进行整改加固或加固辅助工作；</w:t>
            </w:r>
          </w:p>
          <w:p>
            <w:pPr>
              <w:pStyle w:val="14"/>
              <w:spacing w:line="360" w:lineRule="auto"/>
              <w:rPr>
                <w:rFonts w:ascii="宋体" w:hAnsi="宋体" w:eastAsia="宋体" w:cs="宋体"/>
                <w:kern w:val="0"/>
                <w:szCs w:val="24"/>
              </w:rPr>
            </w:pPr>
            <w:r>
              <w:rPr>
                <w:rFonts w:hint="eastAsia" w:ascii="宋体" w:hAnsi="宋体" w:eastAsia="宋体" w:cs="宋体"/>
                <w:kern w:val="0"/>
                <w:szCs w:val="24"/>
              </w:rPr>
              <w:t>（4）对漏洞扫描发现的风险协助进行整改加固或加固辅助工作；</w:t>
            </w:r>
          </w:p>
          <w:p>
            <w:pPr>
              <w:pStyle w:val="14"/>
              <w:spacing w:line="360" w:lineRule="auto"/>
              <w:rPr>
                <w:rFonts w:ascii="宋体" w:hAnsi="宋体" w:eastAsia="宋体" w:cs="宋体"/>
                <w:kern w:val="0"/>
                <w:szCs w:val="24"/>
              </w:rPr>
            </w:pPr>
            <w:r>
              <w:rPr>
                <w:rFonts w:hint="eastAsia" w:ascii="宋体" w:hAnsi="宋体" w:eastAsia="宋体" w:cs="宋体"/>
                <w:kern w:val="0"/>
                <w:szCs w:val="24"/>
              </w:rPr>
              <w:t>（5）对风险自查以及安全基线检测发现的风险问题进行整改加固或加固辅助工作；</w:t>
            </w:r>
          </w:p>
          <w:p>
            <w:pPr>
              <w:pStyle w:val="14"/>
              <w:spacing w:line="360" w:lineRule="auto"/>
              <w:rPr>
                <w:rFonts w:ascii="宋体" w:hAnsi="宋体" w:eastAsia="宋体" w:cs="宋体"/>
                <w:kern w:val="0"/>
                <w:szCs w:val="24"/>
              </w:rPr>
            </w:pPr>
            <w:r>
              <w:rPr>
                <w:rFonts w:hint="eastAsia" w:ascii="宋体" w:hAnsi="宋体" w:eastAsia="宋体" w:cs="宋体"/>
                <w:kern w:val="0"/>
                <w:szCs w:val="24"/>
              </w:rPr>
              <w:t>（6）跟进遗留的漏洞风险，督促整改提供加固辅助工作。</w:t>
            </w:r>
          </w:p>
          <w:p>
            <w:pPr>
              <w:pStyle w:val="14"/>
              <w:spacing w:line="360" w:lineRule="auto"/>
              <w:rPr>
                <w:rFonts w:ascii="宋体" w:hAnsi="宋体" w:eastAsia="宋体" w:cs="宋体"/>
                <w:kern w:val="0"/>
                <w:szCs w:val="24"/>
              </w:rPr>
            </w:pPr>
            <w:r>
              <w:rPr>
                <w:rFonts w:hint="eastAsia" w:ascii="宋体" w:hAnsi="宋体" w:eastAsia="宋体" w:cs="宋体"/>
                <w:kern w:val="0"/>
                <w:szCs w:val="24"/>
              </w:rPr>
              <w:t>服务交付：《安全加固建议》1份</w:t>
            </w:r>
          </w:p>
          <w:p>
            <w:pPr>
              <w:pStyle w:val="14"/>
              <w:spacing w:line="360" w:lineRule="auto"/>
              <w:rPr>
                <w:rFonts w:ascii="宋体" w:hAnsi="宋体" w:eastAsia="宋体" w:cs="宋体"/>
                <w:kern w:val="0"/>
                <w:szCs w:val="24"/>
              </w:rPr>
            </w:pPr>
            <w:r>
              <w:rPr>
                <w:rFonts w:ascii="宋体" w:hAnsi="宋体" w:eastAsia="宋体" w:cs="宋体"/>
                <w:kern w:val="0"/>
                <w:szCs w:val="24"/>
              </w:rPr>
              <w:t xml:space="preserve">3.3 </w:t>
            </w:r>
            <w:r>
              <w:rPr>
                <w:rFonts w:hint="eastAsia" w:ascii="宋体" w:hAnsi="宋体" w:eastAsia="宋体" w:cs="宋体"/>
                <w:kern w:val="0"/>
                <w:szCs w:val="24"/>
              </w:rPr>
              <w:t>演练期间值守保障服务</w:t>
            </w:r>
          </w:p>
          <w:p>
            <w:pPr>
              <w:pStyle w:val="14"/>
              <w:spacing w:line="360" w:lineRule="auto"/>
              <w:rPr>
                <w:rFonts w:ascii="宋体" w:hAnsi="宋体" w:eastAsia="宋体" w:cs="宋体"/>
                <w:kern w:val="0"/>
                <w:szCs w:val="24"/>
              </w:rPr>
            </w:pPr>
            <w:r>
              <w:rPr>
                <w:rFonts w:hint="eastAsia" w:ascii="宋体" w:hAnsi="宋体" w:eastAsia="宋体" w:cs="宋体"/>
                <w:kern w:val="0"/>
                <w:szCs w:val="24"/>
              </w:rPr>
              <w:t>演练期间，提供2名安全工程师值守保障服务。服务交付：《安全值守报告》1份。服务内容包括但不限于：</w:t>
            </w:r>
          </w:p>
          <w:p>
            <w:pPr>
              <w:pStyle w:val="14"/>
              <w:spacing w:line="360" w:lineRule="auto"/>
              <w:rPr>
                <w:rFonts w:ascii="宋体" w:hAnsi="宋体" w:eastAsia="宋体" w:cs="宋体"/>
                <w:kern w:val="0"/>
                <w:szCs w:val="24"/>
              </w:rPr>
            </w:pPr>
            <w:r>
              <w:rPr>
                <w:rFonts w:hint="eastAsia" w:ascii="宋体" w:hAnsi="宋体" w:eastAsia="宋体" w:cs="宋体"/>
                <w:kern w:val="0"/>
                <w:szCs w:val="24"/>
              </w:rPr>
              <w:t>（1）安全监测：提供攻防监测值守分析，若有发生被攻击安全事件，提供应急响应和处置；</w:t>
            </w:r>
          </w:p>
          <w:p>
            <w:pPr>
              <w:pStyle w:val="14"/>
              <w:spacing w:line="360" w:lineRule="auto"/>
              <w:rPr>
                <w:rFonts w:ascii="宋体" w:hAnsi="宋体" w:eastAsia="宋体" w:cs="宋体"/>
                <w:kern w:val="0"/>
                <w:szCs w:val="24"/>
              </w:rPr>
            </w:pPr>
            <w:r>
              <w:rPr>
                <w:rFonts w:hint="eastAsia" w:ascii="宋体" w:hAnsi="宋体" w:eastAsia="宋体" w:cs="宋体"/>
                <w:kern w:val="0"/>
                <w:szCs w:val="24"/>
              </w:rPr>
              <w:t>（2）溯源分析：对监测发现的安全风险进行统筹溯源分析（现场溯源与远程溯源相结合），其中对流量日志、主机日志、应用日志进行分析、审计、溯源等操作，找出事件根源所在；</w:t>
            </w:r>
          </w:p>
          <w:p>
            <w:pPr>
              <w:pStyle w:val="14"/>
              <w:spacing w:line="360" w:lineRule="auto"/>
              <w:rPr>
                <w:rFonts w:ascii="宋体" w:hAnsi="宋体" w:eastAsia="宋体" w:cs="宋体"/>
                <w:kern w:val="0"/>
                <w:szCs w:val="24"/>
              </w:rPr>
            </w:pPr>
            <w:r>
              <w:rPr>
                <w:rFonts w:hint="eastAsia" w:ascii="宋体" w:hAnsi="宋体" w:eastAsia="宋体" w:cs="宋体"/>
                <w:kern w:val="0"/>
                <w:szCs w:val="24"/>
              </w:rPr>
              <w:t>（3）应急处置：根据监控发现和反馈的攻击信息，对正在发生或者已经发生的安全事件进行协调、处置，及时修复漏洞、复查漏洞、整改问题，控制安全事件的进一步扩大，确保系统的安全、可靠运行。</w:t>
            </w:r>
          </w:p>
        </w:tc>
      </w:tr>
    </w:tbl>
    <w:p>
      <w:pPr>
        <w:pStyle w:val="14"/>
        <w:numPr>
          <w:ilvl w:val="0"/>
          <w:numId w:val="2"/>
        </w:numPr>
        <w:spacing w:beforeLines="50" w:afterLines="50"/>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napToGrid w:val="0"/>
        <w:spacing w:line="360" w:lineRule="auto"/>
        <w:jc w:val="left"/>
        <w:rPr>
          <w:rFonts w:ascii="宋体" w:hAnsi="宋体" w:cs="仿宋_GB2312"/>
          <w:b/>
          <w:sz w:val="28"/>
          <w:szCs w:val="28"/>
          <w:shd w:val="clear" w:color="auto" w:fill="FFFFFF"/>
        </w:rPr>
      </w:pPr>
      <w:r>
        <w:rPr>
          <w:rFonts w:hint="eastAsia" w:ascii="宋体" w:hAnsi="宋体" w:cs="仿宋_GB2312"/>
          <w:b/>
          <w:sz w:val="28"/>
          <w:szCs w:val="28"/>
          <w:shd w:val="clear" w:color="auto" w:fill="FFFFFF"/>
        </w:rPr>
        <w:t>报名参加本次调研的供应商、厂家需提供如下相关资料：</w:t>
      </w:r>
    </w:p>
    <w:p>
      <w:pPr>
        <w:snapToGrid w:val="0"/>
        <w:spacing w:line="360" w:lineRule="auto"/>
        <w:jc w:val="left"/>
        <w:rPr>
          <w:rFonts w:ascii="宋体" w:hAnsi="宋体" w:cs="仿宋_GB2312"/>
          <w:color w:val="000000"/>
          <w:kern w:val="0"/>
          <w:sz w:val="28"/>
          <w:szCs w:val="28"/>
        </w:rPr>
      </w:pPr>
      <w:r>
        <w:rPr>
          <w:rFonts w:hint="eastAsia" w:ascii="宋体" w:hAnsi="宋体" w:cs="仿宋_GB2312"/>
          <w:color w:val="000000"/>
          <w:kern w:val="0"/>
          <w:sz w:val="28"/>
          <w:szCs w:val="28"/>
        </w:rPr>
        <w:t>1、报名请携带加盖公章的项目文件回执单、营业执照复印件、公司简介。</w:t>
      </w:r>
    </w:p>
    <w:p>
      <w:pPr>
        <w:shd w:val="clear" w:color="auto" w:fill="FFFFFF"/>
        <w:snapToGrid w:val="0"/>
        <w:spacing w:line="360" w:lineRule="auto"/>
        <w:jc w:val="left"/>
        <w:rPr>
          <w:rFonts w:ascii="宋体" w:hAnsi="宋体" w:cs="仿宋_GB2312"/>
          <w:color w:val="000000"/>
          <w:spacing w:val="-8"/>
          <w:kern w:val="0"/>
          <w:sz w:val="28"/>
          <w:szCs w:val="28"/>
          <w:shd w:val="clear" w:color="auto" w:fill="FFFFFF"/>
        </w:rPr>
      </w:pPr>
      <w:r>
        <w:rPr>
          <w:rFonts w:hint="eastAsia" w:ascii="宋体" w:hAnsi="宋体" w:cs="仿宋_GB2312"/>
          <w:color w:val="000000"/>
          <w:spacing w:val="-8"/>
          <w:kern w:val="0"/>
          <w:sz w:val="28"/>
          <w:szCs w:val="28"/>
          <w:shd w:val="clear" w:color="auto" w:fill="FFFFFF"/>
        </w:rPr>
        <w:t>2、参与项目调研供应商代表的个人授权函（需加盖供应商公章）和身份证复印件。</w:t>
      </w:r>
    </w:p>
    <w:p>
      <w:pPr>
        <w:shd w:val="clear" w:color="auto" w:fill="FFFFFF"/>
        <w:snapToGrid w:val="0"/>
        <w:spacing w:line="360" w:lineRule="auto"/>
        <w:jc w:val="left"/>
        <w:rPr>
          <w:rFonts w:ascii="宋体" w:hAnsi="宋体" w:cs="仿宋_GB2312"/>
          <w:color w:val="000000"/>
          <w:spacing w:val="-8"/>
          <w:kern w:val="0"/>
          <w:sz w:val="28"/>
          <w:szCs w:val="28"/>
          <w:shd w:val="clear" w:color="auto" w:fill="FFFFFF"/>
        </w:rPr>
      </w:pPr>
      <w:r>
        <w:rPr>
          <w:rFonts w:hint="eastAsia" w:ascii="宋体" w:hAnsi="宋体" w:cs="仿宋_GB2312"/>
          <w:color w:val="000000"/>
          <w:spacing w:val="-8"/>
          <w:kern w:val="0"/>
          <w:sz w:val="28"/>
          <w:szCs w:val="28"/>
          <w:shd w:val="clear" w:color="auto" w:fill="FFFFFF"/>
        </w:rPr>
        <w:t>3、分别提供“信用中国”网站（www.creditchina.gov.cn）、“中国政府采购网”网站（http://www.ccgp.gov.cn/search/cr/）信用记录查询截图，无不良记录并加盖公章（截图查询日期必须在该公告日期内）。</w:t>
      </w: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r>
        <w:rPr>
          <w:rFonts w:hint="eastAsia" w:ascii="宋体" w:hAnsi="宋体" w:eastAsia="宋体" w:cs="仿宋_GB2312"/>
          <w:color w:val="000000"/>
          <w:spacing w:val="-8"/>
          <w:kern w:val="0"/>
          <w:sz w:val="28"/>
          <w:szCs w:val="28"/>
          <w:shd w:val="clear" w:color="auto" w:fill="FFFFFF"/>
        </w:rPr>
        <w:t>4、提供业绩清单及近3年省内同类项目中标书（若有）</w:t>
      </w: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r>
        <w:rPr>
          <w:rFonts w:hint="eastAsia" w:ascii="宋体" w:hAnsi="宋体" w:eastAsia="宋体" w:cs="仿宋_GB2312"/>
          <w:color w:val="000000"/>
          <w:spacing w:val="-8"/>
          <w:kern w:val="0"/>
          <w:sz w:val="28"/>
          <w:szCs w:val="28"/>
          <w:shd w:val="clear" w:color="auto" w:fill="FFFFFF"/>
        </w:rPr>
        <w:t>5、本调研会的报价仅做为本项目公开招标的预算限价；不做参与投标的限制条件；</w:t>
      </w: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r>
        <w:rPr>
          <w:rFonts w:hint="eastAsia" w:ascii="宋体" w:hAnsi="宋体" w:eastAsia="宋体" w:cs="仿宋_GB2312"/>
          <w:color w:val="000000"/>
          <w:spacing w:val="-8"/>
          <w:kern w:val="0"/>
          <w:sz w:val="28"/>
          <w:szCs w:val="28"/>
          <w:shd w:val="clear" w:color="auto" w:fill="FFFFFF"/>
        </w:rPr>
        <w:t>6、上述各参数将做为本项目招标的主要参数，不代表本项目公开招标的最终参数；</w:t>
      </w: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r>
        <w:rPr>
          <w:rFonts w:hint="eastAsia" w:ascii="宋体" w:hAnsi="宋体" w:eastAsia="宋体" w:cs="仿宋_GB2312"/>
          <w:color w:val="000000"/>
          <w:spacing w:val="-8"/>
          <w:kern w:val="0"/>
          <w:sz w:val="28"/>
          <w:szCs w:val="28"/>
          <w:shd w:val="clear" w:color="auto" w:fill="FFFFFF"/>
        </w:rPr>
        <w:t>7、参加调研会的公司应准备PPT材料（含方案介绍、服务能力、应用案例、报价等）、技术参数等材料，每公司讲解时间30分钟（含答疑10分钟）；同时上述材料须交予院方留档（提供U盘留档）。</w:t>
      </w: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pStyle w:val="14"/>
        <w:snapToGrid w:val="0"/>
        <w:spacing w:line="360" w:lineRule="auto"/>
        <w:jc w:val="left"/>
        <w:rPr>
          <w:rFonts w:ascii="宋体" w:hAnsi="宋体" w:eastAsia="宋体" w:cs="仿宋_GB2312"/>
          <w:color w:val="000000"/>
          <w:spacing w:val="-8"/>
          <w:kern w:val="0"/>
          <w:sz w:val="28"/>
          <w:szCs w:val="28"/>
          <w:shd w:val="clear" w:color="auto" w:fill="FFFFFF"/>
        </w:rPr>
      </w:pPr>
    </w:p>
    <w:p>
      <w:pPr>
        <w:shd w:val="solid" w:color="FFFFFF" w:fill="auto"/>
        <w:autoSpaceDN w:val="0"/>
        <w:spacing w:line="420" w:lineRule="atLeast"/>
        <w:jc w:val="left"/>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附：项目文件回执单</w:t>
      </w:r>
    </w:p>
    <w:p>
      <w:pPr>
        <w:pStyle w:val="14"/>
        <w:snapToGrid w:val="0"/>
        <w:spacing w:beforeLines="50" w:line="360" w:lineRule="auto"/>
        <w:ind w:firstLine="640" w:firstLineChars="200"/>
        <w:jc w:val="left"/>
        <w:rPr>
          <w:rFonts w:ascii="宋体" w:hAnsi="宋体" w:eastAsia="宋体" w:cs="仿宋_GB2312"/>
          <w:bCs/>
          <w:sz w:val="32"/>
          <w:szCs w:val="32"/>
        </w:rPr>
      </w:pPr>
      <w:r>
        <w:rPr>
          <w:rFonts w:hint="eastAsia" w:ascii="宋体" w:hAnsi="宋体" w:eastAsia="宋体" w:cs="仿宋_GB2312"/>
          <w:bCs/>
          <w:sz w:val="32"/>
          <w:szCs w:val="32"/>
          <w:shd w:val="clear" w:color="auto" w:fill="FFFFFF"/>
        </w:rPr>
        <w:t>请有意向参与的公司在项目公示期内携带回执单至福建省肿瘤医院网络技术中心报名。</w:t>
      </w:r>
    </w:p>
    <w:tbl>
      <w:tblPr>
        <w:tblW w:w="904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264"/>
        <w:gridCol w:w="2942"/>
        <w:gridCol w:w="2347"/>
        <w:gridCol w:w="249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PrEx>
        <w:trPr>
          <w:trHeight w:val="504" w:hRule="exact"/>
        </w:trPr>
        <w:tc>
          <w:tcPr>
            <w:tcW w:w="1264"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序号</w:t>
            </w:r>
          </w:p>
        </w:tc>
        <w:tc>
          <w:tcPr>
            <w:tcW w:w="2942"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项目名称</w:t>
            </w:r>
          </w:p>
        </w:tc>
        <w:tc>
          <w:tcPr>
            <w:tcW w:w="2347"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数量</w:t>
            </w:r>
          </w:p>
        </w:tc>
        <w:tc>
          <w:tcPr>
            <w:tcW w:w="249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PrEx>
        <w:trPr>
          <w:trHeight w:val="454" w:hRule="exact"/>
        </w:trPr>
        <w:tc>
          <w:tcPr>
            <w:tcW w:w="1264"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1</w:t>
            </w:r>
          </w:p>
        </w:tc>
        <w:tc>
          <w:tcPr>
            <w:tcW w:w="2942"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 xml:space="preserve"> </w:t>
            </w:r>
          </w:p>
        </w:tc>
        <w:tc>
          <w:tcPr>
            <w:tcW w:w="2347"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 xml:space="preserve"> </w:t>
            </w:r>
          </w:p>
        </w:tc>
        <w:tc>
          <w:tcPr>
            <w:tcW w:w="2493"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宋体" w:hAnsi="宋体"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264"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2</w:t>
            </w:r>
          </w:p>
        </w:tc>
        <w:tc>
          <w:tcPr>
            <w:tcW w:w="2942"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 xml:space="preserve"> </w:t>
            </w:r>
          </w:p>
        </w:tc>
        <w:tc>
          <w:tcPr>
            <w:tcW w:w="2347"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宋体" w:hAnsi="宋体" w:cs="仿宋_GB2312"/>
                <w:bCs/>
                <w:sz w:val="28"/>
                <w:szCs w:val="28"/>
                <w:shd w:val="clear" w:color="auto" w:fill="FFFFFF"/>
              </w:rPr>
            </w:pPr>
            <w:r>
              <w:rPr>
                <w:rFonts w:hint="eastAsia" w:ascii="宋体" w:hAnsi="宋体" w:cs="仿宋_GB2312"/>
                <w:bCs/>
                <w:sz w:val="28"/>
                <w:szCs w:val="28"/>
                <w:shd w:val="clear" w:color="auto" w:fill="FFFFFF"/>
              </w:rPr>
              <w:t xml:space="preserve"> </w:t>
            </w:r>
          </w:p>
        </w:tc>
        <w:tc>
          <w:tcPr>
            <w:tcW w:w="2493"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宋体" w:hAnsi="宋体"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宋体" w:hAnsi="宋体" w:cs="仿宋_GB2312"/>
          <w:bCs/>
          <w:sz w:val="32"/>
          <w:szCs w:val="32"/>
          <w:shd w:val="clear" w:color="auto" w:fill="FFFFFF"/>
        </w:rPr>
      </w:pPr>
      <w:r>
        <w:rPr>
          <w:rFonts w:hint="eastAsia" w:ascii="宋体" w:hAnsi="宋体" w:cs="仿宋_GB2312"/>
          <w:bCs/>
          <w:sz w:val="32"/>
          <w:szCs w:val="32"/>
          <w:shd w:val="clear" w:color="auto" w:fill="FFFFFF"/>
        </w:rPr>
        <w:t>公司名称：</w:t>
      </w:r>
    </w:p>
    <w:p>
      <w:pPr>
        <w:shd w:val="solid" w:color="FFFFFF" w:fill="auto"/>
        <w:autoSpaceDN w:val="0"/>
        <w:spacing w:line="500" w:lineRule="exact"/>
        <w:rPr>
          <w:rFonts w:ascii="宋体" w:hAnsi="宋体" w:cs="仿宋_GB2312"/>
          <w:bCs/>
          <w:sz w:val="32"/>
          <w:szCs w:val="32"/>
          <w:shd w:val="clear" w:color="auto" w:fill="FFFFFF"/>
        </w:rPr>
      </w:pPr>
      <w:r>
        <w:rPr>
          <w:rFonts w:hint="eastAsia" w:ascii="宋体" w:hAnsi="宋体" w:cs="仿宋_GB2312"/>
          <w:bCs/>
          <w:sz w:val="32"/>
          <w:szCs w:val="32"/>
          <w:shd w:val="clear" w:color="auto" w:fill="FFFFFF"/>
        </w:rPr>
        <w:t xml:space="preserve">联系人：　 </w:t>
      </w:r>
    </w:p>
    <w:p>
      <w:pPr>
        <w:shd w:val="solid" w:color="FFFFFF" w:fill="auto"/>
        <w:autoSpaceDN w:val="0"/>
        <w:spacing w:line="500" w:lineRule="exact"/>
        <w:rPr>
          <w:rFonts w:ascii="宋体" w:hAnsi="宋体" w:cs="仿宋_GB2312"/>
          <w:bCs/>
          <w:sz w:val="32"/>
          <w:szCs w:val="32"/>
          <w:shd w:val="clear" w:color="auto" w:fill="FFFFFF"/>
        </w:rPr>
      </w:pPr>
      <w:r>
        <w:rPr>
          <w:rFonts w:hint="eastAsia" w:ascii="宋体" w:hAnsi="宋体" w:cs="仿宋_GB2312"/>
          <w:bCs/>
          <w:sz w:val="32"/>
          <w:szCs w:val="32"/>
          <w:shd w:val="clear" w:color="auto" w:fill="FFFFFF"/>
        </w:rPr>
        <w:t>联系电话：</w:t>
      </w:r>
    </w:p>
    <w:p>
      <w:pPr>
        <w:shd w:val="solid" w:color="FFFFFF" w:fill="auto"/>
        <w:autoSpaceDN w:val="0"/>
        <w:spacing w:line="500" w:lineRule="exact"/>
        <w:rPr>
          <w:rFonts w:ascii="宋体" w:hAnsi="宋体" w:cs="仿宋_GB2312"/>
          <w:bCs/>
          <w:sz w:val="32"/>
          <w:szCs w:val="32"/>
          <w:shd w:val="clear" w:color="auto" w:fill="FFFFFF"/>
        </w:rPr>
      </w:pPr>
      <w:r>
        <w:rPr>
          <w:rFonts w:hint="eastAsia" w:ascii="宋体" w:hAnsi="宋体" w:cs="仿宋_GB2312"/>
          <w:bCs/>
          <w:sz w:val="32"/>
          <w:szCs w:val="32"/>
          <w:shd w:val="clear" w:color="auto" w:fill="FFFFFF"/>
        </w:rPr>
        <w:t>公司盖章：</w:t>
      </w:r>
    </w:p>
    <w:p>
      <w:pPr>
        <w:shd w:val="solid" w:color="FFFFFF" w:fill="auto"/>
        <w:autoSpaceDN w:val="0"/>
        <w:spacing w:line="500" w:lineRule="exact"/>
        <w:rPr>
          <w:rFonts w:ascii="宋体" w:hAnsi="宋体" w:cs="仿宋_GB2312"/>
          <w:bCs/>
          <w:sz w:val="32"/>
          <w:szCs w:val="32"/>
          <w:shd w:val="clear" w:color="auto" w:fill="FFFFFF"/>
        </w:rPr>
      </w:pPr>
    </w:p>
    <w:p>
      <w:pPr>
        <w:pStyle w:val="14"/>
        <w:rPr>
          <w:rFonts w:ascii="宋体" w:hAnsi="宋体" w:eastAsia="宋体" w:cs="仿宋_GB2312"/>
          <w:bCs/>
          <w:sz w:val="32"/>
          <w:szCs w:val="32"/>
          <w:shd w:val="clear" w:color="auto" w:fill="FFFFFF"/>
        </w:rPr>
      </w:pPr>
    </w:p>
    <w:p>
      <w:pPr>
        <w:pStyle w:val="14"/>
        <w:rPr>
          <w:rFonts w:ascii="宋体" w:hAnsi="宋体" w:eastAsia="宋体" w:cs="仿宋_GB2312"/>
          <w:sz w:val="32"/>
          <w:szCs w:val="32"/>
        </w:rPr>
      </w:pPr>
      <w:r>
        <w:rPr>
          <w:rFonts w:hint="eastAsia" w:ascii="宋体" w:hAnsi="宋体" w:eastAsia="宋体" w:cs="仿宋_GB2312"/>
          <w:sz w:val="32"/>
          <w:szCs w:val="32"/>
        </w:rPr>
        <w:t xml:space="preserve">                                        福建省肿瘤医院</w:t>
      </w:r>
    </w:p>
    <w:p>
      <w:pPr>
        <w:pStyle w:val="14"/>
        <w:rPr>
          <w:rFonts w:ascii="宋体" w:hAnsi="宋体" w:eastAsia="宋体" w:cs="仿宋_GB2312"/>
          <w:sz w:val="32"/>
          <w:szCs w:val="32"/>
        </w:rPr>
      </w:pPr>
      <w:r>
        <w:rPr>
          <w:rFonts w:hint="eastAsia" w:ascii="宋体" w:hAnsi="宋体" w:eastAsia="宋体" w:cs="仿宋_GB2312"/>
          <w:sz w:val="32"/>
          <w:szCs w:val="32"/>
        </w:rPr>
        <w:t xml:space="preserve">                                           年  月  日</w:t>
      </w:r>
    </w:p>
    <w:sectPr>
      <w:footerReference r:id="rId4" w:type="default"/>
      <w:pgSz w:w="12240" w:h="15840"/>
      <w:pgMar w:top="1134" w:right="1587" w:bottom="1134" w:left="1587" w:header="720" w:footer="720" w:gutter="0"/>
      <w:pgBorders>
        <w:top w:val="none" w:color="auto" w:sz="0" w:space="0"/>
        <w:left w:val="none" w:color="auto" w:sz="0" w:space="0"/>
        <w:bottom w:val="none" w:color="auto" w:sz="0" w:space="0"/>
        <w:right w:val="none" w:color="auto" w:sz="0" w:space="0"/>
      </w:pgBorders>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8243248">
    <w:nsid w:val="75510230"/>
    <w:multiLevelType w:val="multilevel"/>
    <w:tmpl w:val="75510230"/>
    <w:lvl w:ilvl="0" w:tentative="1">
      <w:start w:val="1"/>
      <w:numFmt w:val="decimal"/>
      <w:lvlText w:val="%1."/>
      <w:lvlJc w:val="left"/>
      <w:pPr>
        <w:ind w:left="440" w:hanging="440"/>
      </w:pPr>
    </w:lvl>
    <w:lvl w:ilvl="1" w:tentative="1">
      <w:start w:val="1"/>
      <w:numFmt w:val="decimal"/>
      <w:isLgl/>
      <w:lvlText w:val="%1.%2"/>
      <w:lvlJc w:val="left"/>
      <w:pPr>
        <w:ind w:left="360" w:hanging="360"/>
      </w:pPr>
      <w:rPr>
        <w:rFonts w:hint="default"/>
      </w:rPr>
    </w:lvl>
    <w:lvl w:ilvl="2" w:tentative="1">
      <w:start w:val="1"/>
      <w:numFmt w:val="decimal"/>
      <w:isLgl/>
      <w:lvlText w:val="%1.%2.%3"/>
      <w:lvlJc w:val="left"/>
      <w:pPr>
        <w:ind w:left="720" w:hanging="720"/>
      </w:pPr>
      <w:rPr>
        <w:rFonts w:hint="default"/>
      </w:rPr>
    </w:lvl>
    <w:lvl w:ilvl="3" w:tentative="1">
      <w:start w:val="1"/>
      <w:numFmt w:val="decimal"/>
      <w:isLgl/>
      <w:lvlText w:val="%1.%2.%3.%4"/>
      <w:lvlJc w:val="left"/>
      <w:pPr>
        <w:ind w:left="1080" w:hanging="108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440" w:hanging="1440"/>
      </w:pPr>
      <w:rPr>
        <w:rFonts w:hint="default"/>
      </w:rPr>
    </w:lvl>
    <w:lvl w:ilvl="6" w:tentative="1">
      <w:start w:val="1"/>
      <w:numFmt w:val="decimal"/>
      <w:isLgl/>
      <w:lvlText w:val="%1.%2.%3.%4.%5.%6.%7"/>
      <w:lvlJc w:val="left"/>
      <w:pPr>
        <w:ind w:left="1800" w:hanging="1800"/>
      </w:pPr>
      <w:rPr>
        <w:rFonts w:hint="default"/>
      </w:rPr>
    </w:lvl>
    <w:lvl w:ilvl="7" w:tentative="1">
      <w:start w:val="1"/>
      <w:numFmt w:val="decimal"/>
      <w:isLgl/>
      <w:lvlText w:val="%1.%2.%3.%4.%5.%6.%7.%8"/>
      <w:lvlJc w:val="left"/>
      <w:pPr>
        <w:ind w:left="1800" w:hanging="1800"/>
      </w:pPr>
      <w:rPr>
        <w:rFonts w:hint="default"/>
      </w:rPr>
    </w:lvl>
    <w:lvl w:ilvl="8" w:tentative="1">
      <w:start w:val="1"/>
      <w:numFmt w:val="decimal"/>
      <w:isLgl/>
      <w:lvlText w:val="%1.%2.%3.%4.%5.%6.%7.%8.%9"/>
      <w:lvlJc w:val="left"/>
      <w:pPr>
        <w:ind w:left="2160" w:hanging="2160"/>
      </w:pPr>
      <w:rPr>
        <w:rFonts w:hint="default"/>
      </w:rPr>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num w:numId="1">
    <w:abstractNumId w:val="1968243248"/>
  </w:num>
  <w:num w:numId="2">
    <w:abstractNumId w:val="1398085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uiPriority w:val="1"/>
  </w:style>
  <w:style w:type="paragraph" w:styleId="4">
    <w:name w:val="annotation subject"/>
    <w:basedOn w:val="5"/>
    <w:next w:val="5"/>
    <w:link w:val="19"/>
    <w:uiPriority w:val="0"/>
    <w:rPr>
      <w:b/>
      <w:bCs/>
    </w:rPr>
  </w:style>
  <w:style w:type="paragraph" w:styleId="5">
    <w:name w:val="annotation text"/>
    <w:basedOn w:val="1"/>
    <w:link w:val="18"/>
    <w:uiPriority w:val="0"/>
    <w:pPr>
      <w:jc w:val="left"/>
    </w:pPr>
  </w:style>
  <w:style w:type="paragraph" w:styleId="6">
    <w:name w:val="Body Text"/>
    <w:basedOn w:val="1"/>
    <w:next w:val="7"/>
    <w:unhideWhenUsed/>
    <w:qFormat/>
    <w:uiPriority w:val="99"/>
    <w:rPr>
      <w:rFonts w:ascii="仿宋_GB2312" w:eastAsia="仿宋_GB2312"/>
      <w:sz w:val="32"/>
    </w:rPr>
  </w:style>
  <w:style w:type="paragraph" w:customStyle="1" w:styleId="7">
    <w:name w:val="引用1"/>
    <w:basedOn w:val="1"/>
    <w:next w:val="1"/>
    <w:qFormat/>
    <w:uiPriority w:val="29"/>
    <w:pPr>
      <w:spacing w:beforeLines="50" w:afterLines="50" w:line="360" w:lineRule="auto"/>
    </w:pPr>
    <w:rPr>
      <w:i/>
      <w:iCs/>
      <w:color w:val="000000"/>
      <w:lang w:val="zh-CN"/>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line="336" w:lineRule="auto"/>
      <w:jc w:val="left"/>
    </w:pPr>
    <w:rPr>
      <w:rFonts w:ascii="宋体" w:hAnsi="宋体"/>
      <w:kern w:val="0"/>
      <w:sz w:val="24"/>
    </w:rPr>
  </w:style>
  <w:style w:type="character" w:styleId="12">
    <w:name w:val="Strong"/>
    <w:qFormat/>
    <w:uiPriority w:val="0"/>
    <w:rPr>
      <w:b/>
    </w:rPr>
  </w:style>
  <w:style w:type="character" w:styleId="13">
    <w:name w:val="annotation reference"/>
    <w:uiPriority w:val="0"/>
    <w:rPr>
      <w:sz w:val="21"/>
      <w:szCs w:val="21"/>
    </w:rPr>
  </w:style>
  <w:style w:type="paragraph" w:customStyle="1" w:styleId="14">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5">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6">
    <w:name w:val="列表段落1"/>
    <w:basedOn w:val="1"/>
    <w:qFormat/>
    <w:uiPriority w:val="34"/>
    <w:pPr>
      <w:ind w:firstLine="420" w:firstLineChars="200"/>
    </w:p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批注文字 字符"/>
    <w:link w:val="5"/>
    <w:uiPriority w:val="0"/>
    <w:rPr>
      <w:rFonts w:ascii="Calibri" w:hAnsi="Calibri" w:cs="黑体"/>
      <w:kern w:val="2"/>
      <w:sz w:val="21"/>
      <w:szCs w:val="24"/>
    </w:rPr>
  </w:style>
  <w:style w:type="character" w:customStyle="1" w:styleId="19">
    <w:name w:val="批注主题 字符"/>
    <w:link w:val="4"/>
    <w:uiPriority w:val="0"/>
    <w:rPr>
      <w:rFonts w:ascii="Calibri" w:hAnsi="Calibri" w:cs="黑体"/>
      <w:b/>
      <w:bCs/>
      <w:kern w:val="2"/>
      <w:sz w:val="21"/>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689</Words>
  <Characters>3930</Characters>
  <Lines>32</Lines>
  <Paragraphs>9</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2023-07-05T01:36:00Z</dcterms:created>
  <dc:creator>Admin</dc:creator>
  <cp:lastModifiedBy>Admin</cp:lastModifiedBy>
  <cp:lastPrinted>2023-06-20T07:45:00Z</cp:lastPrinted>
  <dcterms:modified xsi:type="dcterms:W3CDTF">2023-07-05T05:54:13Z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CD1CBFDCF0B34D54A1323A555A4AB815_12</vt:lpwstr>
  </property>
</Properties>
</file>