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numPr>
          <w:ilvl w:val="0"/>
          <w:numId w:val="0"/>
        </w:numPr>
        <w:ind w:leftChars="0"/>
        <w:jc w:val="center"/>
        <w:rPr>
          <w:rFonts w:eastAsia="方正小标宋简体" w:cs="仿宋_GB2312"/>
          <w:b w:val="0"/>
          <w:sz w:val="32"/>
          <w:szCs w:val="32"/>
        </w:rPr>
      </w:pPr>
      <w:bookmarkStart w:id="0" w:name="_GoBack"/>
      <w:bookmarkEnd w:id="0"/>
      <w:r>
        <w:rPr>
          <w:rFonts w:hint="eastAsia" w:ascii="方正小标宋简体" w:hAnsi="方正小标宋简体" w:eastAsia="方正小标宋简体" w:cs="方正小标宋简体"/>
          <w:b w:val="0"/>
          <w:sz w:val="44"/>
          <w:szCs w:val="44"/>
        </w:rPr>
        <w:t>福建省肿瘤医院采购调研公告</w:t>
      </w:r>
    </w:p>
    <w:p>
      <w:pPr>
        <w:widowControl/>
        <w:shd w:val="clear" w:color="auto" w:fill="FFFFFF"/>
        <w:adjustRightInd w:val="0"/>
        <w:snapToGrid w:val="0"/>
        <w:spacing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0"/>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虚拟化及桌面防病毒</w:t>
            </w:r>
            <w:r>
              <w:rPr>
                <w:rFonts w:hint="default" w:ascii="仿宋_GB2312" w:hAnsi="仿宋_GB2312" w:eastAsia="仿宋_GB2312" w:cs="仿宋_GB2312"/>
                <w:color w:val="000000"/>
                <w:kern w:val="0"/>
                <w:sz w:val="32"/>
                <w:szCs w:val="32"/>
                <w:lang w:val="en-US" w:eastAsia="zh-CN"/>
              </w:rPr>
              <w:t>安全防护升级服务</w:t>
            </w:r>
            <w:r>
              <w:rPr>
                <w:rFonts w:hint="eastAsia" w:ascii="仿宋_GB2312" w:hAnsi="仿宋_GB2312" w:eastAsia="仿宋_GB2312" w:cs="仿宋_GB2312"/>
                <w:color w:val="000000"/>
                <w:kern w:val="0"/>
                <w:sz w:val="32"/>
                <w:szCs w:val="32"/>
              </w:rPr>
              <w:t>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调研报名时间： 2023 年 </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 xml:space="preserve"> 月</w:t>
            </w:r>
            <w:r>
              <w:rPr>
                <w:rFonts w:hint="default"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18</w:t>
            </w:r>
            <w:r>
              <w:rPr>
                <w:rFonts w:hint="default"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 xml:space="preserve">日至 </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24</w:t>
            </w:r>
            <w:r>
              <w:rPr>
                <w:rFonts w:hint="default"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日 (节假日除外)8：00-12：00或14：00-17：30(北京时间）</w:t>
            </w:r>
          </w:p>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rPr>
              <w:t xml:space="preserve">调研会时间： 2023 年 </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 xml:space="preserve">月 </w:t>
            </w:r>
            <w:r>
              <w:rPr>
                <w:rFonts w:hint="eastAsia" w:ascii="仿宋_GB2312" w:hAnsi="仿宋_GB2312" w:eastAsia="仿宋_GB2312" w:cs="仿宋_GB2312"/>
                <w:color w:val="auto"/>
                <w:kern w:val="0"/>
                <w:sz w:val="32"/>
                <w:szCs w:val="32"/>
                <w:lang w:val="en-US" w:eastAsia="zh-CN"/>
              </w:rPr>
              <w:t>30</w:t>
            </w:r>
            <w:r>
              <w:rPr>
                <w:rFonts w:hint="default"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val="en-US" w:eastAsia="zh-CN"/>
              </w:rPr>
              <w:t xml:space="preserve"> 15：00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文件正本壹份,副本壹份胶装并密封加盖投标人公章。文件未胶装将视为无效。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采购报名、采购调研等采购过程中有任何异议，可联系我院监督科室。电话：83660063-8407；83660063-8467。</w:t>
            </w:r>
          </w:p>
        </w:tc>
      </w:tr>
    </w:tbl>
    <w:p>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840" w:firstLine="640" w:firstLineChars="200"/>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 金 工</w:t>
      </w:r>
    </w:p>
    <w:p>
      <w:pPr>
        <w:pStyle w:val="2"/>
        <w:rPr>
          <w:rFonts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第二部分 具体要求</w:t>
      </w:r>
    </w:p>
    <w:p>
      <w:pPr>
        <w:widowControl/>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697" w:type="dxa"/>
            <w:vAlign w:val="center"/>
          </w:tcPr>
          <w:p>
            <w:pPr>
              <w:widowControl/>
              <w:spacing w:afterLines="50"/>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178" w:type="dxa"/>
            <w:vAlign w:val="center"/>
          </w:tcPr>
          <w:p>
            <w:pPr>
              <w:widowControl/>
              <w:spacing w:afterLines="5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pPr>
              <w:widowControl/>
              <w:spacing w:afterLines="5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pPr>
              <w:widowControl/>
              <w:spacing w:afterLines="5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1" w:hRule="exact"/>
        </w:trPr>
        <w:tc>
          <w:tcPr>
            <w:tcW w:w="2697" w:type="dxa"/>
            <w:vAlign w:val="center"/>
          </w:tcPr>
          <w:p>
            <w:pPr>
              <w:widowControl/>
              <w:spacing w:afterLines="50"/>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1</w:t>
            </w:r>
          </w:p>
        </w:tc>
        <w:tc>
          <w:tcPr>
            <w:tcW w:w="3178" w:type="dxa"/>
            <w:vAlign w:val="center"/>
          </w:tcPr>
          <w:p>
            <w:pP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 虚拟化</w:t>
            </w:r>
            <w:r>
              <w:rPr>
                <w:rFonts w:hint="eastAsia" w:ascii="仿宋_GB2312" w:hAnsi="仿宋_GB2312" w:eastAsia="仿宋_GB2312" w:cs="仿宋_GB2312"/>
                <w:color w:val="000000"/>
                <w:kern w:val="0"/>
                <w:sz w:val="32"/>
                <w:szCs w:val="32"/>
                <w:lang w:val="en-US"/>
              </w:rPr>
              <w:t>安全</w:t>
            </w:r>
            <w:r>
              <w:rPr>
                <w:rFonts w:hint="eastAsia" w:ascii="仿宋_GB2312" w:hAnsi="仿宋_GB2312" w:eastAsia="仿宋_GB2312" w:cs="仿宋_GB2312"/>
                <w:color w:val="000000"/>
                <w:kern w:val="0"/>
                <w:sz w:val="32"/>
                <w:szCs w:val="32"/>
              </w:rPr>
              <w:t>及桌面防病毒软件</w:t>
            </w:r>
          </w:p>
        </w:tc>
        <w:tc>
          <w:tcPr>
            <w:tcW w:w="1590" w:type="dxa"/>
            <w:vAlign w:val="center"/>
          </w:tcPr>
          <w:p>
            <w:pPr>
              <w:autoSpaceDN w:val="0"/>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1（套）</w:t>
            </w:r>
          </w:p>
        </w:tc>
        <w:tc>
          <w:tcPr>
            <w:tcW w:w="1894" w:type="dxa"/>
            <w:vAlign w:val="center"/>
          </w:tcPr>
          <w:p>
            <w:pPr>
              <w:autoSpaceDN w:val="0"/>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lang w:val="en-US" w:eastAsia="zh-CN"/>
              </w:rPr>
              <w:t>65</w:t>
            </w:r>
          </w:p>
        </w:tc>
      </w:tr>
    </w:tbl>
    <w:p>
      <w:pPr>
        <w:keepNext/>
        <w:widowControl/>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2"/>
        <w:rPr>
          <w:rFonts w:ascii="仿宋_GB2312" w:hAnsi="仿宋_GB2312" w:cs="仿宋_GB2312"/>
          <w:sz w:val="32"/>
          <w:szCs w:val="32"/>
        </w:rPr>
      </w:pPr>
      <w:r>
        <w:rPr>
          <w:rFonts w:hint="eastAsia" w:ascii="仿宋_GB2312" w:hAnsi="仿宋_GB2312" w:cs="仿宋_GB2312"/>
          <w:sz w:val="32"/>
          <w:szCs w:val="32"/>
        </w:rPr>
        <w:t>1、合同包1-</w:t>
      </w:r>
      <w:r>
        <w:rPr>
          <w:rFonts w:ascii="仿宋_GB2312" w:hAnsi="仿宋_GB2312" w:cs="仿宋_GB2312"/>
          <w:sz w:val="32"/>
          <w:szCs w:val="32"/>
        </w:rPr>
        <w:t>1</w:t>
      </w:r>
    </w:p>
    <w:tbl>
      <w:tblPr>
        <w:tblW w:w="9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6" w:type="dxa"/>
            <w:shd w:val="clear" w:color="auto" w:fill="D9D9D9"/>
            <w:vAlign w:val="top"/>
          </w:tcPr>
          <w:p>
            <w:pPr>
              <w:widowControl/>
              <w:jc w:val="center"/>
              <w:rPr>
                <w:rFonts w:ascii="宋体" w:hAnsi="宋体"/>
                <w:b/>
                <w:bCs/>
                <w:color w:val="auto"/>
                <w:kern w:val="0"/>
                <w:sz w:val="22"/>
              </w:rPr>
            </w:pPr>
            <w:r>
              <w:rPr>
                <w:rFonts w:hint="eastAsia"/>
                <w:color w:val="auto"/>
              </w:rPr>
              <w:t>序号</w:t>
            </w:r>
          </w:p>
        </w:tc>
        <w:tc>
          <w:tcPr>
            <w:tcW w:w="1134" w:type="dxa"/>
            <w:shd w:val="clear" w:color="auto" w:fill="D9D9D9"/>
            <w:vAlign w:val="top"/>
          </w:tcPr>
          <w:p>
            <w:pPr>
              <w:widowControl/>
              <w:jc w:val="left"/>
              <w:rPr>
                <w:rFonts w:hint="eastAsia" w:ascii="宋体" w:hAnsi="宋体"/>
                <w:b/>
                <w:bCs/>
                <w:color w:val="auto"/>
                <w:kern w:val="0"/>
                <w:sz w:val="22"/>
              </w:rPr>
            </w:pPr>
            <w:r>
              <w:rPr>
                <w:rFonts w:hint="eastAsia"/>
                <w:color w:val="auto"/>
              </w:rPr>
              <w:t>项目</w:t>
            </w:r>
          </w:p>
        </w:tc>
        <w:tc>
          <w:tcPr>
            <w:tcW w:w="7437" w:type="dxa"/>
            <w:shd w:val="clear" w:color="auto" w:fill="D9D9D9"/>
            <w:vAlign w:val="top"/>
          </w:tcPr>
          <w:p>
            <w:pPr>
              <w:widowControl/>
              <w:jc w:val="left"/>
              <w:rPr>
                <w:rFonts w:ascii="宋体" w:hAnsi="宋体"/>
                <w:b/>
                <w:bCs/>
                <w:color w:val="auto"/>
                <w:kern w:val="0"/>
                <w:sz w:val="22"/>
              </w:rPr>
            </w:pPr>
            <w:r>
              <w:rPr>
                <w:rFonts w:hint="eastAsia"/>
                <w:color w:val="auto"/>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vMerge w:val="restart"/>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1</w:t>
            </w:r>
          </w:p>
        </w:tc>
        <w:tc>
          <w:tcPr>
            <w:tcW w:w="1134" w:type="dxa"/>
            <w:vMerge w:val="restart"/>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服务器深度安全防护系统</w:t>
            </w: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支持两种安装部署模式，需要安装客户端的轻代理模式和无需安装客户端的无代理模式，两种模式可以混合使用</w:t>
            </w:r>
            <w:r>
              <w:rPr>
                <w:rFonts w:hint="eastAsia" w:ascii="宋体" w:hAnsi="宋体" w:cs="宋体"/>
                <w:color w:val="auto"/>
                <w:kern w:val="0"/>
                <w:sz w:val="24"/>
                <w:lang w:eastAsia="zh-CN"/>
              </w:rPr>
              <w:t>。</w:t>
            </w:r>
            <w:r>
              <w:rPr>
                <w:rFonts w:hint="eastAsia" w:ascii="宋体" w:hAnsi="宋体" w:cs="宋体"/>
                <w:color w:val="auto"/>
                <w:kern w:val="0"/>
                <w:sz w:val="24"/>
              </w:rPr>
              <w:t>轻代理模式客户端支持Windows、RHEL、CentOS、Oracle Linux、SUSE、Ubuntu、Debian等操作系统。无代理部署支持宿主机及虚拟机的防护</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w:t>
            </w:r>
            <w:r>
              <w:rPr>
                <w:rFonts w:hint="eastAsia" w:ascii="宋体" w:hAnsi="宋体" w:cs="宋体"/>
                <w:color w:val="auto"/>
                <w:kern w:val="0"/>
                <w:sz w:val="24"/>
              </w:rPr>
              <w:t>提供Windows和Linux批量化安装部署脚本，主机分组、安全策略、更新源等脚本内容参数支持用户按需选择，并自动生成。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lang w:val="en-US" w:eastAsia="zh-CN"/>
              </w:rPr>
            </w:pPr>
            <w:r>
              <w:rPr>
                <w:rFonts w:hint="eastAsia" w:ascii="宋体" w:hAnsi="宋体" w:cs="宋体"/>
                <w:color w:val="auto"/>
                <w:kern w:val="0"/>
                <w:sz w:val="24"/>
              </w:rPr>
              <w:t>无代理模式支持VMware vSphere， 华为FusionCompute， 新华三CAS等云平台</w:t>
            </w:r>
            <w:r>
              <w:rPr>
                <w:rFonts w:hint="eastAsia" w:ascii="宋体" w:hAnsi="宋体" w:cs="宋体"/>
                <w:color w:val="auto"/>
                <w:kern w:val="0"/>
                <w:sz w:val="24"/>
                <w:lang w:eastAsia="zh-CN"/>
              </w:rPr>
              <w:t>；</w:t>
            </w:r>
            <w:r>
              <w:rPr>
                <w:rFonts w:hint="eastAsia" w:ascii="宋体" w:hAnsi="宋体" w:cs="宋体"/>
                <w:color w:val="auto"/>
                <w:kern w:val="0"/>
                <w:sz w:val="24"/>
              </w:rPr>
              <w:t>控制台支持横向扩容，支持多节点集群化部署，保证系统高可用性</w:t>
            </w:r>
            <w:r>
              <w:rPr>
                <w:rFonts w:hint="eastAsia" w:ascii="宋体" w:hAnsi="宋体" w:cs="宋体"/>
                <w:color w:val="auto"/>
                <w:kern w:val="0"/>
                <w:sz w:val="24"/>
                <w:lang w:val="en-US" w:eastAsia="zh-CN"/>
              </w:rPr>
              <w:t>,</w:t>
            </w:r>
            <w:r>
              <w:rPr>
                <w:rFonts w:hint="eastAsia" w:ascii="宋体" w:hAnsi="宋体" w:cs="宋体"/>
                <w:color w:val="auto"/>
                <w:kern w:val="0"/>
                <w:sz w:val="24"/>
              </w:rPr>
              <w:t>可提供上述</w:t>
            </w:r>
            <w:r>
              <w:rPr>
                <w:rFonts w:hint="eastAsia" w:ascii="宋体" w:hAnsi="宋体" w:cs="宋体"/>
                <w:color w:val="auto"/>
                <w:kern w:val="0"/>
                <w:sz w:val="24"/>
                <w:lang w:val="en-US" w:eastAsia="zh-CN"/>
              </w:rPr>
              <w:t>多</w:t>
            </w:r>
            <w:r>
              <w:rPr>
                <w:rFonts w:hint="eastAsia" w:ascii="宋体" w:hAnsi="宋体" w:cs="宋体"/>
                <w:color w:val="auto"/>
                <w:kern w:val="0"/>
                <w:sz w:val="24"/>
              </w:rPr>
              <w:t>平台的统一界面管理控制台。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针对大规模部署场景下提供分布式更新方式，可以把任意客户端，设置为分布式的更新源，可指定任意客户端从此更新源进行更新。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支持通过网络掩码或 IP 范围查找未安装客户端的计算机，并且将发现的IP解析为主机名方便管理</w:t>
            </w:r>
            <w:r>
              <w:rPr>
                <w:rFonts w:hint="eastAsia" w:ascii="宋体" w:hAnsi="宋体" w:cs="宋体"/>
                <w:color w:val="auto"/>
                <w:kern w:val="0"/>
                <w:sz w:val="24"/>
                <w:lang w:eastAsia="zh-CN"/>
              </w:rPr>
              <w:t>。</w:t>
            </w:r>
            <w:r>
              <w:rPr>
                <w:rFonts w:hint="eastAsia" w:ascii="宋体" w:hAnsi="宋体" w:cs="宋体"/>
                <w:color w:val="auto"/>
                <w:kern w:val="0"/>
                <w:sz w:val="24"/>
              </w:rPr>
              <w:t>支持与VMware vCenter， 新华三CAS、华为 FusionCompute等云平台对接，同步虚拟机相关信息。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提供自动分组功能，可配置分组策略，策略包括不限于主机名、操作系统、IP地址、安全策略、物理机/虚拟机/Docker主机分类等。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支持本地扫描和云扫描，支持实时扫描、预设扫描、手动扫描和快速扫描；如发现特殊情况 （如业务高峰期），可支持终止操作。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支持扫描办公文件、压缩文件等各种类型文件，支持配置扫描类型、文件大小、压缩层级、数量等参数</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支持通过行为监控的方式，如检测可疑活动和未经授权的更改，防止勒索软件感染，并提供针对勒索软件事件专有历史纪录和勒索软件统计的监控组件</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提供多种病毒的处理措施：包括不限于清除、删除、拒绝访问、隔离、不处理等，并针对不同的恶意软件类型，定制处理措施。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支持和外部沙箱实现集成，同步沙箱的检测结果，检测未知威胁并处理</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支持网络访问控制功能，自定义防火墙策略，支持IP、MAC地址、端口，支持协议：TCP、 UDP、 ICMP、ICMPv6 、IGMP、IDP等，支持IPv4、IPv6、ARP、RARP</w:t>
            </w:r>
            <w:r>
              <w:rPr>
                <w:rFonts w:hint="eastAsia" w:ascii="宋体" w:hAnsi="宋体" w:cs="宋体"/>
                <w:color w:val="auto"/>
                <w:kern w:val="0"/>
                <w:sz w:val="24"/>
                <w:lang w:val="en-US" w:eastAsia="zh-CN"/>
              </w:rPr>
              <w:t>等。</w:t>
            </w:r>
            <w:r>
              <w:rPr>
                <w:rFonts w:hint="eastAsia" w:ascii="宋体" w:hAnsi="宋体" w:cs="宋体"/>
                <w:color w:val="auto"/>
                <w:kern w:val="0"/>
                <w:sz w:val="24"/>
              </w:rPr>
              <w:t>（提供界面截图证明或产品彩页证明）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流量检测提供阻止和检测两种工作模式。提供包含不限于允许、拒绝、记录等处理措施</w:t>
            </w:r>
            <w:r>
              <w:rPr>
                <w:rFonts w:hint="eastAsia" w:ascii="宋体" w:hAnsi="宋体" w:cs="宋体"/>
                <w:color w:val="auto"/>
                <w:kern w:val="0"/>
                <w:sz w:val="24"/>
                <w:lang w:eastAsia="zh-CN"/>
              </w:rPr>
              <w:t>；</w:t>
            </w:r>
            <w:r>
              <w:rPr>
                <w:rFonts w:hint="eastAsia" w:ascii="宋体" w:hAnsi="宋体" w:cs="宋体"/>
                <w:color w:val="auto"/>
                <w:kern w:val="0"/>
                <w:sz w:val="24"/>
              </w:rPr>
              <w:t>支持检测扫描器、黑客工具对主机的探测侦察，支持扫描IP的阻断周期设置</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支持NSX安全标签，一旦检测到恶意威胁，可将NSX安全标记应用于受保护的VM，NSX安全标记可与NSX Service Composer一起使用，以自动执行某些任务，例如隔离受感染的VM。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支持网络入侵攻击的防护，包含支持防护SQL注入,Cookie 注入，命令注入，跨站脚本(XSS)，跨站请求伪造(CSRF)，WebShell攻击防护等，内置入侵防御的规则库，支持关联ATT&amp;CK框架的技术ID，便于了解网络入侵技战术点。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通过流量检测技术，实现漏洞利用的攻击防护，支持操作系统、数据库、邮件服务、办公软件、中间件、Web应用、应用等类型的漏洞</w:t>
            </w:r>
            <w:r>
              <w:rPr>
                <w:rFonts w:hint="eastAsia" w:ascii="宋体" w:hAnsi="宋体" w:cs="宋体"/>
                <w:color w:val="auto"/>
                <w:kern w:val="0"/>
                <w:sz w:val="24"/>
                <w:lang w:eastAsia="zh-CN"/>
              </w:rPr>
              <w:t>；</w:t>
            </w:r>
            <w:r>
              <w:rPr>
                <w:rFonts w:hint="eastAsia" w:ascii="宋体" w:hAnsi="宋体" w:cs="宋体"/>
                <w:color w:val="auto"/>
                <w:kern w:val="0"/>
                <w:sz w:val="24"/>
              </w:rPr>
              <w:t>提供操作系统和应用漏洞扫描功能，根据扫描结果自动下发对应的防护规则</w:t>
            </w:r>
            <w:r>
              <w:rPr>
                <w:rFonts w:hint="eastAsia" w:ascii="宋体" w:hAnsi="宋体" w:cs="宋体"/>
                <w:color w:val="auto"/>
                <w:kern w:val="0"/>
                <w:sz w:val="24"/>
                <w:lang w:eastAsia="zh-CN"/>
              </w:rPr>
              <w:t>。</w:t>
            </w:r>
            <w:r>
              <w:rPr>
                <w:rFonts w:hint="eastAsia" w:ascii="宋体" w:hAnsi="宋体" w:cs="宋体"/>
                <w:color w:val="auto"/>
                <w:kern w:val="0"/>
                <w:sz w:val="24"/>
              </w:rPr>
              <w:t>。（提供界面截图证明或产品彩页证明）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支持0Day漏洞暴露后，快速定制入侵防御规则，包括不限于签名、特征码、XML等方式，进行0day的快速防护，同时可支持配置优先级、检测或阻止模式、严重性等</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支持对https流量的识别，支持配置SSL证书及密码进行解密</w:t>
            </w:r>
            <w:r>
              <w:rPr>
                <w:rFonts w:hint="eastAsia" w:ascii="宋体" w:hAnsi="宋体" w:cs="宋体"/>
                <w:color w:val="auto"/>
                <w:kern w:val="0"/>
                <w:sz w:val="24"/>
                <w:lang w:eastAsia="zh-CN"/>
              </w:rPr>
              <w:t>；</w:t>
            </w:r>
            <w:r>
              <w:rPr>
                <w:rFonts w:hint="eastAsia" w:ascii="宋体" w:hAnsi="宋体" w:cs="宋体"/>
                <w:color w:val="auto"/>
                <w:kern w:val="0"/>
                <w:sz w:val="24"/>
              </w:rPr>
              <w:t>支持对恶意流量的报文进行捕获，将 HTTP 流量转化为事件日志，支持溯源及审查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提供原厂工程师安装及其每个季度上门巡检服务，并出具该项目首次安装报告及每个季度巡检服务报告（报告必须覆盖各种威胁排序、针对主机的各种威胁、各种威胁处理方案）</w:t>
            </w:r>
            <w:r>
              <w:rPr>
                <w:rFonts w:hint="eastAsia" w:ascii="宋体" w:hAnsi="宋体" w:cs="宋体"/>
                <w:color w:val="auto"/>
                <w:kern w:val="0"/>
                <w:sz w:val="24"/>
                <w:lang w:eastAsia="zh-CN"/>
              </w:rPr>
              <w:t>；</w:t>
            </w:r>
            <w:r>
              <w:rPr>
                <w:rFonts w:hint="eastAsia" w:ascii="宋体" w:hAnsi="宋体" w:cs="宋体"/>
                <w:color w:val="auto"/>
                <w:kern w:val="0"/>
                <w:sz w:val="24"/>
              </w:rPr>
              <w:t>支持定义报表保密级别，包含不限于绝密、机密、保密、非机密等，支持对生成报表加密</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本期配置不少于40个物理CPU产品升级服务，其中每个物理CPU许可配置功能包括：无代理主机防病毒防护</w:t>
            </w:r>
            <w:r>
              <w:rPr>
                <w:rFonts w:hint="eastAsia" w:ascii="宋体" w:hAnsi="宋体" w:cs="宋体"/>
                <w:color w:val="auto"/>
                <w:kern w:val="0"/>
                <w:sz w:val="24"/>
                <w:lang w:eastAsia="zh-CN"/>
              </w:rPr>
              <w:t>、</w:t>
            </w:r>
            <w:r>
              <w:rPr>
                <w:rFonts w:hint="eastAsia" w:ascii="宋体" w:hAnsi="宋体" w:cs="宋体"/>
                <w:color w:val="auto"/>
                <w:kern w:val="0"/>
                <w:sz w:val="24"/>
              </w:rPr>
              <w:t>主机防火墙</w:t>
            </w:r>
            <w:r>
              <w:rPr>
                <w:rFonts w:hint="eastAsia" w:ascii="宋体" w:hAnsi="宋体" w:cs="宋体"/>
                <w:color w:val="auto"/>
                <w:kern w:val="0"/>
                <w:sz w:val="24"/>
                <w:lang w:eastAsia="zh-CN"/>
              </w:rPr>
              <w:t>、</w:t>
            </w:r>
            <w:r>
              <w:rPr>
                <w:rFonts w:hint="eastAsia" w:ascii="宋体" w:hAnsi="宋体" w:cs="宋体"/>
                <w:color w:val="auto"/>
                <w:kern w:val="0"/>
                <w:sz w:val="24"/>
              </w:rPr>
              <w:t>主机入侵防御</w:t>
            </w:r>
            <w:r>
              <w:rPr>
                <w:rFonts w:hint="eastAsia" w:ascii="宋体" w:hAnsi="宋体" w:cs="宋体"/>
                <w:color w:val="auto"/>
                <w:kern w:val="0"/>
                <w:sz w:val="24"/>
                <w:lang w:eastAsia="zh-CN"/>
              </w:rPr>
              <w:t>；</w:t>
            </w:r>
            <w:r>
              <w:rPr>
                <w:rFonts w:hint="eastAsia" w:ascii="宋体" w:hAnsi="宋体" w:cs="宋体"/>
                <w:color w:val="auto"/>
                <w:kern w:val="0"/>
                <w:sz w:val="24"/>
              </w:rPr>
              <w:t>提供原厂一年免费服务。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restart"/>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2</w:t>
            </w:r>
          </w:p>
        </w:tc>
        <w:tc>
          <w:tcPr>
            <w:tcW w:w="1134" w:type="dxa"/>
            <w:vMerge w:val="restart"/>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客户端安全防护系统</w:t>
            </w:r>
          </w:p>
        </w:tc>
        <w:tc>
          <w:tcPr>
            <w:tcW w:w="7437" w:type="dxa"/>
            <w:vAlign w:val="top"/>
          </w:tcPr>
          <w:p>
            <w:pPr>
              <w:numPr>
                <w:numId w:val="0"/>
              </w:numPr>
              <w:spacing w:line="360" w:lineRule="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w:t>
            </w:r>
            <w:r>
              <w:rPr>
                <w:rFonts w:hint="eastAsia" w:ascii="宋体" w:hAnsi="宋体" w:cs="宋体"/>
                <w:color w:val="auto"/>
                <w:kern w:val="0"/>
                <w:sz w:val="24"/>
              </w:rPr>
              <w:t>支持系统</w:t>
            </w:r>
            <w:r>
              <w:rPr>
                <w:rFonts w:hint="eastAsia" w:ascii="宋体" w:hAnsi="宋体" w:cs="宋体"/>
                <w:color w:val="auto"/>
                <w:kern w:val="0"/>
                <w:sz w:val="24"/>
                <w:lang w:val="en-US" w:eastAsia="zh-CN"/>
              </w:rPr>
              <w:t>包括</w:t>
            </w:r>
            <w:r>
              <w:rPr>
                <w:rFonts w:hint="eastAsia" w:ascii="宋体" w:hAnsi="宋体" w:cs="宋体"/>
                <w:color w:val="auto"/>
                <w:kern w:val="0"/>
                <w:sz w:val="24"/>
              </w:rPr>
              <w:t xml:space="preserve">Windows Embedded POSReady 7 </w:t>
            </w:r>
            <w:r>
              <w:rPr>
                <w:rFonts w:hint="eastAsia" w:ascii="宋体" w:hAnsi="宋体" w:cs="宋体"/>
                <w:color w:val="auto"/>
                <w:kern w:val="0"/>
                <w:sz w:val="24"/>
              </w:rPr>
              <w:br/>
            </w:r>
            <w:r>
              <w:rPr>
                <w:rFonts w:hint="eastAsia" w:ascii="宋体" w:hAnsi="宋体" w:cs="宋体"/>
                <w:color w:val="auto"/>
                <w:kern w:val="0"/>
                <w:sz w:val="24"/>
              </w:rPr>
              <w:t xml:space="preserve"> Windows XP SP3 (32-bit)、SP2 (64-bit)、Embedded Standard SP1/SP2/SP3 </w:t>
            </w:r>
            <w:r>
              <w:rPr>
                <w:rFonts w:hint="eastAsia" w:ascii="宋体" w:hAnsi="宋体" w:cs="宋体"/>
                <w:color w:val="auto"/>
                <w:kern w:val="0"/>
                <w:sz w:val="24"/>
                <w:lang w:eastAsia="zh-CN"/>
              </w:rPr>
              <w:t>、</w:t>
            </w:r>
            <w:r>
              <w:rPr>
                <w:rFonts w:hint="eastAsia" w:ascii="宋体" w:hAnsi="宋体" w:cs="宋体"/>
                <w:color w:val="auto"/>
                <w:kern w:val="0"/>
                <w:sz w:val="24"/>
              </w:rPr>
              <w:t xml:space="preserve"> Windows Vista SP2 </w:t>
            </w:r>
            <w:r>
              <w:rPr>
                <w:rFonts w:hint="eastAsia" w:ascii="宋体" w:hAnsi="宋体" w:cs="宋体"/>
                <w:color w:val="auto"/>
                <w:kern w:val="0"/>
                <w:sz w:val="24"/>
                <w:lang w:eastAsia="zh-CN"/>
              </w:rPr>
              <w:t>、</w:t>
            </w:r>
            <w:r>
              <w:rPr>
                <w:rFonts w:hint="eastAsia" w:ascii="宋体" w:hAnsi="宋体" w:cs="宋体"/>
                <w:color w:val="auto"/>
                <w:kern w:val="0"/>
                <w:sz w:val="24"/>
              </w:rPr>
              <w:t xml:space="preserve"> Windows 7、SP1、Embedded SP1 (32位、64位) </w:t>
            </w:r>
            <w:r>
              <w:rPr>
                <w:rFonts w:hint="eastAsia" w:ascii="宋体" w:hAnsi="宋体" w:cs="宋体"/>
                <w:color w:val="auto"/>
                <w:kern w:val="0"/>
                <w:sz w:val="24"/>
                <w:lang w:eastAsia="zh-CN"/>
              </w:rPr>
              <w:t>、</w:t>
            </w:r>
            <w:r>
              <w:rPr>
                <w:rFonts w:hint="eastAsia" w:ascii="宋体" w:hAnsi="宋体" w:cs="宋体"/>
                <w:color w:val="auto"/>
                <w:kern w:val="0"/>
                <w:sz w:val="24"/>
              </w:rPr>
              <w:t xml:space="preserve"> Windows 8、Embedded </w:t>
            </w:r>
            <w:r>
              <w:rPr>
                <w:rFonts w:hint="eastAsia" w:ascii="宋体" w:hAnsi="宋体" w:cs="宋体"/>
                <w:color w:val="auto"/>
                <w:kern w:val="0"/>
                <w:sz w:val="24"/>
                <w:lang w:eastAsia="zh-CN"/>
              </w:rPr>
              <w:t>、</w:t>
            </w:r>
            <w:r>
              <w:rPr>
                <w:rFonts w:hint="eastAsia" w:ascii="宋体" w:hAnsi="宋体" w:cs="宋体"/>
                <w:color w:val="auto"/>
                <w:kern w:val="0"/>
                <w:sz w:val="24"/>
              </w:rPr>
              <w:t xml:space="preserve"> Windows 8.1、Embedded (32位、64位) </w:t>
            </w:r>
            <w:r>
              <w:rPr>
                <w:rFonts w:hint="eastAsia" w:ascii="宋体" w:hAnsi="宋体" w:cs="宋体"/>
                <w:color w:val="auto"/>
                <w:kern w:val="0"/>
                <w:sz w:val="24"/>
                <w:lang w:eastAsia="zh-CN"/>
              </w:rPr>
              <w:t>、</w:t>
            </w:r>
            <w:r>
              <w:rPr>
                <w:rFonts w:hint="eastAsia" w:ascii="宋体" w:hAnsi="宋体" w:cs="宋体"/>
                <w:color w:val="auto"/>
                <w:kern w:val="0"/>
                <w:sz w:val="24"/>
              </w:rPr>
              <w:t xml:space="preserve"> Windows 10、IoT Embedded (32位、64位) </w:t>
            </w:r>
            <w:r>
              <w:rPr>
                <w:rFonts w:hint="eastAsia" w:ascii="宋体" w:hAnsi="宋体" w:cs="宋体"/>
                <w:color w:val="auto"/>
                <w:kern w:val="0"/>
                <w:sz w:val="24"/>
              </w:rPr>
              <w:br/>
            </w:r>
            <w:r>
              <w:rPr>
                <w:rFonts w:hint="eastAsia" w:ascii="宋体" w:hAnsi="宋体" w:cs="宋体"/>
                <w:color w:val="auto"/>
                <w:kern w:val="0"/>
                <w:sz w:val="24"/>
              </w:rPr>
              <w:t xml:space="preserve"> Windows 11 (32位、64位) </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Windows Serer 2003/2008/2012/2016/2019等。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支持基于程序行为评估其可信度，并阻止未授权更改；可以设置扫描时的CPU使用率，对于运行占用大量CPU资源的应用程序的客户端终端，则防病毒软件可以在文件扫描时暂停以释放CPU资源。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lang w:val="en-US" w:eastAsia="zh-CN"/>
              </w:rPr>
            </w:pPr>
            <w:r>
              <w:rPr>
                <w:rFonts w:hint="eastAsia" w:ascii="宋体" w:hAnsi="宋体" w:cs="宋体"/>
                <w:color w:val="auto"/>
                <w:kern w:val="0"/>
                <w:sz w:val="24"/>
              </w:rPr>
              <w:t>支持多种（不少于五种）扫描引擎，所有防毒引擎必须为自主知识产品非OEM产品；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支持三种以上扫描方式，且每种扫描方式应支持灵活的处理配置策略，包括厂家推荐处理措施、统一处理措施、根据病毒类型（不少于七种病毒类型）定制处理措施；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支持多种处置措施，以保证对于文件多种处理的可选择性，处置措施包含但不限于：清除、隔离、删除、不予处理、拒绝访问；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支持客户端选择云安全扫描和传统病毒码扫描两种运行方式；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支持检测全局可疑站点（C&amp;C)识别，并提供记录或者阻止的处理措施；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支持对插入移动设备内的所有文件进行安全检测；</w:t>
            </w:r>
            <w:r>
              <w:rPr>
                <w:rFonts w:hint="eastAsia" w:ascii="宋体" w:hAnsi="宋体" w:cs="宋体"/>
                <w:color w:val="auto"/>
                <w:kern w:val="0"/>
                <w:sz w:val="24"/>
                <w:lang w:val="en-US" w:eastAsia="zh-CN"/>
              </w:rPr>
              <w:t>支持对U盘的读写权限控制；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支持多种客户端安装方式,包括但不限与：打包安装、MSI安装、浏览器安装、远程安装、登录脚本安装、UNC安装；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支持病毒爆发防御功能。当最新病毒爆发时,可在病毒代码未完成之前自动对企业网络中的病毒传播端口、共享等进行关闭,切断病毒传播途径,预防最新病毒的攻击；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支持CVE漏洞弱点扫描功能，防护经由网页/电子邮件下载文档时被扫描利用；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支持勒索软件防护功能，需阻止勒索软件关联的进程，需具备检测到勒索行为前自动备份和恢复文档的能力；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支持更新代理功能，可将客户端设置为更新代理服务器，指定其他客户端从更新代理服务器更新组件、域策略；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支持客户端并发更新数量的控制功能，可按不同时间段进行更新并发限制；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支持病毒码及扫描引擎还原功能，可将服务端、客户端的病毒码及扫描引擎还原至上一版本；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原厂商/供应商应具备整体联动能力,实现对终端所在操作系统内已知、未知可疑文件的发现、拦截；能够有效防御高级持续威胁（APT）的攻击，通过与威胁发现设备联动机制禁止客户机对命令与控制服务器的外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lang w:val="en-US" w:eastAsia="zh-CN"/>
              </w:rPr>
              <w:t>支持</w:t>
            </w:r>
            <w:r>
              <w:rPr>
                <w:rFonts w:hint="eastAsia" w:ascii="宋体" w:hAnsi="宋体" w:cs="宋体"/>
                <w:color w:val="auto"/>
                <w:kern w:val="0"/>
                <w:sz w:val="24"/>
              </w:rPr>
              <w:t>静态和动态的双重机器学习威胁检测模型，通过分析未知文件CPU操作码和OS系统调用接口的分布特征，判断和拦截未知威胁。（提供界面截图证明或产品彩页证明）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支持病毒爆发防御功能。当最新病毒爆发时,可在病毒代码未完成之前自动对企业网络中的病毒传播端口、共享等进行关闭,切断病毒传播途径,预防最新病毒的攻击；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lang w:val="en-US" w:eastAsia="zh-CN"/>
              </w:rPr>
            </w:pPr>
            <w:r>
              <w:rPr>
                <w:rFonts w:hint="eastAsia" w:ascii="宋体" w:hAnsi="宋体" w:cs="宋体"/>
                <w:color w:val="auto"/>
                <w:kern w:val="0"/>
                <w:sz w:val="24"/>
              </w:rPr>
              <w:t>支持行为监控功能，可以禁止医护终端运行指定软件，可以检测并阻止勒索软件恶意行为，保护医护终端文档资料。（提供界面截图证明或产品彩页证明</w:t>
            </w:r>
            <w:r>
              <w:rPr>
                <w:rFonts w:hint="eastAsia" w:ascii="宋体" w:hAnsi="宋体" w:cs="宋体"/>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6" w:type="dxa"/>
            <w:vMerge w:val="continue"/>
            <w:vAlign w:val="top"/>
          </w:tcPr>
          <w:p>
            <w:pPr>
              <w:numPr>
                <w:numId w:val="0"/>
              </w:numPr>
              <w:spacing w:line="360" w:lineRule="auto"/>
              <w:rPr>
                <w:rFonts w:hint="eastAsia" w:ascii="宋体" w:hAnsi="宋体" w:cs="宋体"/>
                <w:color w:val="auto"/>
                <w:kern w:val="0"/>
                <w:sz w:val="24"/>
              </w:rPr>
            </w:pPr>
          </w:p>
        </w:tc>
        <w:tc>
          <w:tcPr>
            <w:tcW w:w="1134" w:type="dxa"/>
            <w:vMerge w:val="continue"/>
            <w:vAlign w:val="top"/>
          </w:tcPr>
          <w:p>
            <w:pPr>
              <w:numPr>
                <w:numId w:val="0"/>
              </w:numPr>
              <w:spacing w:line="360" w:lineRule="auto"/>
              <w:rPr>
                <w:rFonts w:hint="eastAsia" w:ascii="宋体" w:hAnsi="宋体" w:cs="宋体"/>
                <w:color w:val="auto"/>
                <w:kern w:val="0"/>
                <w:sz w:val="24"/>
              </w:rPr>
            </w:pPr>
          </w:p>
        </w:tc>
        <w:tc>
          <w:tcPr>
            <w:tcW w:w="7437" w:type="dxa"/>
            <w:vAlign w:val="top"/>
          </w:tcPr>
          <w:p>
            <w:pPr>
              <w:numPr>
                <w:numId w:val="0"/>
              </w:numPr>
              <w:spacing w:line="360" w:lineRule="auto"/>
              <w:rPr>
                <w:rFonts w:hint="eastAsia" w:ascii="宋体" w:hAnsi="宋体" w:cs="宋体"/>
                <w:color w:val="auto"/>
                <w:kern w:val="0"/>
                <w:sz w:val="24"/>
                <w:lang w:val="en-US" w:eastAsia="zh-CN"/>
              </w:rPr>
            </w:pPr>
            <w:r>
              <w:rPr>
                <w:rFonts w:hint="eastAsia" w:ascii="宋体" w:hAnsi="宋体" w:cs="宋体"/>
                <w:color w:val="auto"/>
                <w:kern w:val="0"/>
                <w:sz w:val="24"/>
              </w:rPr>
              <w:t>本期配置</w:t>
            </w:r>
            <w:r>
              <w:rPr>
                <w:rFonts w:hint="eastAsia" w:ascii="宋体" w:hAnsi="宋体" w:cs="宋体"/>
                <w:color w:val="auto"/>
                <w:kern w:val="0"/>
                <w:sz w:val="24"/>
                <w:lang w:val="en-US" w:eastAsia="zh-CN"/>
              </w:rPr>
              <w:t>不少于</w:t>
            </w:r>
            <w:r>
              <w:rPr>
                <w:rFonts w:hint="eastAsia" w:ascii="宋体" w:hAnsi="宋体" w:cs="宋体"/>
                <w:color w:val="auto"/>
                <w:kern w:val="0"/>
                <w:sz w:val="24"/>
              </w:rPr>
              <w:t>1501授权许可产品升级服务及新购300点授权许可产品。集中对终端提供防病毒和防间谍软件、防勒索软件保护，免受病毒和恶意代码的侵害，统一管理平台进行管理。</w:t>
            </w:r>
          </w:p>
        </w:tc>
      </w:tr>
    </w:tbl>
    <w:p>
      <w:pPr>
        <w:numPr>
          <w:numId w:val="0"/>
        </w:numPr>
        <w:spacing w:line="360" w:lineRule="auto"/>
        <w:rPr>
          <w:rFonts w:hint="eastAsia" w:ascii="宋体" w:hAnsi="宋体" w:cs="宋体"/>
          <w:color w:val="auto"/>
          <w:kern w:val="0"/>
          <w:sz w:val="24"/>
        </w:rPr>
      </w:pPr>
    </w:p>
    <w:p>
      <w:pPr>
        <w:numPr>
          <w:numId w:val="0"/>
        </w:numPr>
        <w:spacing w:line="360" w:lineRule="auto"/>
        <w:rPr>
          <w:rFonts w:hint="eastAsia" w:ascii="宋体" w:hAnsi="宋体" w:cs="宋体"/>
          <w:color w:val="auto"/>
          <w:kern w:val="0"/>
          <w:sz w:val="24"/>
        </w:rPr>
      </w:pPr>
    </w:p>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其他要求</w:t>
      </w:r>
    </w:p>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lang w:val="en-US" w:eastAsia="zh-CN"/>
        </w:rPr>
        <w:tab/>
      </w:r>
      <w:r>
        <w:rPr>
          <w:rFonts w:hint="eastAsia" w:ascii="宋体" w:hAnsi="宋体" w:cs="宋体"/>
          <w:color w:val="auto"/>
          <w:kern w:val="0"/>
          <w:sz w:val="24"/>
        </w:rPr>
        <w:t>应结合我院实际医疗及管理需要，对系统策略进行客户化配置与修改，</w:t>
      </w:r>
      <w:r>
        <w:rPr>
          <w:rFonts w:hint="eastAsia" w:ascii="宋体" w:hAnsi="宋体" w:cs="宋体"/>
          <w:color w:val="auto"/>
          <w:kern w:val="0"/>
          <w:sz w:val="24"/>
          <w:lang w:val="en-US" w:eastAsia="zh-CN"/>
        </w:rPr>
        <w:t>协助追踪到失陷主机IP号，查找发现未安装安全软件的高危服务器及客户机以排除安全隐患</w:t>
      </w:r>
      <w:r>
        <w:rPr>
          <w:rFonts w:hint="eastAsia" w:ascii="宋体" w:hAnsi="宋体" w:cs="宋体"/>
          <w:color w:val="auto"/>
          <w:kern w:val="0"/>
          <w:sz w:val="24"/>
        </w:rPr>
        <w:t>；</w:t>
      </w:r>
    </w:p>
    <w:p>
      <w:pPr>
        <w:numPr>
          <w:numId w:val="0"/>
        </w:numPr>
        <w:spacing w:line="360" w:lineRule="auto"/>
        <w:rPr>
          <w:rFonts w:hint="eastAsia" w:ascii="宋体" w:hAnsi="宋体" w:cs="宋体"/>
          <w:color w:val="auto"/>
          <w:kern w:val="0"/>
          <w:sz w:val="24"/>
        </w:rPr>
      </w:pPr>
      <w:r>
        <w:rPr>
          <w:rFonts w:hint="eastAsia" w:ascii="宋体" w:hAnsi="宋体" w:cs="宋体"/>
          <w:color w:val="auto"/>
          <w:kern w:val="0"/>
          <w:sz w:val="24"/>
        </w:rPr>
        <w:t>通过对医院客户端安全及服务器深度安全防护系统的软件升级服务，保障各信息系统的稳定运行，并针对信息系统发展及安全态势需要不断完善优化安全策略，进一步提高安全运维工作效率，保障信息系统安全稳定运行，进一步提高医院的信息安全水平。</w:t>
      </w:r>
    </w:p>
    <w:p>
      <w:pPr>
        <w:numPr>
          <w:numId w:val="0"/>
        </w:numPr>
        <w:spacing w:line="360" w:lineRule="auto"/>
        <w:ind w:firstLine="420" w:firstLineChars="0"/>
        <w:rPr>
          <w:rFonts w:hint="eastAsia" w:ascii="宋体" w:hAnsi="宋体" w:cs="宋体"/>
          <w:color w:val="auto"/>
          <w:kern w:val="0"/>
          <w:sz w:val="24"/>
        </w:rPr>
      </w:pPr>
      <w:r>
        <w:rPr>
          <w:rFonts w:hint="eastAsia" w:ascii="宋体" w:hAnsi="宋体" w:cs="宋体"/>
          <w:color w:val="auto"/>
          <w:kern w:val="0"/>
          <w:sz w:val="24"/>
        </w:rPr>
        <w:t>本项目系统需符合《信息安全技术网络安全等级保护基本要求》GB/T22239-2019（三级）要求（下文简称：三级等保2.0），并在三级等保2.0评审中协助完成本系统评审工作。</w:t>
      </w:r>
    </w:p>
    <w:p>
      <w:pPr>
        <w:numPr>
          <w:numId w:val="0"/>
        </w:numPr>
        <w:spacing w:line="360" w:lineRule="auto"/>
        <w:ind w:firstLine="420" w:firstLineChars="0"/>
        <w:rPr>
          <w:rFonts w:hint="eastAsia" w:ascii="宋体" w:hAnsi="宋体" w:cs="宋体"/>
          <w:color w:val="auto"/>
          <w:kern w:val="0"/>
          <w:sz w:val="24"/>
        </w:rPr>
      </w:pPr>
      <w:r>
        <w:rPr>
          <w:rFonts w:hint="eastAsia" w:ascii="宋体" w:hAnsi="宋体" w:cs="宋体"/>
          <w:color w:val="auto"/>
          <w:kern w:val="0"/>
          <w:sz w:val="24"/>
        </w:rPr>
        <w:t>本项目系统安装调试并经验收合格后，应对采购方的相关人员提供关于系统应用时技术和操作方面的培训。相关培训费用应包含在投标总价中。</w:t>
      </w:r>
    </w:p>
    <w:p>
      <w:pPr>
        <w:numPr>
          <w:numId w:val="0"/>
        </w:numPr>
        <w:spacing w:line="360" w:lineRule="auto"/>
        <w:rPr>
          <w:rFonts w:hint="eastAsia" w:ascii="宋体" w:hAnsi="宋体" w:cs="宋体"/>
          <w:color w:val="auto"/>
          <w:kern w:val="0"/>
          <w:sz w:val="24"/>
        </w:rPr>
      </w:pPr>
    </w:p>
    <w:p>
      <w:pPr>
        <w:pStyle w:val="2"/>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等</w:t>
      </w:r>
      <w:r>
        <w:rPr>
          <w:rFonts w:hint="eastAsia" w:ascii="仿宋_GB2312" w:hAnsi="仿宋_GB2312" w:eastAsia="仿宋_GB2312" w:cs="仿宋_GB2312"/>
          <w:color w:val="000000"/>
          <w:kern w:val="0"/>
          <w:sz w:val="32"/>
          <w:szCs w:val="32"/>
        </w:rPr>
        <w:t>。</w:t>
      </w:r>
    </w:p>
    <w:p>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4、提供业绩清单及近3年省内同类项目中标书（若有）</w:t>
      </w:r>
    </w:p>
    <w:p>
      <w:pPr>
        <w:pStyle w:val="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2"/>
        <w:ind w:firstLine="608" w:firstLineChars="200"/>
        <w:rPr>
          <w:rFonts w:ascii="仿宋_GB2312" w:hAnsi="仿宋_GB2312" w:cs="仿宋_GB2312"/>
          <w:sz w:val="32"/>
          <w:szCs w:val="32"/>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7、参加调研会的公司应准备PPT材料（含方案介绍、服务及集成能力、应用案例、报价等）、技术参数等材料，每公司讲解时间30分钟（含答疑10分钟）；同时上述材料须交予院方留档（提供U盘留档）。</w:t>
      </w:r>
      <w:r>
        <w:rPr>
          <w:rFonts w:hint="eastAsia" w:ascii="仿宋_GB2312" w:hAnsi="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ascii="仿宋_GB2312" w:hAnsi="仿宋_GB2312" w:eastAsia="仿宋_GB2312" w:cs="仿宋_GB2312"/>
                <w:bCs/>
                <w:sz w:val="28"/>
                <w:szCs w:val="28"/>
                <w:shd w:val="clear" w:color="auto" w:fill="FFFFFF"/>
              </w:rPr>
              <w:t>1</w:t>
            </w:r>
            <w:r>
              <w:rPr>
                <w:rFonts w:hint="eastAsia" w:ascii="仿宋_GB2312" w:hAnsi="仿宋_GB2312" w:eastAsia="仿宋_GB2312" w:cs="仿宋_GB2312"/>
                <w:bCs/>
                <w:sz w:val="28"/>
                <w:szCs w:val="28"/>
                <w:shd w:val="clear" w:color="auto" w:fill="FFFFFF"/>
              </w:rPr>
              <w:t>-</w:t>
            </w:r>
            <w:r>
              <w:rPr>
                <w:rFonts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2"/>
        <w:rPr>
          <w:rFonts w:ascii="仿宋_GB2312" w:hAnsi="仿宋_GB2312" w:cs="仿宋_GB2312"/>
          <w:bCs/>
          <w:sz w:val="32"/>
          <w:szCs w:val="32"/>
          <w:shd w:val="clear" w:color="auto" w:fill="FFFFFF"/>
        </w:rPr>
      </w:pPr>
    </w:p>
    <w:p>
      <w:pPr>
        <w:pStyle w:val="2"/>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2"/>
        <w:rPr>
          <w:rFonts w:ascii="仿宋_GB2312" w:hAnsi="仿宋_GB2312" w:cs="仿宋_GB2312"/>
          <w:sz w:val="32"/>
          <w:szCs w:val="32"/>
        </w:rPr>
      </w:pPr>
      <w:r>
        <w:rPr>
          <w:rFonts w:hint="eastAsia" w:ascii="仿宋_GB2312" w:hAnsi="仿宋_GB2312" w:cs="仿宋_GB2312"/>
          <w:sz w:val="32"/>
          <w:szCs w:val="32"/>
        </w:rPr>
        <w:t xml:space="preserve">                                           年  月  日</w:t>
      </w:r>
    </w:p>
    <w:p/>
    <w:sectPr>
      <w:headerReference r:id="rId6" w:type="first"/>
      <w:footerReference r:id="rId9" w:type="first"/>
      <w:headerReference r:id="rId4" w:type="default"/>
      <w:footerReference r:id="rId7" w:type="default"/>
      <w:headerReference r:id="rId5" w:type="even"/>
      <w:footerReference r:id="rId8"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rap="around" w:hAnchor="margin" w:vAnchor="text" w:xAlign="center" w:y="1"/>
      <w:ind w:left="481" w:leftChars="229" w:firstLine="360"/>
      <w:jc w:val="center"/>
    </w:pPr>
    <w:r>
      <w:rPr>
        <w:rStyle w:val="22"/>
        <w:rFonts w:hint="eastAsia"/>
      </w:rPr>
      <w:t>第</w:t>
    </w:r>
    <w:r>
      <w:fldChar w:fldCharType="begin"/>
    </w:r>
    <w:r>
      <w:rPr>
        <w:rStyle w:val="22"/>
      </w:rPr>
      <w:instrText xml:space="preserve"> PAGE </w:instrText>
    </w:r>
    <w:r>
      <w:fldChar w:fldCharType="separate"/>
    </w:r>
    <w:r>
      <w:rPr>
        <w:rStyle w:val="22"/>
      </w:rPr>
      <w:t>1</w:t>
    </w:r>
    <w:r>
      <w:fldChar w:fldCharType="end"/>
    </w:r>
    <w:r>
      <w:rPr>
        <w:rStyle w:val="22"/>
        <w:rFonts w:hint="eastAsia"/>
      </w:rPr>
      <w:t>页，共</w:t>
    </w:r>
    <w:r>
      <w:fldChar w:fldCharType="begin"/>
    </w:r>
    <w:r>
      <w:rPr>
        <w:rStyle w:val="22"/>
      </w:rPr>
      <w:instrText xml:space="preserve"> NUMPAGES </w:instrText>
    </w:r>
    <w:r>
      <w:fldChar w:fldCharType="separate"/>
    </w:r>
    <w:r>
      <w:rPr>
        <w:rStyle w:val="22"/>
      </w:rPr>
      <w:t>9</w:t>
    </w:r>
    <w:r>
      <w:fldChar w:fldCharType="end"/>
    </w:r>
    <w:r>
      <w:rPr>
        <w:rStyle w:val="22"/>
        <w:rFonts w:hint="eastAsia"/>
      </w:rPr>
      <w:t>页</w:t>
    </w: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rap="around" w:hAnchor="margin" w:vAnchor="text" w:xAlign="center" w:y="1"/>
      <w:ind w:firstLine="360"/>
      <w:rPr>
        <w:rStyle w:val="22"/>
      </w:rPr>
    </w:pPr>
    <w:r>
      <w:fldChar w:fldCharType="begin"/>
    </w:r>
    <w:r>
      <w:rPr>
        <w:rStyle w:val="22"/>
      </w:rPr>
      <w:instrText xml:space="preserve">PAGE  </w:instrText>
    </w:r>
    <w:r>
      <w:fldChar w:fldCharType="separate"/>
    </w:r>
    <w:r>
      <w:rPr>
        <w:rStyle w:val="22"/>
      </w:rPr>
      <w:t>1</w: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41584812">
    <w:nsid w:val="087069AC"/>
    <w:multiLevelType w:val="multilevel"/>
    <w:tmpl w:val="087069AC"/>
    <w:lvl w:ilvl="0" w:tentative="1">
      <w:start w:val="1"/>
      <w:numFmt w:val="decimal"/>
      <w:pStyle w:val="3"/>
      <w:lvlText w:val="%1."/>
      <w:lvlJc w:val="left"/>
      <w:pPr>
        <w:ind w:left="420" w:hanging="420"/>
      </w:pPr>
      <w:rPr>
        <w:rFonts w:hint="eastAsia"/>
      </w:rPr>
    </w:lvl>
    <w:lvl w:ilvl="1" w:tentative="1">
      <w:start w:val="1"/>
      <w:numFmt w:val="decimal"/>
      <w:pStyle w:val="4"/>
      <w:lvlText w:val="%1.%2"/>
      <w:lvlJc w:val="left"/>
      <w:pPr>
        <w:ind w:left="992" w:hanging="567"/>
      </w:pPr>
      <w:rPr>
        <w:rFonts w:hint="eastAsia"/>
      </w:rPr>
    </w:lvl>
    <w:lvl w:ilvl="2" w:tentative="1">
      <w:start w:val="1"/>
      <w:numFmt w:val="decimal"/>
      <w:pStyle w:val="5"/>
      <w:lvlText w:val="%1.%2.%3"/>
      <w:lvlJc w:val="left"/>
      <w:pPr>
        <w:ind w:left="1418" w:hanging="567"/>
      </w:pPr>
      <w:rPr>
        <w:rFonts w:hint="eastAsia"/>
      </w:rPr>
    </w:lvl>
    <w:lvl w:ilvl="3" w:tentative="1">
      <w:start w:val="1"/>
      <w:numFmt w:val="decimal"/>
      <w:pStyle w:val="6"/>
      <w:lvlText w:val="%1.%2.%3.%4"/>
      <w:lvlJc w:val="left"/>
      <w:pPr>
        <w:ind w:left="1984" w:hanging="708"/>
      </w:pPr>
      <w:rPr>
        <w:rFonts w:hint="eastAsia"/>
      </w:rPr>
    </w:lvl>
    <w:lvl w:ilvl="4" w:tentative="1">
      <w:start w:val="1"/>
      <w:numFmt w:val="decimal"/>
      <w:pStyle w:val="7"/>
      <w:lvlText w:val="%1.%2.%3.%4.%5"/>
      <w:lvlJc w:val="left"/>
      <w:pPr>
        <w:ind w:left="2551" w:hanging="850"/>
      </w:pPr>
      <w:rPr>
        <w:rFonts w:hint="eastAsia"/>
      </w:rPr>
    </w:lvl>
    <w:lvl w:ilvl="5" w:tentative="1">
      <w:start w:val="1"/>
      <w:numFmt w:val="decimal"/>
      <w:pStyle w:val="8"/>
      <w:lvlText w:val="%1.%2.%3.%4.%5.%6"/>
      <w:lvlJc w:val="left"/>
      <w:pPr>
        <w:ind w:left="3260" w:hanging="1134"/>
      </w:pPr>
      <w:rPr>
        <w:rFonts w:hint="eastAsia"/>
      </w:rPr>
    </w:lvl>
    <w:lvl w:ilvl="6" w:tentative="1">
      <w:start w:val="1"/>
      <w:numFmt w:val="decimal"/>
      <w:pStyle w:val="9"/>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num w:numId="1">
    <w:abstractNumId w:val="141584812"/>
  </w:num>
  <w:num w:numId="2">
    <w:abstractNumId w:val="1398085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TJiODZjNWVhNjdlZTJhNTM4ZTYyNDFmODhlYjRkNDA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pageBreakBefore/>
      <w:numPr>
        <w:ilvl w:val="0"/>
        <w:numId w:val="1"/>
      </w:numPr>
      <w:tabs>
        <w:tab w:val="left" w:pos="432"/>
      </w:tabs>
      <w:spacing w:line="360" w:lineRule="auto"/>
      <w:jc w:val="center"/>
      <w:outlineLvl w:val="0"/>
    </w:pPr>
    <w:rPr>
      <w:rFonts w:ascii="仿宋_GB2312" w:hAnsi="仿宋_GB2312"/>
      <w:b/>
      <w:bCs/>
      <w:iCs/>
      <w:color w:val="000000"/>
      <w:sz w:val="30"/>
    </w:rPr>
  </w:style>
  <w:style w:type="paragraph" w:styleId="4">
    <w:name w:val="heading 2"/>
    <w:basedOn w:val="1"/>
    <w:next w:val="1"/>
    <w:link w:val="34"/>
    <w:qFormat/>
    <w:uiPriority w:val="9"/>
    <w:pPr>
      <w:keepNext/>
      <w:keepLines/>
      <w:numPr>
        <w:ilvl w:val="1"/>
        <w:numId w:val="1"/>
      </w:numPr>
      <w:tabs>
        <w:tab w:val="left" w:pos="425"/>
      </w:tabs>
      <w:spacing w:line="360" w:lineRule="auto"/>
      <w:outlineLvl w:val="1"/>
    </w:pPr>
    <w:rPr>
      <w:rFonts w:ascii="Arial" w:hAnsi="Arial" w:cs="黑体"/>
      <w:b/>
      <w:sz w:val="28"/>
    </w:rPr>
  </w:style>
  <w:style w:type="paragraph" w:styleId="5">
    <w:name w:val="heading 3"/>
    <w:basedOn w:val="1"/>
    <w:next w:val="1"/>
    <w:link w:val="36"/>
    <w:qFormat/>
    <w:uiPriority w:val="9"/>
    <w:pPr>
      <w:keepNext/>
      <w:keepLines/>
      <w:numPr>
        <w:ilvl w:val="2"/>
        <w:numId w:val="1"/>
      </w:numPr>
      <w:tabs>
        <w:tab w:val="left" w:pos="720"/>
      </w:tabs>
      <w:spacing w:before="260" w:after="260" w:line="360" w:lineRule="auto"/>
      <w:outlineLvl w:val="2"/>
    </w:pPr>
    <w:rPr>
      <w:bCs/>
      <w:sz w:val="24"/>
    </w:rPr>
  </w:style>
  <w:style w:type="paragraph" w:styleId="6">
    <w:name w:val="heading 4"/>
    <w:basedOn w:val="1"/>
    <w:next w:val="1"/>
    <w:link w:val="37"/>
    <w:qFormat/>
    <w:uiPriority w:val="9"/>
    <w:pPr>
      <w:keepNext/>
      <w:keepLines/>
      <w:numPr>
        <w:ilvl w:val="3"/>
        <w:numId w:val="1"/>
      </w:numPr>
      <w:tabs>
        <w:tab w:val="left" w:pos="864"/>
      </w:tabs>
      <w:spacing w:before="280" w:after="290" w:line="360" w:lineRule="auto"/>
      <w:outlineLvl w:val="3"/>
    </w:pPr>
    <w:rPr>
      <w:rFonts w:ascii="Arial" w:hAnsi="Arial" w:eastAsia="黑体"/>
      <w:b/>
    </w:rPr>
  </w:style>
  <w:style w:type="paragraph" w:styleId="7">
    <w:name w:val="heading 5"/>
    <w:basedOn w:val="1"/>
    <w:next w:val="1"/>
    <w:link w:val="38"/>
    <w:qFormat/>
    <w:uiPriority w:val="9"/>
    <w:pPr>
      <w:keepNext/>
      <w:keepLines/>
      <w:numPr>
        <w:ilvl w:val="4"/>
        <w:numId w:val="1"/>
      </w:numPr>
      <w:tabs>
        <w:tab w:val="left" w:pos="1008"/>
      </w:tabs>
      <w:spacing w:before="280" w:after="290" w:line="372" w:lineRule="auto"/>
      <w:outlineLvl w:val="4"/>
    </w:pPr>
    <w:rPr>
      <w:b/>
    </w:rPr>
  </w:style>
  <w:style w:type="paragraph" w:styleId="8">
    <w:name w:val="heading 6"/>
    <w:basedOn w:val="1"/>
    <w:next w:val="1"/>
    <w:link w:val="39"/>
    <w:qFormat/>
    <w:uiPriority w:val="9"/>
    <w:pPr>
      <w:keepNext/>
      <w:keepLines/>
      <w:numPr>
        <w:ilvl w:val="5"/>
        <w:numId w:val="1"/>
      </w:numPr>
      <w:tabs>
        <w:tab w:val="left" w:pos="1151"/>
      </w:tabs>
      <w:spacing w:before="240" w:after="64" w:line="317" w:lineRule="auto"/>
      <w:outlineLvl w:val="5"/>
    </w:pPr>
    <w:rPr>
      <w:rFonts w:ascii="Arial" w:hAnsi="Arial" w:eastAsia="黑体"/>
      <w:b/>
    </w:rPr>
  </w:style>
  <w:style w:type="paragraph" w:styleId="9">
    <w:name w:val="heading 7"/>
    <w:basedOn w:val="1"/>
    <w:next w:val="1"/>
    <w:link w:val="40"/>
    <w:qFormat/>
    <w:uiPriority w:val="9"/>
    <w:pPr>
      <w:keepNext/>
      <w:keepLines/>
      <w:numPr>
        <w:ilvl w:val="6"/>
        <w:numId w:val="1"/>
      </w:numPr>
      <w:tabs>
        <w:tab w:val="left" w:pos="1296"/>
      </w:tabs>
      <w:spacing w:before="240" w:after="64" w:line="317" w:lineRule="auto"/>
      <w:outlineLvl w:val="6"/>
    </w:pPr>
    <w:rPr>
      <w:b/>
      <w:sz w:val="24"/>
    </w:rPr>
  </w:style>
  <w:style w:type="paragraph" w:styleId="10">
    <w:name w:val="heading 8"/>
    <w:basedOn w:val="1"/>
    <w:next w:val="1"/>
    <w:link w:val="41"/>
    <w:qFormat/>
    <w:uiPriority w:val="9"/>
    <w:pPr>
      <w:keepNext/>
      <w:keepLines/>
      <w:tabs>
        <w:tab w:val="left" w:pos="1440"/>
      </w:tabs>
      <w:spacing w:before="240" w:after="64" w:line="317" w:lineRule="auto"/>
      <w:ind w:left="4394" w:hanging="1418"/>
      <w:outlineLvl w:val="7"/>
    </w:pPr>
    <w:rPr>
      <w:rFonts w:ascii="Arial" w:hAnsi="Arial" w:eastAsia="黑体"/>
      <w:sz w:val="24"/>
    </w:rPr>
  </w:style>
  <w:style w:type="paragraph" w:styleId="11">
    <w:name w:val="heading 9"/>
    <w:basedOn w:val="1"/>
    <w:next w:val="1"/>
    <w:link w:val="42"/>
    <w:qFormat/>
    <w:uiPriority w:val="9"/>
    <w:pPr>
      <w:keepNext/>
      <w:keepLines/>
      <w:tabs>
        <w:tab w:val="left" w:pos="1583"/>
      </w:tabs>
      <w:spacing w:before="240" w:after="64" w:line="317" w:lineRule="auto"/>
      <w:ind w:left="5102" w:hanging="1700"/>
      <w:outlineLvl w:val="8"/>
    </w:pPr>
    <w:rPr>
      <w:rFonts w:ascii="Arial" w:hAnsi="Arial" w:eastAsia="黑体"/>
    </w:rPr>
  </w:style>
  <w:style w:type="character" w:default="1" w:styleId="21">
    <w:name w:val="Default Paragraph Font"/>
    <w:semiHidden/>
    <w:unhideWhenUsed/>
    <w:qFormat/>
    <w:uiPriority w:val="1"/>
  </w:style>
  <w:style w:type="paragraph" w:customStyle="1" w:styleId="2">
    <w:name w:val="Fließtext"/>
    <w:basedOn w:val="1"/>
    <w:qFormat/>
    <w:uiPriority w:val="0"/>
    <w:pPr>
      <w:overflowPunct w:val="0"/>
      <w:autoSpaceDE w:val="0"/>
      <w:autoSpaceDN w:val="0"/>
      <w:adjustRightInd w:val="0"/>
      <w:textAlignment w:val="baseline"/>
    </w:pPr>
    <w:rPr>
      <w:rFonts w:ascii="Calibri" w:hAnsi="Calibri" w:eastAsia="仿宋_GB2312" w:cs="黑体"/>
      <w:kern w:val="28"/>
      <w:sz w:val="24"/>
      <w:szCs w:val="20"/>
    </w:rPr>
  </w:style>
  <w:style w:type="paragraph" w:styleId="12">
    <w:name w:val="caption"/>
    <w:basedOn w:val="1"/>
    <w:next w:val="1"/>
    <w:qFormat/>
    <w:uiPriority w:val="35"/>
    <w:pPr>
      <w:tabs>
        <w:tab w:val="left" w:pos="500"/>
      </w:tabs>
      <w:spacing w:before="120" w:after="120"/>
      <w:jc w:val="center"/>
    </w:pPr>
    <w:rPr>
      <w:rFonts w:eastAsia="黑体" w:cs="Arial"/>
    </w:rPr>
  </w:style>
  <w:style w:type="paragraph" w:styleId="13">
    <w:name w:val="Body Text"/>
    <w:basedOn w:val="1"/>
    <w:link w:val="47"/>
    <w:semiHidden/>
    <w:unhideWhenUsed/>
    <w:qFormat/>
    <w:uiPriority w:val="99"/>
    <w:pPr>
      <w:spacing w:after="120"/>
    </w:pPr>
  </w:style>
  <w:style w:type="paragraph" w:styleId="14">
    <w:name w:val="Body Text Indent"/>
    <w:basedOn w:val="1"/>
    <w:link w:val="43"/>
    <w:qFormat/>
    <w:uiPriority w:val="0"/>
    <w:pPr>
      <w:spacing w:before="100" w:beforeAutospacing="1" w:after="120" w:afterAutospacing="1" w:line="360" w:lineRule="auto"/>
      <w:ind w:left="420" w:leftChars="200" w:firstLine="200" w:firstLineChars="200"/>
    </w:pPr>
    <w:rPr>
      <w:sz w:val="24"/>
    </w:rPr>
  </w:style>
  <w:style w:type="paragraph" w:styleId="15">
    <w:name w:val="toc 3"/>
    <w:basedOn w:val="1"/>
    <w:next w:val="1"/>
    <w:semiHidden/>
    <w:unhideWhenUsed/>
    <w:qFormat/>
    <w:uiPriority w:val="39"/>
    <w:pPr>
      <w:ind w:left="840" w:leftChars="400"/>
    </w:pPr>
  </w:style>
  <w:style w:type="paragraph" w:styleId="16">
    <w:name w:val="footer"/>
    <w:basedOn w:val="1"/>
    <w:link w:val="33"/>
    <w:unhideWhenUsed/>
    <w:qFormat/>
    <w:uiPriority w:val="0"/>
    <w:pPr>
      <w:tabs>
        <w:tab w:val="center" w:pos="4153"/>
        <w:tab w:val="right" w:pos="8306"/>
      </w:tabs>
      <w:snapToGrid w:val="0"/>
    </w:pPr>
    <w:rPr>
      <w:sz w:val="18"/>
      <w:szCs w:val="18"/>
    </w:rPr>
  </w:style>
  <w:style w:type="paragraph" w:styleId="17">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pPr>
      <w:tabs>
        <w:tab w:val="left" w:pos="420"/>
        <w:tab w:val="right" w:leader="dot" w:pos="10456"/>
      </w:tabs>
    </w:pPr>
  </w:style>
  <w:style w:type="paragraph" w:styleId="19">
    <w:name w:val="toc 2"/>
    <w:basedOn w:val="1"/>
    <w:next w:val="1"/>
    <w:semiHidden/>
    <w:unhideWhenUsed/>
    <w:qFormat/>
    <w:uiPriority w:val="39"/>
    <w:pPr>
      <w:ind w:left="420" w:leftChars="200"/>
    </w:pPr>
  </w:style>
  <w:style w:type="paragraph" w:styleId="20">
    <w:name w:val="Normal (Web)"/>
    <w:basedOn w:val="1"/>
    <w:qFormat/>
    <w:uiPriority w:val="0"/>
    <w:pPr>
      <w:spacing w:line="336" w:lineRule="auto"/>
      <w:jc w:val="left"/>
    </w:pPr>
    <w:rPr>
      <w:rFonts w:ascii="宋体" w:hAnsi="宋体" w:cs="黑体"/>
      <w:kern w:val="0"/>
      <w:sz w:val="24"/>
    </w:rPr>
  </w:style>
  <w:style w:type="character" w:styleId="22">
    <w:name w:val="page number"/>
    <w:basedOn w:val="21"/>
    <w:qFormat/>
    <w:uiPriority w:val="0"/>
    <w:rPr/>
  </w:style>
  <w:style w:type="character" w:styleId="23">
    <w:name w:val="Emphasis"/>
    <w:basedOn w:val="21"/>
    <w:qFormat/>
    <w:uiPriority w:val="20"/>
    <w:rPr>
      <w:rFonts w:ascii="黑体" w:eastAsia="黑体"/>
      <w:b/>
      <w:sz w:val="21"/>
      <w:szCs w:val="20"/>
    </w:rPr>
  </w:style>
  <w:style w:type="character" w:styleId="24">
    <w:name w:val="Hyperlink"/>
    <w:qFormat/>
    <w:uiPriority w:val="0"/>
    <w:rPr>
      <w:color w:val="0000FF"/>
      <w:u w:val="single"/>
    </w:rPr>
  </w:style>
  <w:style w:type="paragraph" w:customStyle="1" w:styleId="25">
    <w:name w:val="List Paragraph"/>
    <w:basedOn w:val="1"/>
    <w:qFormat/>
    <w:uiPriority w:val="34"/>
    <w:pPr>
      <w:ind w:firstLine="420" w:firstLineChars="200"/>
    </w:pPr>
    <w:rPr>
      <w:rFonts w:ascii="Calibri" w:hAnsi="Calibri"/>
      <w:szCs w:val="22"/>
    </w:rPr>
  </w:style>
  <w:style w:type="paragraph" w:customStyle="1" w:styleId="26">
    <w:name w:val="SANGFOR_6_正文"/>
    <w:basedOn w:val="1"/>
    <w:qFormat/>
    <w:uiPriority w:val="0"/>
    <w:pPr>
      <w:tabs>
        <w:tab w:val="left" w:pos="2240"/>
      </w:tabs>
      <w:spacing w:line="360" w:lineRule="auto"/>
      <w:ind w:firstLine="480" w:firstLineChars="200"/>
    </w:pPr>
    <w:rPr>
      <w:bCs/>
      <w:sz w:val="24"/>
    </w:rPr>
  </w:style>
  <w:style w:type="paragraph" w:customStyle="1" w:styleId="27">
    <w:name w:val="正文1"/>
    <w:basedOn w:val="1"/>
    <w:qFormat/>
    <w:uiPriority w:val="0"/>
    <w:pPr>
      <w:spacing w:before="120" w:after="120" w:line="360" w:lineRule="auto"/>
      <w:ind w:firstLine="425"/>
    </w:pPr>
    <w:rPr>
      <w:rFonts w:ascii="宋体" w:hAnsi="宋体" w:cs="宋体"/>
      <w:szCs w:val="22"/>
    </w:rPr>
  </w:style>
  <w:style w:type="paragraph" w:customStyle="1" w:styleId="28">
    <w:name w:val="No Spacing"/>
    <w:qFormat/>
    <w:uiPriority w:val="1"/>
    <w:pPr>
      <w:widowControl w:val="0"/>
      <w:jc w:val="both"/>
    </w:pPr>
    <w:rPr>
      <w:rFonts w:ascii="Times New Roman" w:hAnsi="Times New Roman" w:eastAsia="宋体" w:cs="Times New Roman"/>
      <w:kern w:val="2"/>
      <w:sz w:val="22"/>
      <w:szCs w:val="24"/>
      <w:lang w:val="en-US" w:eastAsia="zh-CN" w:bidi="ar-SA"/>
    </w:rPr>
  </w:style>
  <w:style w:type="paragraph" w:customStyle="1" w:styleId="29">
    <w:name w:val="TOC Heading"/>
    <w:basedOn w:val="3"/>
    <w:next w:val="1"/>
    <w:qFormat/>
    <w:uiPriority w:val="39"/>
    <w:pPr>
      <w:keepLines/>
      <w:widowControl/>
      <w:numPr>
        <w:ilvl w:val="0"/>
        <w:numId w:val="0"/>
      </w:numPr>
      <w:spacing w:before="480" w:line="276" w:lineRule="auto"/>
      <w:jc w:val="left"/>
      <w:outlineLvl w:val="9"/>
    </w:pPr>
    <w:rPr>
      <w:rFonts w:ascii="Cambria" w:hAnsi="Cambria"/>
      <w:iCs w:val="0"/>
      <w:color w:val="365F91"/>
      <w:kern w:val="0"/>
      <w:sz w:val="28"/>
      <w:szCs w:val="28"/>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null3"/>
    <w:hidden/>
    <w:qFormat/>
    <w:uiPriority w:val="0"/>
    <w:rPr>
      <w:rFonts w:hint="eastAsia" w:ascii="Calibri" w:hAnsi="Calibri" w:eastAsia="宋体" w:cs="黑体"/>
      <w:lang w:val="en-US" w:bidi="ar-SA"/>
    </w:rPr>
  </w:style>
  <w:style w:type="character" w:customStyle="1" w:styleId="32">
    <w:name w:val="页眉 字符"/>
    <w:basedOn w:val="21"/>
    <w:link w:val="17"/>
    <w:qFormat/>
    <w:uiPriority w:val="99"/>
    <w:rPr>
      <w:sz w:val="18"/>
      <w:szCs w:val="18"/>
    </w:rPr>
  </w:style>
  <w:style w:type="character" w:customStyle="1" w:styleId="33">
    <w:name w:val="页脚 字符"/>
    <w:basedOn w:val="21"/>
    <w:link w:val="16"/>
    <w:qFormat/>
    <w:uiPriority w:val="99"/>
    <w:rPr>
      <w:sz w:val="18"/>
      <w:szCs w:val="18"/>
    </w:rPr>
  </w:style>
  <w:style w:type="character" w:customStyle="1" w:styleId="34">
    <w:name w:val="标题 2 字符"/>
    <w:link w:val="4"/>
    <w:qFormat/>
    <w:uiPriority w:val="9"/>
    <w:rPr>
      <w:rFonts w:ascii="Arial" w:hAnsi="Arial" w:cs="黑体"/>
      <w:b/>
      <w:kern w:val="2"/>
      <w:sz w:val="28"/>
      <w:szCs w:val="24"/>
    </w:rPr>
  </w:style>
  <w:style w:type="character" w:customStyle="1" w:styleId="35">
    <w:name w:val="标题 1 字符"/>
    <w:link w:val="3"/>
    <w:qFormat/>
    <w:uiPriority w:val="9"/>
    <w:rPr>
      <w:rFonts w:ascii="仿宋_GB2312" w:hAnsi="仿宋_GB2312"/>
      <w:b/>
      <w:bCs/>
      <w:iCs/>
      <w:color w:val="000000"/>
      <w:kern w:val="2"/>
      <w:sz w:val="30"/>
      <w:szCs w:val="24"/>
    </w:rPr>
  </w:style>
  <w:style w:type="character" w:customStyle="1" w:styleId="36">
    <w:name w:val="标题 3 字符"/>
    <w:link w:val="5"/>
    <w:qFormat/>
    <w:uiPriority w:val="9"/>
    <w:rPr>
      <w:bCs/>
      <w:kern w:val="2"/>
      <w:sz w:val="24"/>
      <w:szCs w:val="24"/>
    </w:rPr>
  </w:style>
  <w:style w:type="character" w:customStyle="1" w:styleId="37">
    <w:name w:val="标题 4 字符"/>
    <w:link w:val="6"/>
    <w:qFormat/>
    <w:uiPriority w:val="9"/>
    <w:rPr>
      <w:rFonts w:ascii="Arial" w:hAnsi="Arial" w:eastAsia="黑体"/>
      <w:b/>
      <w:kern w:val="2"/>
      <w:sz w:val="21"/>
      <w:szCs w:val="24"/>
    </w:rPr>
  </w:style>
  <w:style w:type="character" w:customStyle="1" w:styleId="38">
    <w:name w:val="标题 5 字符"/>
    <w:basedOn w:val="21"/>
    <w:link w:val="7"/>
    <w:qFormat/>
    <w:uiPriority w:val="9"/>
    <w:rPr>
      <w:b/>
      <w:kern w:val="2"/>
      <w:sz w:val="21"/>
      <w:szCs w:val="24"/>
    </w:rPr>
  </w:style>
  <w:style w:type="character" w:customStyle="1" w:styleId="39">
    <w:name w:val="标题 6 字符"/>
    <w:basedOn w:val="21"/>
    <w:link w:val="8"/>
    <w:qFormat/>
    <w:uiPriority w:val="9"/>
    <w:rPr>
      <w:rFonts w:ascii="Arial" w:hAnsi="Arial" w:eastAsia="黑体"/>
      <w:b/>
      <w:kern w:val="2"/>
      <w:sz w:val="21"/>
      <w:szCs w:val="24"/>
    </w:rPr>
  </w:style>
  <w:style w:type="character" w:customStyle="1" w:styleId="40">
    <w:name w:val="标题 7 字符"/>
    <w:basedOn w:val="21"/>
    <w:link w:val="9"/>
    <w:qFormat/>
    <w:uiPriority w:val="9"/>
    <w:rPr>
      <w:b/>
      <w:kern w:val="2"/>
      <w:sz w:val="24"/>
      <w:szCs w:val="24"/>
    </w:rPr>
  </w:style>
  <w:style w:type="character" w:customStyle="1" w:styleId="41">
    <w:name w:val="标题 8 字符"/>
    <w:basedOn w:val="21"/>
    <w:link w:val="10"/>
    <w:qFormat/>
    <w:uiPriority w:val="9"/>
    <w:rPr>
      <w:rFonts w:ascii="Arial" w:hAnsi="Arial" w:eastAsia="黑体"/>
      <w:kern w:val="2"/>
      <w:sz w:val="24"/>
      <w:szCs w:val="24"/>
    </w:rPr>
  </w:style>
  <w:style w:type="character" w:customStyle="1" w:styleId="42">
    <w:name w:val="标题 9 字符"/>
    <w:basedOn w:val="21"/>
    <w:link w:val="11"/>
    <w:qFormat/>
    <w:uiPriority w:val="9"/>
    <w:rPr>
      <w:rFonts w:ascii="Arial" w:hAnsi="Arial" w:eastAsia="黑体"/>
      <w:kern w:val="2"/>
      <w:sz w:val="21"/>
      <w:szCs w:val="24"/>
    </w:rPr>
  </w:style>
  <w:style w:type="character" w:customStyle="1" w:styleId="43">
    <w:name w:val="正文文本缩进 字符1"/>
    <w:link w:val="14"/>
    <w:qFormat/>
    <w:uiPriority w:val="0"/>
    <w:rPr>
      <w:kern w:val="2"/>
      <w:sz w:val="24"/>
      <w:szCs w:val="24"/>
    </w:rPr>
  </w:style>
  <w:style w:type="character" w:customStyle="1" w:styleId="44">
    <w:name w:val="页脚 Char"/>
    <w:qFormat/>
    <w:uiPriority w:val="0"/>
    <w:rPr>
      <w:kern w:val="2"/>
      <w:sz w:val="18"/>
      <w:szCs w:val="18"/>
    </w:rPr>
  </w:style>
  <w:style w:type="character" w:customStyle="1" w:styleId="45">
    <w:name w:val="页眉 Char"/>
    <w:qFormat/>
    <w:uiPriority w:val="0"/>
    <w:rPr>
      <w:kern w:val="2"/>
      <w:sz w:val="18"/>
      <w:szCs w:val="18"/>
    </w:rPr>
  </w:style>
  <w:style w:type="character" w:customStyle="1" w:styleId="46">
    <w:name w:val="正文文本缩进 字符"/>
    <w:basedOn w:val="21"/>
    <w:semiHidden/>
    <w:qFormat/>
    <w:uiPriority w:val="99"/>
    <w:rPr>
      <w:kern w:val="2"/>
      <w:sz w:val="21"/>
      <w:szCs w:val="24"/>
    </w:rPr>
  </w:style>
  <w:style w:type="character" w:customStyle="1" w:styleId="47">
    <w:name w:val="正文文本 字符"/>
    <w:basedOn w:val="21"/>
    <w:link w:val="13"/>
    <w:semiHidden/>
    <w:qFormat/>
    <w:uiPriority w:val="99"/>
    <w:rPr>
      <w:kern w:val="2"/>
      <w:sz w:val="21"/>
      <w:szCs w:val="24"/>
    </w:rPr>
  </w:style>
  <w:style w:type="character" w:customStyle="1" w:styleId="48">
    <w:name w:val="font101"/>
    <w:basedOn w:val="21"/>
    <w:qFormat/>
    <w:uiPriority w:val="0"/>
    <w:rPr>
      <w:rFonts w:hint="eastAsia" w:ascii="宋体" w:hAnsi="宋体" w:eastAsia="宋体" w:cs="宋体"/>
      <w:color w:val="FF0000"/>
      <w:sz w:val="25"/>
      <w:szCs w:val="25"/>
      <w:u w:val="none"/>
    </w:rPr>
  </w:style>
  <w:style w:type="character" w:customStyle="1" w:styleId="49">
    <w:name w:val="font91"/>
    <w:basedOn w:val="21"/>
    <w:qFormat/>
    <w:uiPriority w:val="0"/>
    <w:rPr>
      <w:rFonts w:hint="default" w:ascii="Calibri" w:hAnsi="Calibri" w:cs="Calibri"/>
      <w:color w:val="FF0000"/>
      <w:sz w:val="25"/>
      <w:szCs w:val="25"/>
      <w:u w:val="none"/>
    </w:rPr>
  </w:style>
  <w:style w:type="character" w:customStyle="1" w:styleId="50">
    <w:name w:val="font01"/>
    <w:basedOn w:val="21"/>
    <w:qFormat/>
    <w:uiPriority w:val="0"/>
    <w:rPr>
      <w:rFonts w:hint="default" w:ascii="Calibri" w:hAnsi="Calibri" w:cs="Calibri"/>
      <w:color w:val="000000"/>
      <w:sz w:val="25"/>
      <w:szCs w:val="25"/>
      <w:u w:val="none"/>
    </w:rPr>
  </w:style>
  <w:style w:type="character" w:customStyle="1" w:styleId="51">
    <w:name w:val="font61"/>
    <w:basedOn w:val="21"/>
    <w:qFormat/>
    <w:uiPriority w:val="0"/>
    <w:rPr>
      <w:rFonts w:hint="eastAsia" w:ascii="宋体" w:hAnsi="宋体" w:eastAsia="宋体" w:cs="宋体"/>
      <w:color w:val="000000"/>
      <w:sz w:val="25"/>
      <w:szCs w:val="25"/>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3681</Words>
  <Characters>4271</Characters>
  <Lines>27</Lines>
  <Paragraphs>7</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2016-11-03T10:32:00Z</dcterms:created>
  <dc:creator>admin</dc:creator>
  <cp:lastModifiedBy>Admin</cp:lastModifiedBy>
  <dcterms:modified xsi:type="dcterms:W3CDTF">2023-08-17T06:12:20Z</dcterms:modified>
  <dc:title>福建省肿瘤医院采购调研公告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8229CD1A4F1C4E7A95C1134EDD585950_13</vt:lpwstr>
  </property>
</Properties>
</file>