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8"/>
        <w:adjustRightInd w:val="0"/>
        <w:snapToGrid w:val="0"/>
        <w:spacing w:line="590" w:lineRule="exact"/>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lang w:val="en-US" w:eastAsia="zh-CN"/>
        </w:rPr>
        <w:t>福建省肿瘤医院感染实时监控系统维保</w:t>
      </w:r>
      <w:r>
        <w:rPr>
          <w:rFonts w:hint="eastAsia" w:ascii="方正小标宋简体" w:hAnsi="方正小标宋简体" w:eastAsia="方正小标宋简体" w:cs="方正小标宋简体"/>
          <w:b w:val="0"/>
          <w:bCs/>
          <w:color w:val="auto"/>
          <w:sz w:val="44"/>
          <w:szCs w:val="44"/>
          <w:highlight w:val="none"/>
        </w:rPr>
        <w:t>项目</w:t>
      </w:r>
      <w:r>
        <w:rPr>
          <w:rFonts w:hint="eastAsia" w:ascii="方正小标宋简体" w:hAnsi="方正小标宋简体" w:eastAsia="方正小标宋简体" w:cs="方正小标宋简体"/>
          <w:b w:val="0"/>
          <w:bCs/>
          <w:color w:val="auto"/>
          <w:sz w:val="44"/>
          <w:szCs w:val="44"/>
          <w:highlight w:val="none"/>
          <w:lang w:val="en-US" w:eastAsia="zh-CN"/>
        </w:rPr>
        <w:t>采购公告</w:t>
      </w:r>
    </w:p>
    <w:p>
      <w:pPr>
        <w:pStyle w:val="14"/>
        <w:widowControl/>
        <w:shd w:val="clear" w:color="auto" w:fill="FFFFFF"/>
        <w:adjustRightInd w:val="0"/>
        <w:snapToGrid w:val="0"/>
        <w:spacing w:before="0" w:beforeAutospacing="0" w:after="0" w:afterAutospacing="0" w:line="590" w:lineRule="exact"/>
        <w:textAlignment w:val="baseline"/>
        <w:rPr>
          <w:rFonts w:hint="eastAsia" w:ascii="仿宋_GB2312" w:hAnsi="仿宋_GB2312" w:eastAsia="仿宋_GB2312" w:cs="仿宋_GB2312"/>
          <w:color w:val="333333"/>
          <w:sz w:val="32"/>
          <w:szCs w:val="32"/>
          <w:highlight w:val="none"/>
          <w:shd w:val="clear" w:color="auto" w:fill="FFFFFF"/>
        </w:rPr>
      </w:pPr>
    </w:p>
    <w:p>
      <w:pPr>
        <w:numPr>
          <w:numId w:val="0"/>
        </w:numPr>
        <w:adjustRightInd w:val="0"/>
        <w:snapToGrid w:val="0"/>
        <w:spacing w:before="150" w:line="590" w:lineRule="exact"/>
        <w:ind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一、</w:t>
      </w:r>
      <w:r>
        <w:rPr>
          <w:rFonts w:hint="eastAsia" w:ascii="黑体" w:hAnsi="黑体" w:eastAsia="黑体" w:cs="黑体"/>
          <w:b w:val="0"/>
          <w:bCs w:val="0"/>
          <w:color w:val="000000"/>
          <w:sz w:val="32"/>
          <w:szCs w:val="32"/>
          <w:highlight w:val="none"/>
        </w:rPr>
        <w:t>项目概况和</w:t>
      </w:r>
      <w:r>
        <w:rPr>
          <w:rFonts w:hint="eastAsia" w:ascii="黑体" w:hAnsi="黑体" w:eastAsia="黑体" w:cs="黑体"/>
          <w:b w:val="0"/>
          <w:bCs w:val="0"/>
          <w:color w:val="000000"/>
          <w:sz w:val="32"/>
          <w:szCs w:val="32"/>
          <w:highlight w:val="none"/>
          <w:lang w:val="en-US" w:eastAsia="zh-CN"/>
        </w:rPr>
        <w:t>基本情况</w:t>
      </w:r>
    </w:p>
    <w:p>
      <w:pPr>
        <w:numPr>
          <w:numId w:val="0"/>
        </w:numPr>
        <w:ind w:firstLine="640" w:firstLineChars="200"/>
        <w:rPr>
          <w:rFonts w:hint="eastAsia"/>
          <w:color w:val="FF0000"/>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医院感染实时监控系统维保</w:t>
      </w:r>
      <w:r>
        <w:rPr>
          <w:rFonts w:hint="eastAsia" w:ascii="仿宋_GB2312" w:hAnsi="仿宋_GB2312" w:eastAsia="仿宋_GB2312" w:cs="仿宋_GB2312"/>
          <w:sz w:val="32"/>
          <w:szCs w:val="32"/>
        </w:rPr>
        <w:t>采购项目</w:t>
      </w:r>
    </w:p>
    <w:p>
      <w:pPr>
        <w:numPr>
          <w:numId w:val="0"/>
        </w:numPr>
        <w:rPr>
          <w:rFonts w:hint="eastAsia"/>
          <w:sz w:val="32"/>
          <w:szCs w:val="32"/>
        </w:rPr>
      </w:pPr>
      <w:r>
        <w:rPr>
          <w:rFonts w:hint="eastAsia" w:ascii="仿宋_GB2312" w:hAnsi="仿宋_GB2312" w:eastAsia="仿宋_GB2312" w:cs="仿宋_GB2312"/>
          <w:color w:val="000000"/>
          <w:sz w:val="32"/>
          <w:szCs w:val="32"/>
          <w:highlight w:val="none"/>
          <w:lang w:val="en-US" w:eastAsia="zh-CN"/>
        </w:rPr>
        <w:t xml:space="preserve">    2、采购方式：比价议价采购。</w:t>
      </w:r>
    </w:p>
    <w:p>
      <w:pPr>
        <w:numPr>
          <w:numId w:val="0"/>
        </w:numPr>
        <w:ind w:firstLine="640" w:firstLineChars="200"/>
        <w:rPr>
          <w:rFonts w:hint="eastAsia"/>
          <w:sz w:val="32"/>
          <w:szCs w:val="32"/>
        </w:rPr>
      </w:pPr>
      <w:r>
        <w:rPr>
          <w:rFonts w:hint="eastAsia" w:ascii="仿宋_GB2312" w:hAnsi="仿宋_GB2312" w:eastAsia="仿宋_GB2312" w:cs="仿宋_GB2312"/>
          <w:color w:val="000000"/>
          <w:sz w:val="32"/>
          <w:szCs w:val="32"/>
          <w:highlight w:val="none"/>
          <w:lang w:val="en-US" w:eastAsia="zh-CN"/>
        </w:rPr>
        <w:t>3、采购预算金额：12万（三年预算）</w:t>
      </w:r>
    </w:p>
    <w:p>
      <w:pPr>
        <w:numPr>
          <w:numId w:val="0"/>
        </w:numPr>
        <w:ind w:firstLine="640" w:firstLineChars="200"/>
        <w:rPr>
          <w:rFonts w:hint="eastAsia"/>
          <w:sz w:val="32"/>
          <w:szCs w:val="32"/>
        </w:rPr>
      </w:pPr>
      <w:r>
        <w:rPr>
          <w:rFonts w:hint="eastAsia" w:ascii="仿宋_GB2312" w:hAnsi="仿宋_GB2312" w:eastAsia="仿宋_GB2312" w:cs="仿宋_GB2312"/>
          <w:color w:val="000000"/>
          <w:sz w:val="32"/>
          <w:szCs w:val="32"/>
          <w:highlight w:val="none"/>
          <w:lang w:val="en-US" w:eastAsia="zh-CN"/>
        </w:rPr>
        <w:t>4、采购最高限价：12万（三年预算）</w:t>
      </w:r>
      <w:bookmarkStart w:id="1" w:name="_GoBack"/>
      <w:bookmarkEnd w:id="1"/>
    </w:p>
    <w:p>
      <w:pPr>
        <w:numPr>
          <w:numId w:val="0"/>
        </w:numPr>
        <w:adjustRightInd w:val="0"/>
        <w:snapToGrid w:val="0"/>
        <w:spacing w:line="590" w:lineRule="exact"/>
        <w:ind w:leftChars="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交货地点：福马路420号肿瘤医院院内。</w:t>
      </w:r>
    </w:p>
    <w:p>
      <w:pPr>
        <w:numPr>
          <w:numId w:val="0"/>
        </w:numPr>
        <w:adjustRightInd w:val="0"/>
        <w:snapToGrid w:val="0"/>
        <w:spacing w:line="590" w:lineRule="exact"/>
        <w:ind w:leftChars="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lang w:val="en-US" w:eastAsia="zh-CN"/>
        </w:rPr>
        <w:t>6、本项目不接受联合体投标，不允许分包。</w:t>
      </w:r>
    </w:p>
    <w:p>
      <w:pPr>
        <w:widowControl w:val="0"/>
        <w:numPr>
          <w:numId w:val="0"/>
        </w:numPr>
        <w:wordWrap/>
        <w:adjustRightInd w:val="0"/>
        <w:snapToGrid w:val="0"/>
        <w:spacing w:afterLines="50"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7、</w:t>
      </w:r>
      <w:r>
        <w:rPr>
          <w:rFonts w:hint="eastAsia" w:ascii="仿宋_GB2312" w:hAnsi="仿宋_GB2312" w:eastAsia="仿宋_GB2312" w:cs="仿宋_GB2312"/>
          <w:i w:val="0"/>
          <w:iCs w:val="0"/>
          <w:caps w:val="0"/>
          <w:color w:val="auto"/>
          <w:spacing w:val="0"/>
          <w:sz w:val="32"/>
          <w:szCs w:val="32"/>
          <w:highlight w:val="none"/>
          <w:shd w:val="clear" w:color="090000" w:fill="FFFFFF"/>
        </w:rPr>
        <w:t>采购需求：（包括但不限于标的名称、数量、简要技术需求或服务要求</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交货期及控制价</w:t>
      </w:r>
      <w:r>
        <w:rPr>
          <w:rFonts w:hint="eastAsia" w:ascii="仿宋_GB2312" w:hAnsi="仿宋_GB2312" w:eastAsia="仿宋_GB2312" w:cs="仿宋_GB2312"/>
          <w:i w:val="0"/>
          <w:iCs w:val="0"/>
          <w:caps w:val="0"/>
          <w:color w:val="auto"/>
          <w:spacing w:val="0"/>
          <w:sz w:val="32"/>
          <w:szCs w:val="32"/>
          <w:highlight w:val="none"/>
          <w:shd w:val="clear" w:color="090000" w:fill="FFFFFF"/>
        </w:rPr>
        <w:t>等）</w:t>
      </w:r>
    </w:p>
    <w:p>
      <w:pPr>
        <w:pStyle w:val="8"/>
        <w:widowControl w:val="0"/>
        <w:wordWrap/>
        <w:adjustRightInd w:val="0"/>
        <w:snapToGrid w:val="0"/>
        <w:spacing w:line="240" w:lineRule="auto"/>
        <w:jc w:val="center"/>
        <w:textAlignment w:val="auto"/>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采购</w:t>
      </w:r>
      <w:r>
        <w:rPr>
          <w:rFonts w:hint="eastAsia" w:ascii="仿宋_GB2312" w:hAnsi="仿宋_GB2312" w:eastAsia="仿宋_GB2312" w:cs="仿宋_GB2312"/>
          <w:b/>
          <w:sz w:val="32"/>
          <w:szCs w:val="32"/>
          <w:highlight w:val="none"/>
        </w:rPr>
        <w:t>一览</w:t>
      </w:r>
      <w:r>
        <w:rPr>
          <w:rFonts w:hint="eastAsia" w:ascii="仿宋_GB2312" w:hAnsi="仿宋_GB2312" w:eastAsia="仿宋_GB2312" w:cs="仿宋_GB2312"/>
          <w:b/>
          <w:sz w:val="32"/>
          <w:szCs w:val="32"/>
          <w:highlight w:val="none"/>
          <w:lang w:val="en-US" w:eastAsia="zh-CN"/>
        </w:rPr>
        <w:t>表</w:t>
      </w:r>
    </w:p>
    <w:tbl>
      <w:tblPr>
        <w:tblW w:w="84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8"/>
        <w:gridCol w:w="990"/>
        <w:gridCol w:w="2160"/>
        <w:gridCol w:w="1725"/>
        <w:gridCol w:w="1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4" w:hRule="atLeast"/>
          <w:jc w:val="center"/>
        </w:trPr>
        <w:tc>
          <w:tcPr>
            <w:tcW w:w="1848" w:type="dxa"/>
            <w:shd w:val="clear" w:color="FFFFFF" w:fill="auto"/>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项 目 名 称</w:t>
            </w:r>
          </w:p>
        </w:tc>
        <w:tc>
          <w:tcPr>
            <w:tcW w:w="990" w:type="dxa"/>
            <w:shd w:val="clear" w:color="FFFFFF" w:fill="auto"/>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数量</w:t>
            </w:r>
          </w:p>
        </w:tc>
        <w:tc>
          <w:tcPr>
            <w:tcW w:w="2160" w:type="dxa"/>
            <w:shd w:val="clear" w:color="FFFFFF" w:fill="auto"/>
            <w:vAlign w:val="center"/>
          </w:tcPr>
          <w:p>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主要技术规格</w:t>
            </w:r>
          </w:p>
        </w:tc>
        <w:tc>
          <w:tcPr>
            <w:tcW w:w="1725" w:type="dxa"/>
            <w:shd w:val="clear" w:color="FFFFFF" w:fill="auto"/>
            <w:vAlign w:val="center"/>
          </w:tcPr>
          <w:p>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交货期</w:t>
            </w:r>
          </w:p>
        </w:tc>
        <w:tc>
          <w:tcPr>
            <w:tcW w:w="1772" w:type="dxa"/>
            <w:shd w:val="clear" w:color="FFFFFF" w:fill="auto"/>
            <w:vAlign w:val="center"/>
          </w:tcPr>
          <w:p>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控制价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6" w:hRule="atLeast"/>
          <w:jc w:val="center"/>
        </w:trPr>
        <w:tc>
          <w:tcPr>
            <w:tcW w:w="1848" w:type="dxa"/>
            <w:vAlign w:val="center"/>
          </w:tcPr>
          <w:p>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医院感染实时监控系统维保项目</w:t>
            </w:r>
          </w:p>
        </w:tc>
        <w:tc>
          <w:tcPr>
            <w:tcW w:w="990" w:type="dxa"/>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2160" w:type="dxa"/>
            <w:vAlign w:val="center"/>
          </w:tcPr>
          <w:p>
            <w:pPr>
              <w:widowControl w:val="0"/>
              <w:wordWrap/>
              <w:adjustRightInd w:val="0"/>
              <w:snapToGrid w:val="0"/>
              <w:spacing w:line="240" w:lineRule="auto"/>
              <w:jc w:val="both"/>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详见附件或招标内容及要求</w:t>
            </w:r>
          </w:p>
        </w:tc>
        <w:tc>
          <w:tcPr>
            <w:tcW w:w="1725" w:type="dxa"/>
            <w:vAlign w:val="center"/>
          </w:tcPr>
          <w:p>
            <w:pPr>
              <w:widowControl w:val="0"/>
              <w:tabs>
                <w:tab w:val="left" w:pos="360"/>
              </w:tabs>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30天</w:t>
            </w:r>
          </w:p>
        </w:tc>
        <w:tc>
          <w:tcPr>
            <w:tcW w:w="1772" w:type="dxa"/>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12万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5" w:hRule="atLeast"/>
          <w:jc w:val="center"/>
        </w:trPr>
        <w:tc>
          <w:tcPr>
            <w:tcW w:w="8495" w:type="dxa"/>
            <w:gridSpan w:val="5"/>
            <w:vAlign w:val="center"/>
          </w:tcPr>
          <w:p>
            <w:pPr>
              <w:widowControl w:val="0"/>
              <w:tabs>
                <w:tab w:val="left" w:pos="263"/>
              </w:tabs>
              <w:wordWrap/>
              <w:adjustRightInd w:val="0"/>
              <w:snapToGrid w:val="0"/>
              <w:spacing w:line="240" w:lineRule="auto"/>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ab/>
            </w:r>
            <w:r>
              <w:rPr>
                <w:rFonts w:hint="eastAsia" w:ascii="仿宋_GB2312" w:hAnsi="仿宋_GB2312" w:eastAsia="仿宋_GB2312" w:cs="仿宋_GB2312"/>
                <w:sz w:val="28"/>
                <w:szCs w:val="28"/>
                <w:highlight w:val="none"/>
                <w:lang w:val="en-US" w:eastAsia="zh-CN"/>
              </w:rPr>
              <w:t>备注说明：</w:t>
            </w:r>
          </w:p>
        </w:tc>
      </w:tr>
    </w:tbl>
    <w:p>
      <w:pPr>
        <w:numPr>
          <w:ilvl w:val="0"/>
          <w:numId w:val="1"/>
        </w:numPr>
        <w:adjustRightInd w:val="0"/>
        <w:snapToGrid w:val="0"/>
        <w:spacing w:before="150" w:line="590" w:lineRule="exact"/>
        <w:ind w:firstLine="640" w:firstLineChars="200"/>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val="en-US" w:eastAsia="zh-CN"/>
        </w:rPr>
        <w:t>申请</w:t>
      </w:r>
      <w:r>
        <w:rPr>
          <w:rFonts w:hint="eastAsia" w:ascii="黑体" w:hAnsi="黑体" w:eastAsia="黑体" w:cs="黑体"/>
          <w:b w:val="0"/>
          <w:bCs w:val="0"/>
          <w:color w:val="000000"/>
          <w:sz w:val="32"/>
          <w:szCs w:val="32"/>
          <w:highlight w:val="none"/>
        </w:rPr>
        <w:t>人</w:t>
      </w:r>
      <w:r>
        <w:rPr>
          <w:rFonts w:hint="eastAsia" w:ascii="黑体" w:hAnsi="黑体" w:eastAsia="黑体" w:cs="黑体"/>
          <w:b w:val="0"/>
          <w:bCs w:val="0"/>
          <w:color w:val="000000"/>
          <w:sz w:val="32"/>
          <w:szCs w:val="32"/>
          <w:highlight w:val="none"/>
          <w:lang w:val="en-US" w:eastAsia="zh-CN"/>
        </w:rPr>
        <w:t>的</w:t>
      </w:r>
      <w:r>
        <w:rPr>
          <w:rFonts w:hint="eastAsia" w:ascii="黑体" w:hAnsi="黑体" w:eastAsia="黑体" w:cs="黑体"/>
          <w:b w:val="0"/>
          <w:bCs w:val="0"/>
          <w:color w:val="000000"/>
          <w:sz w:val="32"/>
          <w:szCs w:val="32"/>
          <w:highlight w:val="none"/>
        </w:rPr>
        <w:t>资格要求及审查办法</w:t>
      </w:r>
    </w:p>
    <w:p>
      <w:pPr>
        <w:widowControl w:val="0"/>
        <w:numPr>
          <w:numId w:val="0"/>
        </w:numPr>
        <w:wordWrap/>
        <w:adjustRightInd w:val="0"/>
        <w:snapToGrid w:val="0"/>
        <w:spacing w:line="59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1、</w:t>
      </w:r>
      <w:r>
        <w:rPr>
          <w:rFonts w:hint="eastAsia" w:ascii="仿宋_GB2312" w:hAnsi="仿宋_GB2312" w:eastAsia="仿宋_GB2312" w:cs="仿宋_GB2312"/>
          <w:i w:val="0"/>
          <w:iCs w:val="0"/>
          <w:caps w:val="0"/>
          <w:color w:val="auto"/>
          <w:spacing w:val="0"/>
          <w:sz w:val="32"/>
          <w:szCs w:val="32"/>
          <w:highlight w:val="none"/>
          <w:shd w:val="clear" w:color="090000" w:fill="FFFFFF"/>
        </w:rPr>
        <w:t>满足《中华人民共和国政府采购法》第二十二条规定</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4"/>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2、</w:t>
      </w:r>
      <w:r>
        <w:rPr>
          <w:rFonts w:hint="eastAsia" w:ascii="仿宋_GB2312" w:hAnsi="仿宋_GB2312" w:eastAsia="仿宋_GB2312" w:cs="仿宋_GB2312"/>
          <w:i w:val="0"/>
          <w:iCs w:val="0"/>
          <w:caps w:val="0"/>
          <w:color w:val="auto"/>
          <w:spacing w:val="0"/>
          <w:sz w:val="32"/>
          <w:szCs w:val="32"/>
          <w:highlight w:val="none"/>
          <w:shd w:val="clear" w:color="090000" w:fill="FFFFFF"/>
        </w:rPr>
        <w:t>落实政府采购政策需满足的资格要求</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4"/>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3、</w:t>
      </w:r>
      <w:r>
        <w:rPr>
          <w:rFonts w:hint="eastAsia" w:ascii="仿宋_GB2312" w:hAnsi="仿宋_GB2312" w:eastAsia="仿宋_GB2312" w:cs="仿宋_GB2312"/>
          <w:i w:val="0"/>
          <w:iCs w:val="0"/>
          <w:caps w:val="0"/>
          <w:color w:val="auto"/>
          <w:spacing w:val="0"/>
          <w:sz w:val="32"/>
          <w:szCs w:val="32"/>
          <w:highlight w:val="none"/>
          <w:shd w:val="clear" w:color="090000" w:fill="FFFFFF"/>
        </w:rPr>
        <w:t>本采购包为专门面向中小企业采购，投标人须提供中小企业声明函。监狱企业、残疾人福利性单位视同小型、微型企业</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视项目选择）</w:t>
      </w:r>
      <w:r>
        <w:rPr>
          <w:rFonts w:hint="eastAsia" w:ascii="仿宋_GB2312" w:hAnsi="仿宋_GB2312" w:eastAsia="仿宋_GB2312" w:cs="仿宋_GB2312"/>
          <w:i w:val="0"/>
          <w:iCs w:val="0"/>
          <w:caps w:val="0"/>
          <w:color w:val="auto"/>
          <w:spacing w:val="0"/>
          <w:sz w:val="32"/>
          <w:szCs w:val="32"/>
          <w:highlight w:val="none"/>
          <w:shd w:val="clear" w:color="090000" w:fill="FFFFFF"/>
        </w:rPr>
        <w:t>。 </w:t>
      </w:r>
    </w:p>
    <w:p>
      <w:pPr>
        <w:pStyle w:val="14"/>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委托代表人资格证明书（附法人及委托人身份证）。</w:t>
      </w:r>
    </w:p>
    <w:p>
      <w:pPr>
        <w:pStyle w:val="14"/>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pPr>
        <w:pStyle w:val="14"/>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参加本次活动前三年内，在经营活动中没有重大违法违规记录的承诺。</w:t>
      </w:r>
    </w:p>
    <w:p>
      <w:pPr>
        <w:pStyle w:val="14"/>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资格审查采用方式：资格后审。</w:t>
      </w:r>
    </w:p>
    <w:p>
      <w:pPr>
        <w:pStyle w:val="14"/>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8、</w:t>
      </w:r>
      <w:r>
        <w:rPr>
          <w:rFonts w:hint="eastAsia" w:ascii="仿宋_GB2312" w:hAnsi="仿宋_GB2312" w:eastAsia="仿宋_GB2312" w:cs="仿宋_GB2312"/>
          <w:i w:val="0"/>
          <w:iCs w:val="0"/>
          <w:caps w:val="0"/>
          <w:color w:val="auto"/>
          <w:spacing w:val="0"/>
          <w:sz w:val="32"/>
          <w:szCs w:val="32"/>
          <w:highlight w:val="none"/>
          <w:shd w:val="clear" w:color="090000" w:fill="FFFFFF"/>
        </w:rPr>
        <w:t>投标人应在（招标文件要求的截止时点）前分别通过“信用中国”网站（www.creditchina.gov.cn）、中国政府采购网（www.ccgp.gov.cn）查询并打印相应的信用记录</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4"/>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并列入医院供应商黑名单，院方有权在今后采购活动中拒绝接受其投标材料</w:t>
      </w:r>
      <w:r>
        <w:rPr>
          <w:rFonts w:hint="eastAsia" w:ascii="仿宋_GB2312" w:hAnsi="仿宋_GB2312" w:eastAsia="仿宋_GB2312" w:cs="仿宋_GB2312"/>
          <w:color w:val="auto"/>
          <w:sz w:val="32"/>
          <w:szCs w:val="32"/>
          <w:highlight w:val="none"/>
        </w:rPr>
        <w:t>。</w:t>
      </w:r>
    </w:p>
    <w:p>
      <w:pPr>
        <w:pStyle w:val="14"/>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上述提供材料均须加盖公章。</w:t>
      </w:r>
    </w:p>
    <w:p>
      <w:pPr>
        <w:pStyle w:val="2"/>
        <w:widowControl/>
        <w:numPr>
          <w:ilvl w:val="0"/>
          <w:numId w:val="1"/>
        </w:numPr>
        <w:pBdr>
          <w:top w:val="none" w:color="auto" w:sz="0" w:space="0"/>
          <w:left w:val="none" w:color="auto" w:sz="0" w:space="0"/>
          <w:bottom w:val="none" w:color="auto" w:sz="0" w:space="0"/>
          <w:right w:val="none" w:color="auto" w:sz="0" w:space="0"/>
        </w:pBdr>
        <w:shd w:val="clear" w:color="070000" w:fill="FFFFFF"/>
        <w:spacing w:before="150" w:beforeAutospacing="0" w:after="0" w:afterAutospacing="0" w:line="750" w:lineRule="atLeast"/>
        <w:ind w:left="0" w:leftChars="0" w:right="0" w:firstLine="640" w:firstLineChars="200"/>
        <w:jc w:val="left"/>
        <w:textAlignment w:val="baseline"/>
        <w:rPr>
          <w:rStyle w:val="16"/>
          <w:rFonts w:hint="eastAsia" w:ascii="黑体" w:hAnsi="黑体" w:eastAsia="黑体" w:cs="黑体"/>
          <w:b w:val="0"/>
          <w:bCs w:val="0"/>
          <w:i w:val="0"/>
          <w:iCs w:val="0"/>
          <w:caps w:val="0"/>
          <w:color w:val="auto"/>
          <w:spacing w:val="0"/>
          <w:sz w:val="32"/>
          <w:szCs w:val="32"/>
          <w:shd w:val="clear" w:color="0B0000" w:fill="FFFFFF"/>
          <w:lang w:val="en-US" w:eastAsia="zh-CN"/>
        </w:rPr>
      </w:pPr>
      <w:r>
        <w:rPr>
          <w:rStyle w:val="16"/>
          <w:rFonts w:hint="eastAsia" w:ascii="黑体" w:hAnsi="黑体" w:eastAsia="黑体" w:cs="黑体"/>
          <w:b w:val="0"/>
          <w:bCs w:val="0"/>
          <w:i w:val="0"/>
          <w:iCs w:val="0"/>
          <w:caps w:val="0"/>
          <w:color w:val="auto"/>
          <w:spacing w:val="0"/>
          <w:sz w:val="32"/>
          <w:szCs w:val="32"/>
          <w:shd w:val="clear" w:color="0B0000" w:fill="FFFFFF"/>
        </w:rPr>
        <w:t>采购项目需要落实的政府采购政策</w:t>
      </w:r>
      <w:r>
        <w:rPr>
          <w:rStyle w:val="16"/>
          <w:rFonts w:hint="eastAsia" w:ascii="黑体" w:hAnsi="黑体" w:eastAsia="黑体" w:cs="黑体"/>
          <w:b w:val="0"/>
          <w:bCs w:val="0"/>
          <w:i w:val="0"/>
          <w:iCs w:val="0"/>
          <w:caps w:val="0"/>
          <w:color w:val="auto"/>
          <w:spacing w:val="0"/>
          <w:sz w:val="32"/>
          <w:szCs w:val="32"/>
          <w:shd w:val="clear" w:color="0B0000" w:fill="FFFFFF"/>
          <w:lang w:eastAsia="zh-CN"/>
        </w:rPr>
        <w:t>（</w:t>
      </w:r>
      <w:r>
        <w:rPr>
          <w:rStyle w:val="16"/>
          <w:rFonts w:hint="eastAsia" w:ascii="黑体" w:hAnsi="黑体" w:eastAsia="黑体" w:cs="黑体"/>
          <w:b w:val="0"/>
          <w:bCs w:val="0"/>
          <w:i w:val="0"/>
          <w:iCs w:val="0"/>
          <w:caps w:val="0"/>
          <w:color w:val="auto"/>
          <w:spacing w:val="0"/>
          <w:sz w:val="32"/>
          <w:szCs w:val="32"/>
          <w:shd w:val="clear" w:color="0B0000" w:fill="FFFFFF"/>
          <w:lang w:val="en-US" w:eastAsia="zh-CN"/>
        </w:rPr>
        <w:t>若有）</w:t>
      </w:r>
    </w:p>
    <w:p>
      <w:pPr>
        <w:numPr>
          <w:numId w:val="0"/>
        </w:numPr>
        <w:rPr>
          <w:rFonts w:hint="default"/>
          <w:lang w:val="en-US" w:eastAsia="zh-CN"/>
        </w:rPr>
      </w:pPr>
    </w:p>
    <w:p>
      <w:pPr>
        <w:numPr>
          <w:numId w:val="0"/>
        </w:numPr>
        <w:adjustRightInd w:val="0"/>
        <w:snapToGrid w:val="0"/>
        <w:spacing w:before="150" w:line="59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b w:val="0"/>
          <w:bCs w:val="0"/>
          <w:color w:val="000000"/>
          <w:sz w:val="32"/>
          <w:szCs w:val="32"/>
          <w:highlight w:val="none"/>
          <w:lang w:val="en-US" w:eastAsia="zh-CN"/>
        </w:rPr>
        <w:t>四、采购</w:t>
      </w:r>
      <w:r>
        <w:rPr>
          <w:rFonts w:hint="eastAsia" w:ascii="黑体" w:hAnsi="黑体" w:eastAsia="黑体" w:cs="黑体"/>
          <w:b w:val="0"/>
          <w:bCs w:val="0"/>
          <w:color w:val="000000"/>
          <w:sz w:val="32"/>
          <w:szCs w:val="32"/>
          <w:highlight w:val="none"/>
        </w:rPr>
        <w:t>文件的获取  </w:t>
      </w:r>
      <w:r>
        <w:rPr>
          <w:rFonts w:hint="eastAsia" w:ascii="黑体" w:hAnsi="黑体" w:eastAsia="黑体" w:cs="黑体"/>
          <w:color w:val="000000"/>
          <w:sz w:val="32"/>
          <w:szCs w:val="32"/>
          <w:highlight w:val="none"/>
        </w:rPr>
        <w:t> </w:t>
      </w:r>
    </w:p>
    <w:p>
      <w:pPr>
        <w:numPr>
          <w:numId w:val="0"/>
        </w:numPr>
        <w:adjustRightInd w:val="0"/>
        <w:snapToGrid w:val="0"/>
        <w:spacing w:before="150" w:line="59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1、本项目不采用电子招投标。</w:t>
      </w:r>
    </w:p>
    <w:p>
      <w:pPr>
        <w:widowControl/>
        <w:tabs>
          <w:tab w:val="left" w:pos="900"/>
          <w:tab w:val="left" w:pos="1100"/>
        </w:tabs>
        <w:adjustRightInd w:val="0"/>
        <w:snapToGrid w:val="0"/>
        <w:spacing w:line="590" w:lineRule="exact"/>
        <w:ind w:firstLine="640" w:firstLineChars="200"/>
        <w:jc w:val="left"/>
        <w:rPr>
          <w:rFonts w:hint="eastAsia" w:ascii="黑体" w:hAnsi="黑体" w:eastAsia="黑体" w:cs="黑体"/>
          <w:b w:val="0"/>
          <w:bCs w:val="0"/>
          <w:strike w:val="0"/>
          <w:dstrike w:val="0"/>
          <w:color w:val="000000"/>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凡有意参加投标者，均可在福建省肿瘤医院院方网站（www.fjzl.com.cn）下载与本项目相关的招标信息（包括招标文件、招标文件补充说明等）。</w:t>
      </w:r>
    </w:p>
    <w:p>
      <w:pPr>
        <w:adjustRightInd w:val="0"/>
        <w:snapToGrid w:val="0"/>
        <w:spacing w:before="150" w:line="590" w:lineRule="exact"/>
        <w:ind w:firstLine="640" w:firstLineChars="200"/>
        <w:rPr>
          <w:rFonts w:hint="eastAsia" w:ascii="黑体" w:hAnsi="黑体" w:eastAsia="黑体" w:cs="黑体"/>
          <w:b w:val="0"/>
          <w:bCs w:val="0"/>
          <w:strike w:val="0"/>
          <w:dstrike w:val="0"/>
          <w:color w:val="000000"/>
          <w:sz w:val="32"/>
          <w:szCs w:val="32"/>
          <w:highlight w:val="none"/>
        </w:rPr>
      </w:pPr>
      <w:r>
        <w:rPr>
          <w:rFonts w:hint="eastAsia" w:ascii="黑体" w:hAnsi="黑体" w:eastAsia="黑体" w:cs="黑体"/>
          <w:b w:val="0"/>
          <w:bCs w:val="0"/>
          <w:color w:val="auto"/>
          <w:sz w:val="32"/>
          <w:szCs w:val="32"/>
          <w:highlight w:val="none"/>
        </w:rPr>
        <w:t>五、</w:t>
      </w:r>
      <w:r>
        <w:rPr>
          <w:rStyle w:val="16"/>
          <w:rFonts w:hint="eastAsia" w:ascii="黑体" w:hAnsi="黑体" w:eastAsia="黑体" w:cs="黑体"/>
          <w:b w:val="0"/>
          <w:bCs w:val="0"/>
          <w:i w:val="0"/>
          <w:iCs w:val="0"/>
          <w:caps w:val="0"/>
          <w:color w:val="auto"/>
          <w:spacing w:val="0"/>
          <w:sz w:val="32"/>
          <w:szCs w:val="32"/>
          <w:highlight w:val="none"/>
          <w:shd w:val="clear" w:color="0C0000" w:fill="FFFFFF"/>
        </w:rPr>
        <w:t>提交投标文件截止时间、开标时间和地点</w:t>
      </w:r>
      <w:r>
        <w:rPr>
          <w:rStyle w:val="16"/>
          <w:rFonts w:hint="eastAsia" w:ascii="黑体" w:hAnsi="黑体" w:eastAsia="黑体" w:cs="黑体"/>
          <w:b w:val="0"/>
          <w:bCs w:val="0"/>
          <w:i w:val="0"/>
          <w:iCs w:val="0"/>
          <w:caps w:val="0"/>
          <w:color w:val="auto"/>
          <w:spacing w:val="0"/>
          <w:sz w:val="32"/>
          <w:szCs w:val="32"/>
          <w:highlight w:val="none"/>
          <w:shd w:val="clear" w:color="0C0000" w:fill="FFFFFF"/>
          <w:lang w:eastAsia="zh-CN"/>
        </w:rPr>
        <w:t>、</w:t>
      </w:r>
      <w:r>
        <w:rPr>
          <w:rFonts w:hint="eastAsia" w:ascii="黑体" w:hAnsi="黑体" w:eastAsia="黑体" w:cs="黑体"/>
          <w:b w:val="0"/>
          <w:bCs w:val="0"/>
          <w:strike w:val="0"/>
          <w:dstrike w:val="0"/>
          <w:color w:val="000000"/>
          <w:sz w:val="32"/>
          <w:szCs w:val="32"/>
          <w:highlight w:val="none"/>
        </w:rPr>
        <w:t>答疑截止时间</w:t>
      </w:r>
    </w:p>
    <w:p>
      <w:pPr>
        <w:pStyle w:val="14"/>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b w:val="0"/>
          <w:bCs w:val="0"/>
          <w:i w:val="0"/>
          <w:iCs w:val="0"/>
          <w:caps w:val="0"/>
          <w:color w:val="auto"/>
          <w:spacing w:val="0"/>
          <w:sz w:val="32"/>
          <w:szCs w:val="32"/>
          <w:highlight w:val="none"/>
          <w:shd w:val="clear" w:color="0B0000" w:fill="FFFFFF"/>
          <w:lang w:val="en-US" w:eastAsia="zh-CN"/>
        </w:rPr>
      </w:pP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lang w:val="en-US" w:eastAsia="zh-CN"/>
        </w:rPr>
        <w:t>1、</w:t>
      </w: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rPr>
        <w:t>截止时间</w:t>
      </w: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lang w:eastAsia="zh-CN"/>
        </w:rPr>
        <w:t>：</w:t>
      </w: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23</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17:30点</w:t>
      </w:r>
    </w:p>
    <w:p>
      <w:pPr>
        <w:pStyle w:val="14"/>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b w:val="0"/>
          <w:bCs w:val="0"/>
          <w:color w:val="auto"/>
          <w:sz w:val="32"/>
          <w:szCs w:val="32"/>
          <w:highlight w:val="none"/>
          <w:lang w:val="en-US" w:eastAsia="zh-CN"/>
        </w:rPr>
      </w:pP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lang w:val="en-US" w:eastAsia="zh-CN"/>
        </w:rPr>
        <w:t>2、</w:t>
      </w: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rPr>
        <w:t>开标时间</w:t>
      </w: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lang w:eastAsia="zh-CN"/>
        </w:rPr>
        <w:t>：</w:t>
      </w: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23</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9:00点</w:t>
      </w:r>
    </w:p>
    <w:p>
      <w:pPr>
        <w:pStyle w:val="14"/>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3、</w:t>
      </w:r>
      <w:r>
        <w:rPr>
          <w:rFonts w:hint="eastAsia" w:ascii="仿宋_GB2312" w:hAnsi="仿宋_GB2312" w:eastAsia="仿宋_GB2312" w:cs="仿宋_GB2312"/>
          <w:i w:val="0"/>
          <w:iCs w:val="0"/>
          <w:caps w:val="0"/>
          <w:color w:val="auto"/>
          <w:spacing w:val="0"/>
          <w:sz w:val="32"/>
          <w:szCs w:val="32"/>
          <w:highlight w:val="none"/>
          <w:shd w:val="clear" w:color="090000" w:fill="FFFFFF"/>
        </w:rPr>
        <w:t>地点：</w:t>
      </w:r>
      <w:r>
        <w:rPr>
          <w:rFonts w:hint="eastAsia" w:ascii="仿宋_GB2312" w:hAnsi="仿宋_GB2312" w:eastAsia="仿宋_GB2312" w:cs="仿宋_GB2312"/>
          <w:color w:val="auto"/>
          <w:sz w:val="32"/>
          <w:szCs w:val="32"/>
          <w:highlight w:val="none"/>
        </w:rPr>
        <w:t>福建省肿瘤医院</w:t>
      </w:r>
      <w:r>
        <w:rPr>
          <w:rFonts w:hint="eastAsia" w:ascii="仿宋_GB2312" w:hAnsi="仿宋_GB2312" w:eastAsia="仿宋_GB2312" w:cs="仿宋_GB2312"/>
          <w:color w:val="auto"/>
          <w:sz w:val="32"/>
          <w:szCs w:val="32"/>
          <w:highlight w:val="none"/>
          <w:lang w:val="en-US" w:eastAsia="zh-CN"/>
        </w:rPr>
        <w:t>网络技术中心</w:t>
      </w:r>
      <w:r>
        <w:rPr>
          <w:rFonts w:hint="eastAsia" w:ascii="仿宋_GB2312" w:hAnsi="仿宋_GB2312" w:eastAsia="仿宋_GB2312" w:cs="仿宋_GB2312"/>
          <w:color w:val="auto"/>
          <w:sz w:val="32"/>
          <w:szCs w:val="32"/>
          <w:highlight w:val="none"/>
        </w:rPr>
        <w:t>会议室</w:t>
      </w:r>
    </w:p>
    <w:p>
      <w:pPr>
        <w:pStyle w:val="14"/>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投标文件正本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份,副本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份胶装并密封加盖投标人公章。投标文件未胶装将视为无效。</w:t>
      </w:r>
    </w:p>
    <w:p>
      <w:pPr>
        <w:pStyle w:val="14"/>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、未参加报名的潜在投标人，其投标文件将被拒绝。</w:t>
      </w:r>
    </w:p>
    <w:p>
      <w:pPr>
        <w:pStyle w:val="14"/>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strike w:val="0"/>
          <w:dstrike w:val="0"/>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trike w:val="0"/>
          <w:dstrike w:val="0"/>
          <w:color w:val="000000"/>
          <w:sz w:val="32"/>
          <w:szCs w:val="32"/>
          <w:highlight w:val="none"/>
        </w:rPr>
        <w:t>投标人若要求澄清招标文件，应在获取招标文件截止时间后的2个工作日内提出，招标人将随时解答。</w:t>
      </w:r>
    </w:p>
    <w:p>
      <w:pPr>
        <w:pStyle w:val="14"/>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若有涉及招标文件内容更正，请各潜在投标人密切关注福建省肿瘤医院官网通知，以最新公告为准。</w:t>
      </w:r>
    </w:p>
    <w:p>
      <w:pPr>
        <w:adjustRightInd w:val="0"/>
        <w:snapToGrid w:val="0"/>
        <w:spacing w:before="150" w:line="590" w:lineRule="exact"/>
        <w:ind w:firstLine="640" w:firstLineChars="200"/>
        <w:rPr>
          <w:rFonts w:hint="eastAsia" w:ascii="黑体" w:hAnsi="黑体" w:eastAsia="黑体" w:cs="黑体"/>
          <w:b/>
          <w:bCs/>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六</w:t>
      </w:r>
      <w:r>
        <w:rPr>
          <w:rFonts w:hint="eastAsia" w:ascii="黑体" w:hAnsi="黑体" w:eastAsia="黑体" w:cs="黑体"/>
          <w:b w:val="0"/>
          <w:bCs w:val="0"/>
          <w:color w:val="000000"/>
          <w:sz w:val="32"/>
          <w:szCs w:val="32"/>
          <w:highlight w:val="none"/>
        </w:rPr>
        <w:t>、</w:t>
      </w:r>
      <w:r>
        <w:rPr>
          <w:rFonts w:hint="eastAsia" w:ascii="黑体" w:hAnsi="黑体" w:eastAsia="黑体" w:cs="黑体"/>
          <w:b w:val="0"/>
          <w:bCs w:val="0"/>
          <w:color w:val="000000"/>
          <w:sz w:val="32"/>
          <w:szCs w:val="32"/>
          <w:highlight w:val="none"/>
          <w:lang w:val="en-US" w:eastAsia="zh-CN"/>
        </w:rPr>
        <w:t>公告期限</w:t>
      </w:r>
    </w:p>
    <w:p>
      <w:pPr>
        <w:adjustRightInd w:val="0"/>
        <w:snapToGrid w:val="0"/>
        <w:spacing w:before="150" w:line="59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自本公告发布之日起5个工作日</w:t>
      </w:r>
    </w:p>
    <w:p>
      <w:pPr>
        <w:numPr>
          <w:ilvl w:val="0"/>
          <w:numId w:val="2"/>
        </w:numPr>
        <w:adjustRightInd w:val="0"/>
        <w:snapToGrid w:val="0"/>
        <w:spacing w:before="150" w:line="590" w:lineRule="exact"/>
        <w:ind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其他补充事宜</w:t>
      </w:r>
    </w:p>
    <w:p>
      <w:pPr>
        <w:adjustRightInd w:val="0"/>
        <w:snapToGrid w:val="0"/>
        <w:spacing w:before="150" w:line="59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b w:val="0"/>
          <w:bCs w:val="0"/>
          <w:color w:val="000000"/>
          <w:sz w:val="32"/>
          <w:szCs w:val="32"/>
          <w:highlight w:val="none"/>
          <w:lang w:val="en-US" w:eastAsia="zh-CN"/>
        </w:rPr>
        <w:t>八、</w:t>
      </w:r>
      <w:r>
        <w:rPr>
          <w:rFonts w:hint="eastAsia" w:ascii="黑体" w:hAnsi="黑体" w:eastAsia="黑体" w:cs="黑体"/>
          <w:b w:val="0"/>
          <w:bCs w:val="0"/>
          <w:color w:val="000000"/>
          <w:sz w:val="32"/>
          <w:szCs w:val="32"/>
          <w:highlight w:val="none"/>
        </w:rPr>
        <w:t>评标</w:t>
      </w:r>
      <w:r>
        <w:rPr>
          <w:rFonts w:hint="eastAsia" w:ascii="黑体" w:hAnsi="黑体" w:eastAsia="黑体" w:cs="黑体"/>
          <w:b w:val="0"/>
          <w:bCs w:val="0"/>
          <w:color w:val="000000"/>
          <w:sz w:val="32"/>
          <w:szCs w:val="32"/>
          <w:highlight w:val="none"/>
          <w:lang w:val="en-US" w:eastAsia="zh-CN"/>
        </w:rPr>
        <w:t>方法：</w:t>
      </w:r>
      <w:r>
        <w:rPr>
          <w:rFonts w:hint="eastAsia" w:ascii="仿宋_GB2312" w:hAnsi="仿宋_GB2312" w:eastAsia="仿宋_GB2312" w:cs="仿宋_GB2312"/>
          <w:color w:val="000000"/>
          <w:sz w:val="32"/>
          <w:szCs w:val="32"/>
          <w:highlight w:val="none"/>
        </w:rPr>
        <w:t>最低价中标</w:t>
      </w:r>
      <w:r>
        <w:rPr>
          <w:rFonts w:hint="eastAsia" w:ascii="仿宋_GB2312" w:hAnsi="仿宋_GB2312" w:eastAsia="仿宋_GB2312" w:cs="仿宋_GB2312"/>
          <w:bCs/>
          <w:sz w:val="32"/>
          <w:szCs w:val="32"/>
          <w:highlight w:val="none"/>
        </w:rPr>
        <w:t>（符合谈判文件各项要求的且报价最低的投标人）</w:t>
      </w:r>
    </w:p>
    <w:p>
      <w:pPr>
        <w:adjustRightInd w:val="0"/>
        <w:snapToGrid w:val="0"/>
        <w:spacing w:before="150" w:line="590" w:lineRule="exact"/>
        <w:ind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九</w:t>
      </w:r>
      <w:r>
        <w:rPr>
          <w:rFonts w:hint="eastAsia" w:ascii="黑体" w:hAnsi="黑体" w:eastAsia="黑体" w:cs="黑体"/>
          <w:b w:val="0"/>
          <w:bCs w:val="0"/>
          <w:color w:val="000000"/>
          <w:sz w:val="32"/>
          <w:szCs w:val="32"/>
          <w:highlight w:val="none"/>
        </w:rPr>
        <w:t>、合同</w:t>
      </w:r>
      <w:r>
        <w:rPr>
          <w:rFonts w:hint="eastAsia" w:ascii="黑体" w:hAnsi="黑体" w:eastAsia="黑体" w:cs="黑体"/>
          <w:b w:val="0"/>
          <w:bCs w:val="0"/>
          <w:color w:val="000000"/>
          <w:sz w:val="32"/>
          <w:szCs w:val="32"/>
          <w:highlight w:val="none"/>
          <w:lang w:val="en-US" w:eastAsia="zh-CN"/>
        </w:rPr>
        <w:t>签订及主要</w:t>
      </w:r>
      <w:r>
        <w:rPr>
          <w:rFonts w:hint="eastAsia" w:ascii="黑体" w:hAnsi="黑体" w:eastAsia="黑体" w:cs="黑体"/>
          <w:b w:val="0"/>
          <w:bCs w:val="0"/>
          <w:color w:val="000000"/>
          <w:sz w:val="32"/>
          <w:szCs w:val="32"/>
          <w:highlight w:val="none"/>
        </w:rPr>
        <w:t>条款</w:t>
      </w:r>
      <w:r>
        <w:rPr>
          <w:rFonts w:hint="eastAsia" w:ascii="黑体" w:hAnsi="黑体" w:eastAsia="黑体" w:cs="黑体"/>
          <w:b w:val="0"/>
          <w:bCs w:val="0"/>
          <w:color w:val="000000"/>
          <w:sz w:val="32"/>
          <w:szCs w:val="32"/>
          <w:highlight w:val="none"/>
          <w:lang w:val="en-US" w:eastAsia="zh-CN"/>
        </w:rPr>
        <w:t>要求（若有附件，可在附件中体现）</w:t>
      </w:r>
    </w:p>
    <w:p>
      <w:pPr>
        <w:adjustRightInd w:val="0"/>
        <w:snapToGrid w:val="0"/>
        <w:spacing w:before="150" w:line="590" w:lineRule="exact"/>
        <w:ind w:firstLine="48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、合同签订：中标人在接到中标通知后3天内，应派代表与招标人联系，商讨签订合同事宜。</w:t>
      </w:r>
    </w:p>
    <w:p>
      <w:pPr>
        <w:adjustRightInd w:val="0"/>
        <w:snapToGrid w:val="0"/>
        <w:spacing w:before="150" w:line="590" w:lineRule="exact"/>
        <w:ind w:firstLine="48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2、如付款方式与条件等</w:t>
      </w:r>
    </w:p>
    <w:p>
      <w:pPr>
        <w:adjustRightInd w:val="0"/>
        <w:snapToGrid w:val="0"/>
        <w:spacing w:before="150" w:line="590" w:lineRule="exact"/>
        <w:ind w:firstLine="48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十、联系方式</w:t>
      </w:r>
    </w:p>
    <w:p>
      <w:pPr>
        <w:adjustRightInd w:val="0"/>
        <w:snapToGrid w:val="0"/>
        <w:spacing w:before="150" w:line="59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凡有意参加投标者，请于202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28</w:t>
      </w:r>
      <w:r>
        <w:rPr>
          <w:rFonts w:hint="eastAsia" w:ascii="仿宋_GB2312" w:hAnsi="仿宋_GB2312" w:eastAsia="仿宋_GB2312" w:cs="仿宋_GB2312"/>
          <w:color w:val="000000"/>
          <w:sz w:val="32"/>
          <w:szCs w:val="32"/>
          <w:highlight w:val="none"/>
        </w:rPr>
        <w:t>日至 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9</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日(节假日除外)8：00-12：00或14：00-17：</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0，携带加盖公章的营业执照复印件、介绍信前往福建省肿瘤医院</w:t>
      </w:r>
      <w:r>
        <w:rPr>
          <w:rFonts w:hint="eastAsia" w:ascii="仿宋_GB2312" w:hAnsi="仿宋_GB2312" w:eastAsia="仿宋_GB2312" w:cs="仿宋_GB2312"/>
          <w:color w:val="auto"/>
          <w:sz w:val="32"/>
          <w:szCs w:val="32"/>
          <w:highlight w:val="none"/>
          <w:lang w:val="en-US" w:eastAsia="zh-CN"/>
        </w:rPr>
        <w:t>网络技术中心</w:t>
      </w:r>
      <w:r>
        <w:rPr>
          <w:rFonts w:hint="eastAsia" w:ascii="仿宋_GB2312" w:hAnsi="仿宋_GB2312" w:eastAsia="仿宋_GB2312" w:cs="仿宋_GB2312"/>
          <w:color w:val="000000"/>
          <w:sz w:val="32"/>
          <w:szCs w:val="32"/>
          <w:highlight w:val="none"/>
        </w:rPr>
        <w:t>报名。</w:t>
      </w:r>
    </w:p>
    <w:p>
      <w:pPr>
        <w:adjustRightInd w:val="0"/>
        <w:snapToGrid w:val="0"/>
        <w:spacing w:before="150" w:line="59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项目联系人：</w:t>
      </w:r>
      <w:r>
        <w:rPr>
          <w:rFonts w:hint="eastAsia" w:ascii="仿宋_GB2312" w:hAnsi="仿宋_GB2312" w:eastAsia="仿宋_GB2312" w:cs="仿宋_GB2312"/>
          <w:color w:val="000000"/>
          <w:sz w:val="32"/>
          <w:szCs w:val="32"/>
          <w:highlight w:val="none"/>
          <w:lang w:val="en-US" w:eastAsia="zh-CN"/>
        </w:rPr>
        <w:t>金工</w:t>
      </w:r>
      <w:r>
        <w:rPr>
          <w:rFonts w:hint="eastAsia" w:ascii="仿宋_GB2312" w:hAnsi="仿宋_GB2312" w:eastAsia="仿宋_GB2312" w:cs="仿宋_GB2312"/>
          <w:color w:val="000000"/>
          <w:sz w:val="32"/>
          <w:szCs w:val="32"/>
          <w:highlight w:val="none"/>
        </w:rPr>
        <w:t xml:space="preserve">         联系电话： 0591-</w:t>
      </w:r>
      <w:r>
        <w:rPr>
          <w:rFonts w:hint="eastAsia" w:ascii="仿宋_GB2312" w:hAnsi="仿宋_GB2312" w:eastAsia="仿宋_GB2312" w:cs="仿宋_GB2312"/>
          <w:color w:val="000000"/>
          <w:sz w:val="32"/>
          <w:szCs w:val="32"/>
          <w:highlight w:val="none"/>
          <w:lang w:val="en-US" w:eastAsia="zh-CN"/>
        </w:rPr>
        <w:t>83660063-8822</w:t>
      </w:r>
    </w:p>
    <w:p>
      <w:pPr>
        <w:numPr>
          <w:ilvl w:val="0"/>
          <w:numId w:val="3"/>
        </w:numPr>
        <w:adjustRightInd w:val="0"/>
        <w:snapToGrid w:val="0"/>
        <w:spacing w:before="150" w:line="590" w:lineRule="exact"/>
        <w:ind w:firstLine="640" w:firstLineChars="20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 xml:space="preserve">监督电话 </w:t>
      </w:r>
    </w:p>
    <w:p>
      <w:pPr>
        <w:adjustRightInd w:val="0"/>
        <w:snapToGrid w:val="0"/>
        <w:spacing w:before="150" w:line="59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采购报名、采购调研等采购过程中有任何异议，可联系我院监督科室。电话：83660063-8407；83660063-8467</w:t>
      </w:r>
      <w:r>
        <w:rPr>
          <w:rFonts w:hint="eastAsia" w:ascii="仿宋_GB2312" w:hAnsi="仿宋_GB2312" w:eastAsia="仿宋_GB2312" w:cs="仿宋_GB2312"/>
          <w:color w:val="000000"/>
          <w:sz w:val="32"/>
          <w:szCs w:val="32"/>
          <w:highlight w:val="none"/>
          <w:lang w:eastAsia="zh-CN"/>
        </w:rPr>
        <w:t>。</w:t>
      </w:r>
    </w:p>
    <w:p>
      <w:pPr>
        <w:adjustRightInd w:val="0"/>
        <w:snapToGrid w:val="0"/>
        <w:spacing w:before="150" w:line="590" w:lineRule="exact"/>
        <w:ind w:firstLine="640" w:firstLineChars="200"/>
        <w:rPr>
          <w:rFonts w:hint="default" w:ascii="仿宋_GB2312" w:hAnsi="仿宋_GB2312" w:eastAsia="仿宋_GB2312" w:cs="仿宋_GB2312"/>
          <w:color w:val="000000"/>
          <w:sz w:val="32"/>
          <w:szCs w:val="32"/>
          <w:highlight w:val="none"/>
          <w:lang w:val="en-US" w:eastAsia="zh-CN"/>
        </w:rPr>
      </w:pPr>
    </w:p>
    <w:p>
      <w:pPr>
        <w:adjustRightInd w:val="0"/>
        <w:snapToGrid w:val="0"/>
        <w:spacing w:before="150" w:line="590" w:lineRule="exact"/>
        <w:rPr>
          <w:rFonts w:hint="eastAsia" w:ascii="黑体" w:hAnsi="黑体" w:eastAsia="黑体" w:cs="黑体"/>
          <w:b w:val="0"/>
          <w:bCs w:val="0"/>
          <w:color w:val="000000"/>
          <w:kern w:val="2"/>
          <w:sz w:val="32"/>
          <w:szCs w:val="32"/>
          <w:highlight w:val="none"/>
          <w:lang w:val="en-US" w:eastAsia="zh-CN" w:bidi="ar-SA"/>
        </w:rPr>
      </w:pPr>
      <w:r>
        <w:rPr>
          <w:rFonts w:hint="eastAsia" w:ascii="黑体" w:hAnsi="黑体" w:eastAsia="黑体" w:cs="黑体"/>
          <w:b w:val="0"/>
          <w:bCs w:val="0"/>
          <w:color w:val="000000"/>
          <w:kern w:val="2"/>
          <w:sz w:val="32"/>
          <w:szCs w:val="32"/>
          <w:highlight w:val="none"/>
          <w:lang w:val="en-US" w:eastAsia="zh-CN" w:bidi="ar-SA"/>
        </w:rPr>
        <w:t>附件：</w:t>
      </w:r>
    </w:p>
    <w:p>
      <w:pPr>
        <w:pStyle w:val="20"/>
        <w:spacing w:line="360" w:lineRule="auto"/>
        <w:ind w:firstLine="0" w:firstLineChars="0"/>
        <w:jc w:val="center"/>
        <w:rPr>
          <w:rFonts w:hint="eastAsia" w:ascii="黑体" w:hAnsi="黑体" w:eastAsia="黑体" w:cs="黑体"/>
          <w:b w:val="0"/>
          <w:bCs w:val="0"/>
          <w:color w:val="000000"/>
          <w:kern w:val="2"/>
          <w:sz w:val="32"/>
          <w:szCs w:val="32"/>
          <w:highlight w:val="none"/>
          <w:lang w:val="en-US" w:eastAsia="zh-CN" w:bidi="ar-SA"/>
        </w:rPr>
      </w:pPr>
      <w:bookmarkStart w:id="0" w:name="_Toc345320402"/>
      <w:r>
        <w:rPr>
          <w:rFonts w:hint="eastAsia" w:ascii="黑体" w:hAnsi="黑体" w:eastAsia="黑体" w:cs="黑体"/>
          <w:b w:val="0"/>
          <w:bCs w:val="0"/>
          <w:color w:val="000000"/>
          <w:kern w:val="2"/>
          <w:sz w:val="32"/>
          <w:szCs w:val="32"/>
          <w:highlight w:val="none"/>
          <w:lang w:val="en-US" w:eastAsia="zh-CN" w:bidi="ar-SA"/>
        </w:rPr>
        <w:t>医院感染系统软件维护主要参数</w:t>
      </w:r>
    </w:p>
    <w:p>
      <w:pPr>
        <w:pStyle w:val="20"/>
        <w:widowControl/>
        <w:numPr>
          <w:ilvl w:val="0"/>
          <w:numId w:val="4"/>
        </w:numPr>
        <w:spacing w:beforeLines="50" w:afterLines="50" w:line="360" w:lineRule="auto"/>
        <w:ind w:firstLineChars="0"/>
        <w:jc w:val="left"/>
        <w:rPr>
          <w:rFonts w:ascii="宋体" w:hAnsi="宋体" w:cs="宋体"/>
          <w:b/>
          <w:sz w:val="30"/>
          <w:szCs w:val="30"/>
        </w:rPr>
      </w:pPr>
      <w:r>
        <w:rPr>
          <w:rFonts w:hint="eastAsia" w:ascii="宋体" w:hAnsi="宋体" w:cs="宋体"/>
          <w:b/>
          <w:sz w:val="30"/>
          <w:szCs w:val="30"/>
        </w:rPr>
        <w:t>基本参数要求</w:t>
      </w:r>
    </w:p>
    <w:p>
      <w:pPr>
        <w:pStyle w:val="4"/>
        <w:ind w:firstLine="0"/>
        <w:rPr>
          <w:sz w:val="24"/>
          <w:szCs w:val="24"/>
        </w:rPr>
      </w:pPr>
      <w:r>
        <w:rPr>
          <w:rFonts w:hint="eastAsia" w:ascii="黑体" w:hAnsi="黑体" w:eastAsia="黑体" w:cs="黑体"/>
          <w:b w:val="0"/>
          <w:bCs w:val="0"/>
          <w:color w:val="000000"/>
          <w:kern w:val="2"/>
          <w:sz w:val="24"/>
          <w:szCs w:val="24"/>
          <w:highlight w:val="none"/>
          <w:lang w:val="en-US" w:eastAsia="zh-CN" w:bidi="ar-SA"/>
        </w:rPr>
        <w:t>（一）服务时限：3年</w:t>
      </w:r>
    </w:p>
    <w:p>
      <w:pPr>
        <w:pStyle w:val="4"/>
        <w:ind w:firstLine="0"/>
        <w:rPr>
          <w:rFonts w:hint="eastAsia" w:ascii="黑体" w:hAnsi="黑体" w:eastAsia="黑体" w:cs="黑体"/>
          <w:b w:val="0"/>
          <w:bCs w:val="0"/>
          <w:color w:val="000000"/>
          <w:kern w:val="2"/>
          <w:sz w:val="24"/>
          <w:szCs w:val="24"/>
          <w:highlight w:val="none"/>
          <w:lang w:val="en-US" w:eastAsia="zh-CN" w:bidi="ar-SA"/>
        </w:rPr>
      </w:pPr>
      <w:r>
        <w:rPr>
          <w:rFonts w:hint="eastAsia" w:ascii="黑体" w:hAnsi="黑体" w:eastAsia="黑体" w:cs="黑体"/>
          <w:b w:val="0"/>
          <w:bCs w:val="0"/>
          <w:color w:val="000000"/>
          <w:kern w:val="2"/>
          <w:sz w:val="24"/>
          <w:szCs w:val="24"/>
          <w:highlight w:val="none"/>
          <w:lang w:val="en-US" w:eastAsia="zh-CN" w:bidi="ar-SA"/>
        </w:rPr>
        <w:t xml:space="preserve">（二）项目概述 </w:t>
      </w:r>
    </w:p>
    <w:p>
      <w:pPr>
        <w:pStyle w:val="4"/>
        <w:ind w:firstLine="420"/>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医院感染系统是一套运用于医院感染事件的系统，能够对医院感染相关因素进行监测和分析，受全球疫情的持续影响，国家对院感科工作也有了更高的要求和指示；使用科室为院感科，通过运用系统提示医院感染相关事件，防止医院感染事件的爆发。为了更好地开展医院感染监测工作，响应国家政策，特申请邀请专业的维保公司进行医院感染实时监测系统软件升级与维护服务。</w:t>
      </w:r>
    </w:p>
    <w:p>
      <w:pPr>
        <w:pStyle w:val="7"/>
        <w:ind w:left="0" w:leftChars="0" w:firstLine="0" w:firstLineChars="0"/>
        <w:rPr>
          <w:rFonts w:hint="eastAsia" w:ascii="黑体" w:hAnsi="黑体" w:eastAsia="黑体" w:cs="黑体"/>
          <w:b w:val="0"/>
          <w:bCs w:val="0"/>
          <w:color w:val="000000"/>
          <w:kern w:val="2"/>
          <w:sz w:val="24"/>
          <w:szCs w:val="24"/>
          <w:highlight w:val="none"/>
          <w:lang w:val="en-US" w:eastAsia="zh-CN" w:bidi="ar-SA"/>
        </w:rPr>
      </w:pPr>
      <w:r>
        <w:rPr>
          <w:rFonts w:hint="eastAsia" w:ascii="黑体" w:hAnsi="黑体" w:eastAsia="黑体" w:cs="黑体"/>
          <w:b w:val="0"/>
          <w:bCs w:val="0"/>
          <w:color w:val="000000"/>
          <w:kern w:val="2"/>
          <w:sz w:val="24"/>
          <w:szCs w:val="24"/>
          <w:highlight w:val="none"/>
          <w:lang w:val="en-US" w:eastAsia="zh-CN" w:bidi="ar-SA"/>
        </w:rPr>
        <w:t>（三）维护内容</w:t>
      </w:r>
    </w:p>
    <w:tbl>
      <w:tblPr>
        <w:tblW w:w="94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730"/>
        <w:gridCol w:w="7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21" w:type="dxa"/>
            <w:vAlign w:val="center"/>
          </w:tcPr>
          <w:p>
            <w:pPr>
              <w:spacing w:line="360" w:lineRule="auto"/>
              <w:jc w:val="center"/>
              <w:rPr>
                <w:rFonts w:hint="eastAsia"/>
                <w:b/>
                <w:bCs/>
                <w:sz w:val="21"/>
                <w:szCs w:val="21"/>
              </w:rPr>
            </w:pPr>
            <w:r>
              <w:rPr>
                <w:rFonts w:hint="eastAsia"/>
                <w:b/>
                <w:bCs/>
                <w:sz w:val="21"/>
                <w:szCs w:val="21"/>
              </w:rPr>
              <w:t>序号</w:t>
            </w:r>
          </w:p>
        </w:tc>
        <w:tc>
          <w:tcPr>
            <w:tcW w:w="1730" w:type="dxa"/>
            <w:vAlign w:val="center"/>
          </w:tcPr>
          <w:p>
            <w:pPr>
              <w:spacing w:line="360" w:lineRule="auto"/>
              <w:jc w:val="center"/>
              <w:rPr>
                <w:rFonts w:hint="eastAsia"/>
                <w:b/>
                <w:bCs/>
                <w:sz w:val="21"/>
                <w:szCs w:val="21"/>
              </w:rPr>
            </w:pPr>
            <w:r>
              <w:rPr>
                <w:rFonts w:hint="eastAsia"/>
                <w:b/>
                <w:bCs/>
                <w:sz w:val="21"/>
                <w:szCs w:val="21"/>
              </w:rPr>
              <w:t>服务内容</w:t>
            </w:r>
          </w:p>
        </w:tc>
        <w:tc>
          <w:tcPr>
            <w:tcW w:w="7150" w:type="dxa"/>
            <w:vAlign w:val="center"/>
          </w:tcPr>
          <w:p>
            <w:pPr>
              <w:spacing w:line="360" w:lineRule="auto"/>
              <w:jc w:val="center"/>
              <w:rPr>
                <w:rFonts w:hint="eastAsia"/>
                <w:b/>
                <w:bCs/>
                <w:sz w:val="21"/>
                <w:szCs w:val="21"/>
              </w:rPr>
            </w:pPr>
            <w:r>
              <w:rPr>
                <w:rFonts w:hint="eastAsia"/>
                <w:b/>
                <w:bCs/>
                <w:sz w:val="21"/>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521" w:type="dxa"/>
            <w:vAlign w:val="center"/>
          </w:tcPr>
          <w:p>
            <w:pPr>
              <w:spacing w:line="360" w:lineRule="auto"/>
              <w:jc w:val="center"/>
              <w:rPr>
                <w:rFonts w:hint="default"/>
                <w:b/>
                <w:bCs/>
                <w:sz w:val="21"/>
                <w:szCs w:val="21"/>
                <w:lang w:val="en-US" w:eastAsia="zh-CN"/>
              </w:rPr>
            </w:pPr>
            <w:r>
              <w:rPr>
                <w:rFonts w:hint="eastAsia"/>
                <w:b/>
                <w:bCs/>
                <w:sz w:val="21"/>
                <w:szCs w:val="21"/>
                <w:lang w:val="en-US" w:eastAsia="zh-CN"/>
              </w:rPr>
              <w:t>1</w:t>
            </w:r>
          </w:p>
        </w:tc>
        <w:tc>
          <w:tcPr>
            <w:tcW w:w="1730" w:type="dxa"/>
            <w:vAlign w:val="center"/>
          </w:tcPr>
          <w:p>
            <w:pPr>
              <w:spacing w:line="360" w:lineRule="auto"/>
              <w:jc w:val="center"/>
              <w:rPr>
                <w:rFonts w:hint="eastAsia" w:ascii="仿宋" w:hAnsi="仿宋" w:eastAsia="仿宋"/>
                <w:b/>
                <w:color w:val="000000"/>
                <w:kern w:val="2"/>
                <w:sz w:val="21"/>
                <w:szCs w:val="21"/>
                <w:highlight w:val="none"/>
                <w:lang w:val="en-US" w:eastAsia="zh-CN" w:bidi="ar-SA"/>
              </w:rPr>
            </w:pPr>
            <w:r>
              <w:rPr>
                <w:rFonts w:hint="eastAsia" w:ascii="仿宋" w:hAnsi="仿宋" w:eastAsia="仿宋"/>
                <w:b/>
                <w:color w:val="000000"/>
                <w:sz w:val="21"/>
                <w:szCs w:val="21"/>
                <w:highlight w:val="none"/>
                <w:lang w:val="en-US" w:eastAsia="zh-CN"/>
              </w:rPr>
              <w:t>院感监测规章解读及应用</w:t>
            </w:r>
          </w:p>
        </w:tc>
        <w:tc>
          <w:tcPr>
            <w:tcW w:w="7150" w:type="dxa"/>
            <w:vAlign w:val="top"/>
          </w:tcPr>
          <w:p>
            <w:pPr>
              <w:spacing w:line="360" w:lineRule="auto"/>
              <w:jc w:val="left"/>
              <w:rPr>
                <w:rFonts w:hint="eastAsia" w:ascii="仿宋" w:hAnsi="仿宋" w:eastAsia="仿宋"/>
                <w:color w:val="auto"/>
                <w:sz w:val="21"/>
                <w:szCs w:val="21"/>
                <w:highlight w:val="none"/>
                <w:lang w:val="en-US" w:eastAsia="zh-CN"/>
              </w:rPr>
            </w:pPr>
            <w:r>
              <w:rPr>
                <w:rFonts w:hint="eastAsia" w:ascii="仿宋" w:hAnsi="仿宋" w:eastAsia="仿宋"/>
                <w:color w:val="auto"/>
                <w:sz w:val="21"/>
                <w:szCs w:val="21"/>
                <w:highlight w:val="none"/>
                <w:lang w:val="en-US" w:eastAsia="zh-CN"/>
              </w:rPr>
              <w:t>基于国内最新颁布的院感监测规章制度，积极共享并提供解读及应用思路。</w:t>
            </w:r>
          </w:p>
          <w:p>
            <w:pPr>
              <w:numPr>
                <w:ilvl w:val="0"/>
                <w:numId w:val="5"/>
              </w:numPr>
              <w:spacing w:line="360" w:lineRule="auto"/>
              <w:jc w:val="left"/>
              <w:rPr>
                <w:rFonts w:hint="default" w:ascii="仿宋" w:hAnsi="仿宋" w:eastAsia="仿宋"/>
                <w:color w:val="auto"/>
                <w:kern w:val="2"/>
                <w:sz w:val="21"/>
                <w:szCs w:val="21"/>
                <w:highlight w:val="none"/>
                <w:lang w:val="en-US" w:eastAsia="zh-CN" w:bidi="ar-SA"/>
              </w:rPr>
            </w:pPr>
            <w:r>
              <w:rPr>
                <w:rFonts w:hint="eastAsia" w:ascii="仿宋" w:hAnsi="仿宋" w:eastAsia="仿宋"/>
                <w:color w:val="auto"/>
                <w:sz w:val="21"/>
                <w:szCs w:val="21"/>
                <w:highlight w:val="none"/>
                <w:lang w:val="en-US" w:eastAsia="zh-CN"/>
              </w:rPr>
              <w:t>安排专人提供最新的院感监测规章制度，并提供专业解读，比如：《关于印发“提高住院患者抗菌药物治疗前病原学送检率”专项行动指导意见的函》、《WS670—2021 医疗机构感染监测基本数据集》；</w:t>
            </w:r>
          </w:p>
          <w:p>
            <w:pPr>
              <w:numPr>
                <w:ilvl w:val="0"/>
                <w:numId w:val="5"/>
              </w:numPr>
              <w:spacing w:line="360" w:lineRule="auto"/>
              <w:jc w:val="left"/>
              <w:rPr>
                <w:rFonts w:hint="eastAsia" w:ascii="仿宋" w:hAnsi="仿宋" w:eastAsia="仿宋"/>
                <w:color w:val="auto"/>
                <w:kern w:val="2"/>
                <w:sz w:val="21"/>
                <w:szCs w:val="21"/>
                <w:highlight w:val="none"/>
                <w:lang w:val="en-US" w:eastAsia="zh-CN" w:bidi="ar-SA"/>
              </w:rPr>
            </w:pPr>
            <w:r>
              <w:rPr>
                <w:rFonts w:hint="eastAsia" w:ascii="仿宋" w:hAnsi="仿宋" w:eastAsia="仿宋"/>
                <w:color w:val="auto"/>
                <w:sz w:val="21"/>
                <w:szCs w:val="21"/>
                <w:highlight w:val="none"/>
                <w:lang w:val="en-US" w:eastAsia="zh-CN"/>
              </w:rPr>
              <w:t>基于最新的院感监测规章制度，提供建设性监测方案及配套系统功能模块，并协助院感科在院内开展相关工作，</w:t>
            </w:r>
            <w:r>
              <w:rPr>
                <w:rFonts w:hint="eastAsia" w:ascii="仿宋" w:hAnsi="仿宋" w:eastAsia="仿宋"/>
                <w:color w:val="auto"/>
                <w:kern w:val="2"/>
                <w:sz w:val="21"/>
                <w:szCs w:val="21"/>
                <w:highlight w:val="none"/>
                <w:lang w:val="en-US" w:eastAsia="zh-CN" w:bidi="ar-SA"/>
              </w:rPr>
              <w:t>如：配合《关于印发“提高住院患者抗菌药物治疗前病原学送检率”专项行动指导意见的函》开展医院感染诊断相关病原学送检率、联用使用重点药物前病原学送检率；配合《WS670—2021 医疗机构感染监测基本数据集》标化各项数据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521" w:type="dxa"/>
            <w:vAlign w:val="center"/>
          </w:tcPr>
          <w:p>
            <w:pPr>
              <w:spacing w:line="360" w:lineRule="auto"/>
              <w:jc w:val="center"/>
              <w:rPr>
                <w:rFonts w:hint="default"/>
                <w:b/>
                <w:bCs/>
                <w:sz w:val="21"/>
                <w:szCs w:val="21"/>
                <w:lang w:val="en-US" w:eastAsia="zh-CN"/>
              </w:rPr>
            </w:pPr>
            <w:r>
              <w:rPr>
                <w:rFonts w:hint="eastAsia"/>
                <w:b/>
                <w:bCs/>
                <w:sz w:val="21"/>
                <w:szCs w:val="21"/>
                <w:lang w:val="en-US" w:eastAsia="zh-CN"/>
              </w:rPr>
              <w:t>2</w:t>
            </w:r>
          </w:p>
        </w:tc>
        <w:tc>
          <w:tcPr>
            <w:tcW w:w="1730" w:type="dxa"/>
            <w:vAlign w:val="center"/>
          </w:tcPr>
          <w:p>
            <w:pPr>
              <w:spacing w:line="360" w:lineRule="auto"/>
              <w:jc w:val="center"/>
              <w:rPr>
                <w:rFonts w:hint="eastAsia" w:ascii="仿宋" w:hAnsi="仿宋" w:eastAsia="仿宋"/>
                <w:b/>
                <w:color w:val="000000"/>
                <w:kern w:val="2"/>
                <w:sz w:val="21"/>
                <w:szCs w:val="21"/>
                <w:lang w:val="en-US" w:eastAsia="zh-CN" w:bidi="ar-SA"/>
              </w:rPr>
            </w:pPr>
            <w:r>
              <w:rPr>
                <w:rFonts w:hint="eastAsia" w:ascii="仿宋" w:hAnsi="仿宋" w:eastAsia="仿宋"/>
                <w:b/>
                <w:color w:val="000000"/>
                <w:sz w:val="21"/>
                <w:szCs w:val="21"/>
                <w:lang w:val="en-US" w:eastAsia="zh-CN"/>
              </w:rPr>
              <w:t>院感监测管理流程方案提供</w:t>
            </w:r>
          </w:p>
        </w:tc>
        <w:tc>
          <w:tcPr>
            <w:tcW w:w="7150" w:type="dxa"/>
            <w:vAlign w:val="top"/>
          </w:tcPr>
          <w:p>
            <w:pPr>
              <w:spacing w:line="360" w:lineRule="auto"/>
              <w:jc w:val="left"/>
              <w:rPr>
                <w:rFonts w:hint="eastAsia" w:ascii="仿宋" w:hAnsi="仿宋" w:eastAsia="仿宋"/>
                <w:sz w:val="21"/>
                <w:szCs w:val="21"/>
                <w:lang w:val="en-US" w:eastAsia="zh-CN"/>
              </w:rPr>
            </w:pPr>
            <w:r>
              <w:rPr>
                <w:rFonts w:hint="eastAsia" w:ascii="仿宋" w:hAnsi="仿宋" w:eastAsia="仿宋"/>
                <w:sz w:val="21"/>
                <w:szCs w:val="21"/>
                <w:lang w:val="en-US" w:eastAsia="zh-CN"/>
              </w:rPr>
              <w:t>向院感科提供各类优质的院感业务监测管理方案，切实解决院感监测工作中各项难题，方案包括但不限于：</w:t>
            </w:r>
          </w:p>
          <w:p>
            <w:pPr>
              <w:spacing w:line="360" w:lineRule="auto"/>
              <w:jc w:val="left"/>
              <w:rPr>
                <w:rFonts w:hint="eastAsia" w:ascii="仿宋" w:hAnsi="仿宋" w:eastAsia="仿宋"/>
                <w:sz w:val="21"/>
                <w:szCs w:val="21"/>
                <w:lang w:val="en-US" w:eastAsia="zh-CN"/>
              </w:rPr>
            </w:pPr>
            <w:r>
              <w:rPr>
                <w:rFonts w:hint="eastAsia" w:ascii="仿宋" w:hAnsi="仿宋" w:eastAsia="仿宋"/>
                <w:sz w:val="21"/>
                <w:szCs w:val="21"/>
                <w:lang w:val="en-US" w:eastAsia="zh-CN"/>
              </w:rPr>
              <w:t>1、提高医院内MDR隔离措施落实率的方案；</w:t>
            </w:r>
          </w:p>
          <w:p>
            <w:pPr>
              <w:spacing w:line="360" w:lineRule="auto"/>
              <w:jc w:val="left"/>
              <w:rPr>
                <w:rFonts w:hint="eastAsia" w:ascii="仿宋" w:hAnsi="仿宋" w:eastAsia="仿宋"/>
                <w:sz w:val="21"/>
                <w:szCs w:val="21"/>
                <w:lang w:val="en-US" w:eastAsia="zh-CN"/>
              </w:rPr>
            </w:pPr>
            <w:r>
              <w:rPr>
                <w:rFonts w:hint="eastAsia" w:ascii="仿宋" w:hAnsi="仿宋" w:eastAsia="仿宋"/>
                <w:sz w:val="21"/>
                <w:szCs w:val="21"/>
                <w:lang w:val="en-US" w:eastAsia="zh-CN"/>
              </w:rPr>
              <w:t>2、提高医院内抗菌药物治疗前送检的方案；</w:t>
            </w:r>
          </w:p>
          <w:p>
            <w:pPr>
              <w:spacing w:line="360" w:lineRule="auto"/>
              <w:jc w:val="left"/>
              <w:rPr>
                <w:rFonts w:hint="eastAsia" w:ascii="仿宋" w:hAnsi="仿宋" w:eastAsia="仿宋"/>
                <w:kern w:val="2"/>
                <w:sz w:val="21"/>
                <w:szCs w:val="21"/>
                <w:lang w:val="en-US" w:eastAsia="zh-CN" w:bidi="ar-SA"/>
              </w:rPr>
            </w:pPr>
            <w:r>
              <w:rPr>
                <w:rFonts w:hint="eastAsia" w:ascii="仿宋" w:hAnsi="仿宋" w:eastAsia="仿宋"/>
                <w:sz w:val="21"/>
                <w:szCs w:val="21"/>
                <w:lang w:val="en-US" w:eastAsia="zh-CN"/>
              </w:rPr>
              <w:t>3、降低临床院感病例漏报率的方案。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521" w:type="dxa"/>
            <w:vAlign w:val="center"/>
          </w:tcPr>
          <w:p>
            <w:pPr>
              <w:spacing w:line="360" w:lineRule="auto"/>
              <w:jc w:val="center"/>
              <w:rPr>
                <w:rFonts w:hint="default"/>
                <w:b/>
                <w:bCs/>
                <w:sz w:val="21"/>
                <w:szCs w:val="21"/>
                <w:lang w:val="en-US" w:eastAsia="zh-CN"/>
              </w:rPr>
            </w:pPr>
            <w:r>
              <w:rPr>
                <w:rFonts w:hint="eastAsia"/>
                <w:b/>
                <w:bCs/>
                <w:sz w:val="21"/>
                <w:szCs w:val="21"/>
                <w:lang w:val="en-US" w:eastAsia="zh-CN"/>
              </w:rPr>
              <w:t>3</w:t>
            </w:r>
          </w:p>
        </w:tc>
        <w:tc>
          <w:tcPr>
            <w:tcW w:w="1730" w:type="dxa"/>
            <w:vAlign w:val="center"/>
          </w:tcPr>
          <w:p>
            <w:pPr>
              <w:spacing w:line="360" w:lineRule="auto"/>
              <w:jc w:val="center"/>
              <w:rPr>
                <w:rFonts w:hint="eastAsia" w:ascii="仿宋" w:hAnsi="仿宋" w:eastAsia="仿宋"/>
                <w:b/>
                <w:color w:val="000000"/>
                <w:kern w:val="2"/>
                <w:sz w:val="21"/>
                <w:szCs w:val="21"/>
                <w:highlight w:val="none"/>
                <w:lang w:val="en-US" w:eastAsia="zh-CN" w:bidi="ar-SA"/>
              </w:rPr>
            </w:pPr>
            <w:r>
              <w:rPr>
                <w:rFonts w:hint="eastAsia" w:ascii="仿宋" w:hAnsi="仿宋" w:eastAsia="仿宋"/>
                <w:b/>
                <w:bCs w:val="0"/>
                <w:color w:val="000000"/>
                <w:sz w:val="21"/>
                <w:szCs w:val="21"/>
                <w:highlight w:val="none"/>
                <w:lang w:val="en-US" w:eastAsia="zh-CN"/>
              </w:rPr>
              <w:t>系统升级</w:t>
            </w:r>
          </w:p>
        </w:tc>
        <w:tc>
          <w:tcPr>
            <w:tcW w:w="7150" w:type="dxa"/>
            <w:vAlign w:val="top"/>
          </w:tcPr>
          <w:p>
            <w:pPr>
              <w:spacing w:line="360" w:lineRule="auto"/>
              <w:jc w:val="left"/>
              <w:rPr>
                <w:rFonts w:hint="eastAsia" w:ascii="仿宋" w:hAnsi="仿宋" w:eastAsia="仿宋"/>
                <w:color w:val="auto"/>
                <w:kern w:val="2"/>
                <w:sz w:val="21"/>
                <w:szCs w:val="21"/>
                <w:highlight w:val="none"/>
                <w:lang w:val="en-US" w:eastAsia="zh-CN" w:bidi="ar-SA"/>
              </w:rPr>
            </w:pPr>
            <w:r>
              <w:rPr>
                <w:rFonts w:hint="eastAsia" w:ascii="仿宋" w:hAnsi="仿宋" w:eastAsia="仿宋"/>
                <w:color w:val="auto"/>
                <w:sz w:val="21"/>
                <w:szCs w:val="21"/>
                <w:highlight w:val="none"/>
                <w:lang w:val="en-US" w:eastAsia="zh-CN"/>
              </w:rPr>
              <w:t>安排工程师为医院进行系统升级，</w:t>
            </w:r>
            <w:r>
              <w:rPr>
                <w:rFonts w:hint="eastAsia" w:ascii="仿宋" w:hAnsi="仿宋" w:eastAsia="仿宋"/>
                <w:color w:val="auto"/>
                <w:kern w:val="2"/>
                <w:sz w:val="21"/>
                <w:szCs w:val="21"/>
                <w:highlight w:val="none"/>
                <w:lang w:val="en-US" w:eastAsia="zh-CN" w:bidi="ar-SA"/>
              </w:rPr>
              <w:t>提供各项升级后的服务内容：</w:t>
            </w:r>
          </w:p>
          <w:p>
            <w:pPr>
              <w:numPr>
                <w:ilvl w:val="0"/>
                <w:numId w:val="6"/>
              </w:numPr>
              <w:spacing w:line="360" w:lineRule="auto"/>
              <w:jc w:val="left"/>
              <w:rPr>
                <w:rFonts w:hint="default" w:ascii="仿宋" w:hAnsi="仿宋" w:eastAsia="仿宋"/>
                <w:color w:val="auto"/>
                <w:kern w:val="2"/>
                <w:sz w:val="21"/>
                <w:szCs w:val="21"/>
                <w:highlight w:val="none"/>
                <w:lang w:val="en-US" w:eastAsia="zh-CN" w:bidi="ar-SA"/>
              </w:rPr>
            </w:pPr>
            <w:r>
              <w:rPr>
                <w:rFonts w:hint="eastAsia" w:ascii="仿宋" w:hAnsi="仿宋" w:eastAsia="仿宋"/>
                <w:color w:val="auto"/>
                <w:kern w:val="2"/>
                <w:sz w:val="21"/>
                <w:szCs w:val="21"/>
                <w:highlight w:val="none"/>
                <w:lang w:val="en-US" w:eastAsia="zh-CN" w:bidi="ar-SA"/>
              </w:rPr>
              <w:t>提供契合于国家最新院感监测规范的各类功能模块，如：配合《关于印发“提高住院患者抗菌药物治疗前病原学送检率”专项行动指导意见的函》开展医院感染诊断相关病原学送检率、联用使用重点药物前病原学送检率等；</w:t>
            </w:r>
          </w:p>
          <w:p>
            <w:pPr>
              <w:numPr>
                <w:ilvl w:val="0"/>
                <w:numId w:val="6"/>
              </w:numPr>
              <w:spacing w:line="360" w:lineRule="auto"/>
              <w:jc w:val="left"/>
              <w:rPr>
                <w:rFonts w:hint="eastAsia" w:ascii="仿宋" w:hAnsi="仿宋" w:eastAsia="仿宋"/>
                <w:color w:val="auto"/>
                <w:kern w:val="2"/>
                <w:sz w:val="21"/>
                <w:szCs w:val="21"/>
                <w:highlight w:val="none"/>
                <w:lang w:val="en-US" w:eastAsia="zh-CN" w:bidi="ar-SA"/>
              </w:rPr>
            </w:pPr>
            <w:r>
              <w:rPr>
                <w:rFonts w:hint="eastAsia" w:ascii="仿宋" w:hAnsi="仿宋" w:eastAsia="仿宋"/>
                <w:color w:val="auto"/>
                <w:kern w:val="2"/>
                <w:sz w:val="21"/>
                <w:szCs w:val="21"/>
                <w:highlight w:val="none"/>
                <w:lang w:val="en-US" w:eastAsia="zh-CN" w:bidi="ar-SA"/>
              </w:rPr>
              <w:t>优化系统现有功能并提高稳定性。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521" w:type="dxa"/>
            <w:vAlign w:val="center"/>
          </w:tcPr>
          <w:p>
            <w:pPr>
              <w:spacing w:line="360" w:lineRule="auto"/>
              <w:jc w:val="center"/>
              <w:rPr>
                <w:rFonts w:hint="eastAsia" w:eastAsia="宋体"/>
                <w:b/>
                <w:bCs/>
                <w:kern w:val="2"/>
                <w:sz w:val="21"/>
                <w:szCs w:val="21"/>
                <w:lang w:val="en-US" w:eastAsia="zh-CN" w:bidi="ar-SA"/>
              </w:rPr>
            </w:pPr>
            <w:r>
              <w:rPr>
                <w:rFonts w:hint="eastAsia" w:eastAsia="宋体"/>
                <w:b/>
                <w:bCs/>
                <w:sz w:val="21"/>
                <w:szCs w:val="21"/>
                <w:lang w:val="en-US" w:eastAsia="zh-CN"/>
              </w:rPr>
              <w:t>4</w:t>
            </w:r>
          </w:p>
        </w:tc>
        <w:tc>
          <w:tcPr>
            <w:tcW w:w="1730" w:type="dxa"/>
            <w:vAlign w:val="center"/>
          </w:tcPr>
          <w:p>
            <w:pPr>
              <w:spacing w:line="360" w:lineRule="auto"/>
              <w:jc w:val="center"/>
              <w:rPr>
                <w:rFonts w:hint="eastAsia" w:ascii="仿宋" w:hAnsi="仿宋" w:eastAsia="仿宋"/>
                <w:b/>
                <w:color w:val="000000"/>
                <w:kern w:val="2"/>
                <w:sz w:val="21"/>
                <w:szCs w:val="21"/>
                <w:lang w:val="en-US" w:eastAsia="zh-CN" w:bidi="ar-SA"/>
              </w:rPr>
            </w:pPr>
            <w:r>
              <w:rPr>
                <w:rFonts w:hint="eastAsia" w:ascii="仿宋" w:hAnsi="仿宋" w:eastAsia="仿宋"/>
                <w:b/>
                <w:color w:val="000000"/>
                <w:sz w:val="21"/>
                <w:szCs w:val="21"/>
                <w:lang w:val="en-US" w:eastAsia="zh-CN"/>
              </w:rPr>
              <w:t>现场服务</w:t>
            </w:r>
          </w:p>
        </w:tc>
        <w:tc>
          <w:tcPr>
            <w:tcW w:w="7150" w:type="dxa"/>
            <w:vAlign w:val="top"/>
          </w:tcPr>
          <w:p>
            <w:pPr>
              <w:spacing w:line="360" w:lineRule="auto"/>
              <w:jc w:val="left"/>
              <w:rPr>
                <w:rFonts w:hint="eastAsia" w:ascii="仿宋" w:hAnsi="仿宋" w:eastAsia="仿宋"/>
                <w:color w:val="auto"/>
                <w:kern w:val="2"/>
                <w:sz w:val="21"/>
                <w:szCs w:val="21"/>
                <w:lang w:val="en-US" w:eastAsia="zh-CN" w:bidi="ar-SA"/>
              </w:rPr>
            </w:pPr>
            <w:r>
              <w:rPr>
                <w:rFonts w:hint="eastAsia" w:ascii="仿宋" w:hAnsi="仿宋" w:eastAsia="仿宋"/>
                <w:color w:val="auto"/>
                <w:kern w:val="2"/>
                <w:sz w:val="21"/>
                <w:szCs w:val="21"/>
                <w:lang w:val="en-US" w:eastAsia="zh-CN" w:bidi="ar-SA"/>
              </w:rPr>
              <w:t>安排工程师进行现场服务，为院感科提供以下服务内容：</w:t>
            </w:r>
          </w:p>
          <w:p>
            <w:pPr>
              <w:numPr>
                <w:ilvl w:val="0"/>
                <w:numId w:val="7"/>
              </w:numPr>
              <w:spacing w:line="360" w:lineRule="auto"/>
              <w:jc w:val="left"/>
              <w:rPr>
                <w:rFonts w:hint="eastAsia" w:ascii="仿宋" w:hAnsi="仿宋" w:eastAsia="仿宋"/>
                <w:color w:val="auto"/>
                <w:kern w:val="2"/>
                <w:sz w:val="21"/>
                <w:szCs w:val="21"/>
                <w:lang w:val="en-US" w:eastAsia="zh-CN" w:bidi="ar-SA"/>
              </w:rPr>
            </w:pPr>
            <w:r>
              <w:rPr>
                <w:rFonts w:hint="eastAsia" w:ascii="仿宋" w:hAnsi="仿宋" w:eastAsia="仿宋"/>
                <w:color w:val="auto"/>
                <w:kern w:val="2"/>
                <w:sz w:val="21"/>
                <w:szCs w:val="21"/>
                <w:lang w:val="en-US" w:eastAsia="zh-CN" w:bidi="ar-SA"/>
              </w:rPr>
              <w:t>调查医院各项工作目前业务流程以及存在问题，协助院感科利用系统开展各项院感监测工作</w:t>
            </w:r>
            <w:r>
              <w:rPr>
                <w:rFonts w:hint="eastAsia" w:ascii="仿宋" w:hAnsi="仿宋" w:eastAsia="仿宋"/>
                <w:color w:val="auto"/>
                <w:kern w:val="2"/>
                <w:sz w:val="21"/>
                <w:szCs w:val="21"/>
                <w:highlight w:val="none"/>
                <w:lang w:val="en-US" w:eastAsia="zh-CN" w:bidi="ar-SA"/>
              </w:rPr>
              <w:t>并提出专业化改进建议；</w:t>
            </w:r>
          </w:p>
          <w:p>
            <w:pPr>
              <w:numPr>
                <w:ilvl w:val="0"/>
                <w:numId w:val="7"/>
              </w:numPr>
              <w:tabs>
                <w:tab w:val="left" w:pos="1057"/>
              </w:tabs>
              <w:spacing w:line="360" w:lineRule="auto"/>
              <w:jc w:val="left"/>
              <w:rPr>
                <w:rFonts w:hint="default" w:ascii="仿宋" w:hAnsi="仿宋" w:eastAsia="仿宋"/>
                <w:color w:val="auto"/>
                <w:kern w:val="2"/>
                <w:sz w:val="21"/>
                <w:szCs w:val="21"/>
                <w:lang w:val="en-US" w:eastAsia="zh-CN" w:bidi="ar-SA"/>
              </w:rPr>
            </w:pPr>
            <w:r>
              <w:rPr>
                <w:rFonts w:hint="eastAsia" w:ascii="仿宋" w:hAnsi="仿宋" w:eastAsia="仿宋"/>
                <w:color w:val="auto"/>
                <w:kern w:val="2"/>
                <w:sz w:val="21"/>
                <w:szCs w:val="21"/>
                <w:lang w:val="en-US" w:eastAsia="zh-CN" w:bidi="ar-SA"/>
              </w:rPr>
              <w:t>完成数据准确性核查，确保系统稳定；</w:t>
            </w:r>
          </w:p>
          <w:p>
            <w:pPr>
              <w:numPr>
                <w:ilvl w:val="0"/>
                <w:numId w:val="7"/>
              </w:numPr>
              <w:tabs>
                <w:tab w:val="left" w:pos="1057"/>
              </w:tabs>
              <w:spacing w:line="360" w:lineRule="auto"/>
              <w:jc w:val="left"/>
              <w:rPr>
                <w:rFonts w:hint="default" w:ascii="仿宋" w:hAnsi="仿宋" w:eastAsia="仿宋"/>
                <w:color w:val="auto"/>
                <w:kern w:val="2"/>
                <w:sz w:val="21"/>
                <w:szCs w:val="21"/>
                <w:lang w:val="en-US" w:eastAsia="zh-CN" w:bidi="ar-SA"/>
              </w:rPr>
            </w:pPr>
            <w:r>
              <w:rPr>
                <w:rFonts w:hint="eastAsia" w:ascii="仿宋" w:hAnsi="仿宋" w:eastAsia="仿宋"/>
                <w:color w:val="auto"/>
                <w:kern w:val="2"/>
                <w:sz w:val="21"/>
                <w:szCs w:val="21"/>
                <w:lang w:val="en-US" w:eastAsia="zh-CN" w:bidi="ar-SA"/>
              </w:rPr>
              <w:t>完成院感科专职人员培训，保证专职人员能通过系统高效开展工作；</w:t>
            </w:r>
          </w:p>
          <w:p>
            <w:pPr>
              <w:numPr>
                <w:ilvl w:val="0"/>
                <w:numId w:val="7"/>
              </w:numPr>
              <w:tabs>
                <w:tab w:val="left" w:pos="1057"/>
              </w:tabs>
              <w:spacing w:line="360" w:lineRule="auto"/>
              <w:jc w:val="left"/>
              <w:rPr>
                <w:rFonts w:hint="default" w:ascii="仿宋" w:hAnsi="仿宋" w:eastAsia="仿宋"/>
                <w:color w:val="auto"/>
                <w:kern w:val="2"/>
                <w:sz w:val="21"/>
                <w:szCs w:val="21"/>
                <w:lang w:val="en-US" w:eastAsia="zh-CN" w:bidi="ar-SA"/>
              </w:rPr>
            </w:pPr>
            <w:r>
              <w:rPr>
                <w:rFonts w:hint="eastAsia" w:ascii="仿宋" w:hAnsi="仿宋" w:eastAsia="仿宋"/>
                <w:color w:val="auto"/>
                <w:kern w:val="2"/>
                <w:sz w:val="21"/>
                <w:szCs w:val="21"/>
                <w:lang w:val="en-US" w:eastAsia="zh-CN" w:bidi="ar-SA"/>
              </w:rPr>
              <w:t>完成临床医生培训，保证临床医生通过系统上报院感病例。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21" w:type="dxa"/>
            <w:vAlign w:val="center"/>
          </w:tcPr>
          <w:p>
            <w:pPr>
              <w:spacing w:line="360" w:lineRule="auto"/>
              <w:jc w:val="center"/>
              <w:rPr>
                <w:rFonts w:hint="default" w:eastAsia="宋体"/>
                <w:b/>
                <w:bCs/>
                <w:kern w:val="2"/>
                <w:sz w:val="21"/>
                <w:szCs w:val="21"/>
                <w:lang w:val="en-US" w:eastAsia="zh-CN" w:bidi="ar-SA"/>
              </w:rPr>
            </w:pPr>
            <w:r>
              <w:rPr>
                <w:rFonts w:hint="eastAsia" w:eastAsia="宋体"/>
                <w:b/>
                <w:bCs/>
                <w:kern w:val="2"/>
                <w:sz w:val="21"/>
                <w:szCs w:val="21"/>
                <w:lang w:val="en-US" w:eastAsia="zh-CN" w:bidi="ar-SA"/>
              </w:rPr>
              <w:t>5</w:t>
            </w:r>
          </w:p>
        </w:tc>
        <w:tc>
          <w:tcPr>
            <w:tcW w:w="1730" w:type="dxa"/>
            <w:vAlign w:val="center"/>
          </w:tcPr>
          <w:p>
            <w:pPr>
              <w:spacing w:line="360" w:lineRule="auto"/>
              <w:jc w:val="center"/>
              <w:rPr>
                <w:rFonts w:hint="eastAsia" w:ascii="仿宋" w:hAnsi="仿宋" w:eastAsia="仿宋"/>
                <w:b/>
                <w:color w:val="000000"/>
                <w:kern w:val="2"/>
                <w:sz w:val="21"/>
                <w:szCs w:val="21"/>
                <w:lang w:val="en-US" w:eastAsia="zh-CN" w:bidi="ar-SA"/>
              </w:rPr>
            </w:pPr>
            <w:r>
              <w:rPr>
                <w:rFonts w:hint="eastAsia" w:ascii="仿宋" w:hAnsi="仿宋" w:eastAsia="仿宋"/>
                <w:b/>
                <w:color w:val="000000"/>
                <w:sz w:val="21"/>
                <w:szCs w:val="21"/>
                <w:lang w:val="en-US" w:eastAsia="zh-CN"/>
              </w:rPr>
              <w:t>院感科新进人员一对一专人培训</w:t>
            </w:r>
          </w:p>
        </w:tc>
        <w:tc>
          <w:tcPr>
            <w:tcW w:w="7150" w:type="dxa"/>
            <w:vAlign w:val="top"/>
          </w:tcPr>
          <w:p>
            <w:pPr>
              <w:spacing w:line="360" w:lineRule="auto"/>
              <w:jc w:val="left"/>
              <w:rPr>
                <w:rFonts w:hint="eastAsia" w:ascii="仿宋" w:hAnsi="仿宋" w:eastAsia="仿宋"/>
                <w:sz w:val="21"/>
                <w:szCs w:val="21"/>
                <w:lang w:val="en-US" w:eastAsia="zh-CN"/>
              </w:rPr>
            </w:pPr>
            <w:r>
              <w:rPr>
                <w:rFonts w:hint="eastAsia" w:ascii="仿宋" w:hAnsi="仿宋" w:eastAsia="仿宋"/>
                <w:sz w:val="21"/>
                <w:szCs w:val="21"/>
                <w:lang w:val="en-US" w:eastAsia="zh-CN"/>
              </w:rPr>
              <w:t>根据国家政策中对院感科岗位的扩编要求，提供对院感科新进人</w:t>
            </w:r>
            <w:r>
              <w:rPr>
                <w:rFonts w:hint="eastAsia" w:ascii="仿宋" w:hAnsi="仿宋" w:eastAsia="仿宋" w:cs="Times New Roman"/>
                <w:sz w:val="21"/>
                <w:szCs w:val="21"/>
                <w:lang w:val="en-US" w:eastAsia="zh-CN"/>
              </w:rPr>
              <w:t>员进行理论学习和操作培训，帮</w:t>
            </w:r>
            <w:r>
              <w:rPr>
                <w:rFonts w:hint="eastAsia" w:ascii="仿宋" w:hAnsi="仿宋" w:eastAsia="仿宋"/>
                <w:sz w:val="21"/>
                <w:szCs w:val="21"/>
                <w:lang w:val="en-US" w:eastAsia="zh-CN"/>
              </w:rPr>
              <w:t>助新进人员快速上岗，服务内容包括但不限于：</w:t>
            </w:r>
          </w:p>
          <w:p>
            <w:pPr>
              <w:numPr>
                <w:ilvl w:val="0"/>
                <w:numId w:val="8"/>
              </w:numPr>
              <w:spacing w:line="360" w:lineRule="auto"/>
              <w:jc w:val="left"/>
              <w:rPr>
                <w:rFonts w:hint="eastAsia" w:ascii="仿宋" w:hAnsi="仿宋" w:eastAsia="仿宋"/>
                <w:sz w:val="21"/>
                <w:szCs w:val="21"/>
                <w:lang w:val="en-US" w:eastAsia="zh-CN"/>
              </w:rPr>
            </w:pPr>
            <w:r>
              <w:rPr>
                <w:rFonts w:hint="eastAsia" w:ascii="仿宋" w:hAnsi="仿宋" w:eastAsia="仿宋"/>
                <w:sz w:val="21"/>
                <w:szCs w:val="21"/>
                <w:lang w:val="en-US" w:eastAsia="zh-CN"/>
              </w:rPr>
              <w:t>讲解各项系统功能，确保院感科快速掌握；</w:t>
            </w:r>
          </w:p>
          <w:p>
            <w:pPr>
              <w:numPr>
                <w:ilvl w:val="0"/>
                <w:numId w:val="8"/>
              </w:numPr>
              <w:spacing w:line="360" w:lineRule="auto"/>
              <w:jc w:val="left"/>
              <w:rPr>
                <w:rFonts w:hint="default" w:ascii="仿宋" w:hAnsi="仿宋" w:eastAsia="仿宋"/>
                <w:sz w:val="21"/>
                <w:szCs w:val="21"/>
                <w:lang w:val="en-US" w:eastAsia="zh-CN"/>
              </w:rPr>
            </w:pPr>
            <w:r>
              <w:rPr>
                <w:rFonts w:hint="eastAsia" w:ascii="仿宋" w:hAnsi="仿宋" w:eastAsia="仿宋"/>
                <w:sz w:val="21"/>
                <w:szCs w:val="21"/>
                <w:lang w:val="en-US" w:eastAsia="zh-CN"/>
              </w:rPr>
              <w:t>讲解各项院感监测业务，涵盖业务背景、监测难点、常见问题；</w:t>
            </w:r>
          </w:p>
          <w:p>
            <w:pPr>
              <w:numPr>
                <w:ilvl w:val="0"/>
                <w:numId w:val="8"/>
              </w:numPr>
              <w:spacing w:line="360" w:lineRule="auto"/>
              <w:jc w:val="left"/>
              <w:rPr>
                <w:rFonts w:hint="eastAsia" w:ascii="仿宋" w:hAnsi="仿宋" w:eastAsia="仿宋"/>
                <w:kern w:val="2"/>
                <w:sz w:val="21"/>
                <w:szCs w:val="21"/>
                <w:lang w:val="en-US" w:eastAsia="zh-CN" w:bidi="ar-SA"/>
              </w:rPr>
            </w:pPr>
            <w:r>
              <w:rPr>
                <w:rFonts w:hint="eastAsia" w:ascii="仿宋" w:hAnsi="仿宋" w:eastAsia="仿宋"/>
                <w:sz w:val="21"/>
                <w:szCs w:val="21"/>
                <w:lang w:val="en-US" w:eastAsia="zh-CN"/>
              </w:rPr>
              <w:t>基于各项业务的监测难点和常见问题，结合区域内监测方向和要求，提供专业化改进方案。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21" w:type="dxa"/>
            <w:vAlign w:val="center"/>
          </w:tcPr>
          <w:p>
            <w:pPr>
              <w:spacing w:line="360" w:lineRule="auto"/>
              <w:jc w:val="center"/>
              <w:rPr>
                <w:rFonts w:hint="default" w:eastAsia="宋体"/>
                <w:b/>
                <w:bCs/>
                <w:kern w:val="2"/>
                <w:sz w:val="21"/>
                <w:szCs w:val="21"/>
                <w:lang w:val="en-US" w:eastAsia="zh-CN" w:bidi="ar-SA"/>
              </w:rPr>
            </w:pPr>
            <w:r>
              <w:rPr>
                <w:rFonts w:hint="eastAsia" w:eastAsia="宋体"/>
                <w:b/>
                <w:bCs/>
                <w:sz w:val="21"/>
                <w:szCs w:val="21"/>
                <w:lang w:val="en-US" w:eastAsia="zh-CN"/>
              </w:rPr>
              <w:t>6</w:t>
            </w:r>
          </w:p>
        </w:tc>
        <w:tc>
          <w:tcPr>
            <w:tcW w:w="1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b/>
                <w:color w:val="000000"/>
                <w:kern w:val="2"/>
                <w:sz w:val="21"/>
                <w:szCs w:val="21"/>
                <w:lang w:val="en-US" w:eastAsia="zh-CN" w:bidi="ar-SA"/>
              </w:rPr>
            </w:pPr>
            <w:r>
              <w:rPr>
                <w:rFonts w:hint="eastAsia" w:ascii="仿宋" w:hAnsi="仿宋" w:eastAsia="仿宋"/>
                <w:b/>
                <w:color w:val="000000"/>
                <w:sz w:val="21"/>
                <w:szCs w:val="21"/>
                <w:lang w:val="en-US" w:eastAsia="zh-CN"/>
              </w:rPr>
              <w:t>培训网络技术中心系统维护人员</w:t>
            </w:r>
          </w:p>
        </w:tc>
        <w:tc>
          <w:tcPr>
            <w:tcW w:w="7150" w:type="dxa"/>
            <w:tcBorders>
              <w:top w:val="single" w:color="auto" w:sz="4" w:space="0"/>
              <w:left w:val="single" w:color="auto" w:sz="4" w:space="0"/>
              <w:bottom w:val="single" w:color="auto" w:sz="4" w:space="0"/>
              <w:right w:val="single" w:color="auto" w:sz="4" w:space="0"/>
            </w:tcBorders>
            <w:vAlign w:val="top"/>
          </w:tcPr>
          <w:p>
            <w:pPr>
              <w:spacing w:line="360" w:lineRule="auto"/>
              <w:jc w:val="left"/>
              <w:rPr>
                <w:rFonts w:hint="default" w:ascii="仿宋" w:hAnsi="仿宋" w:eastAsia="仿宋"/>
                <w:kern w:val="2"/>
                <w:sz w:val="21"/>
                <w:szCs w:val="21"/>
                <w:lang w:val="en-US" w:eastAsia="zh-CN" w:bidi="ar-SA"/>
              </w:rPr>
            </w:pPr>
            <w:r>
              <w:rPr>
                <w:rFonts w:hint="eastAsia" w:ascii="仿宋" w:hAnsi="仿宋" w:eastAsia="仿宋"/>
                <w:sz w:val="21"/>
                <w:szCs w:val="21"/>
                <w:lang w:val="en-US" w:eastAsia="zh-CN"/>
              </w:rPr>
              <w:t>安排人员对网络技术中心的系统维护人员进行培训，保证能够进行日常的运行维护、系统重启、新建用户等。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21" w:type="dxa"/>
            <w:vAlign w:val="center"/>
          </w:tcPr>
          <w:p>
            <w:pPr>
              <w:spacing w:line="360" w:lineRule="auto"/>
              <w:jc w:val="center"/>
              <w:rPr>
                <w:rFonts w:hint="default"/>
                <w:b/>
                <w:bCs/>
                <w:kern w:val="2"/>
                <w:sz w:val="21"/>
                <w:szCs w:val="21"/>
                <w:lang w:val="en-US" w:eastAsia="zh-CN" w:bidi="ar-SA"/>
              </w:rPr>
            </w:pPr>
            <w:r>
              <w:rPr>
                <w:rFonts w:hint="eastAsia" w:eastAsia="宋体"/>
                <w:b/>
                <w:bCs/>
                <w:sz w:val="21"/>
                <w:szCs w:val="21"/>
                <w:lang w:val="en-US" w:eastAsia="zh-CN"/>
              </w:rPr>
              <w:t>7</w:t>
            </w:r>
          </w:p>
        </w:tc>
        <w:tc>
          <w:tcPr>
            <w:tcW w:w="1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b/>
                <w:color w:val="000000"/>
                <w:kern w:val="2"/>
                <w:sz w:val="21"/>
                <w:szCs w:val="21"/>
                <w:lang w:val="en-US" w:eastAsia="zh-CN" w:bidi="ar-SA"/>
              </w:rPr>
            </w:pPr>
            <w:r>
              <w:rPr>
                <w:rFonts w:hint="eastAsia" w:ascii="仿宋" w:hAnsi="仿宋" w:eastAsia="仿宋"/>
                <w:b/>
                <w:color w:val="000000"/>
                <w:sz w:val="21"/>
                <w:szCs w:val="21"/>
                <w:lang w:val="en-US" w:eastAsia="zh-CN"/>
              </w:rPr>
              <w:t>临床感控医生/护士定期培训</w:t>
            </w:r>
          </w:p>
        </w:tc>
        <w:tc>
          <w:tcPr>
            <w:tcW w:w="7150" w:type="dxa"/>
            <w:tcBorders>
              <w:top w:val="single" w:color="auto" w:sz="4" w:space="0"/>
              <w:left w:val="single" w:color="auto" w:sz="4" w:space="0"/>
              <w:bottom w:val="single" w:color="auto" w:sz="4" w:space="0"/>
              <w:right w:val="single" w:color="auto" w:sz="4" w:space="0"/>
            </w:tcBorders>
            <w:vAlign w:val="top"/>
          </w:tcPr>
          <w:p>
            <w:pPr>
              <w:spacing w:line="360" w:lineRule="auto"/>
              <w:jc w:val="left"/>
              <w:rPr>
                <w:rFonts w:hint="eastAsia" w:ascii="仿宋" w:hAnsi="仿宋" w:eastAsia="仿宋"/>
                <w:sz w:val="21"/>
                <w:szCs w:val="21"/>
                <w:lang w:val="en-US" w:eastAsia="zh-CN"/>
              </w:rPr>
            </w:pPr>
            <w:r>
              <w:rPr>
                <w:rFonts w:hint="eastAsia" w:ascii="仿宋" w:hAnsi="仿宋" w:eastAsia="仿宋"/>
                <w:sz w:val="21"/>
                <w:szCs w:val="21"/>
                <w:lang w:val="en-US" w:eastAsia="zh-CN"/>
              </w:rPr>
              <w:t>根据国家政策中对临床各科室建立感控专职医生/护士的要求，提供对临床感控医生/护士的针对性培训，为临床感染防护提供坚实保障，服务内容包括但不限于：</w:t>
            </w:r>
          </w:p>
          <w:p>
            <w:pPr>
              <w:numPr>
                <w:ilvl w:val="0"/>
                <w:numId w:val="9"/>
              </w:numPr>
              <w:spacing w:line="360" w:lineRule="auto"/>
              <w:jc w:val="left"/>
              <w:rPr>
                <w:rFonts w:hint="eastAsia" w:ascii="仿宋" w:hAnsi="仿宋" w:eastAsia="仿宋"/>
                <w:sz w:val="21"/>
                <w:szCs w:val="21"/>
                <w:lang w:val="en-US" w:eastAsia="zh-CN"/>
              </w:rPr>
            </w:pPr>
            <w:r>
              <w:rPr>
                <w:rFonts w:hint="eastAsia" w:ascii="仿宋" w:hAnsi="仿宋" w:eastAsia="仿宋"/>
                <w:sz w:val="21"/>
                <w:szCs w:val="21"/>
                <w:lang w:val="en-US" w:eastAsia="zh-CN"/>
              </w:rPr>
              <w:t>讲解各项系统功能，确保临床感控医生/护士快速掌握；</w:t>
            </w:r>
          </w:p>
          <w:p>
            <w:pPr>
              <w:numPr>
                <w:ilvl w:val="0"/>
                <w:numId w:val="9"/>
              </w:numPr>
              <w:spacing w:line="360" w:lineRule="auto"/>
              <w:jc w:val="left"/>
              <w:rPr>
                <w:rFonts w:hint="eastAsia" w:ascii="仿宋" w:hAnsi="仿宋" w:eastAsia="仿宋"/>
                <w:kern w:val="2"/>
                <w:sz w:val="21"/>
                <w:szCs w:val="21"/>
                <w:lang w:val="en-US" w:eastAsia="zh-CN" w:bidi="ar-SA"/>
              </w:rPr>
            </w:pPr>
            <w:r>
              <w:rPr>
                <w:rFonts w:hint="eastAsia" w:ascii="仿宋" w:hAnsi="仿宋" w:eastAsia="仿宋"/>
                <w:sz w:val="21"/>
                <w:szCs w:val="21"/>
                <w:lang w:val="en-US" w:eastAsia="zh-CN"/>
              </w:rPr>
              <w:t>讲解临床各项院感监测业务，涵盖业务背景、监测难点、常见问题，并提供专业化解决方案，为临床医护人员的日常工作带来便捷。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21" w:type="dxa"/>
            <w:vAlign w:val="center"/>
          </w:tcPr>
          <w:p>
            <w:pPr>
              <w:spacing w:line="360" w:lineRule="auto"/>
              <w:jc w:val="center"/>
              <w:rPr>
                <w:rFonts w:hint="default"/>
                <w:b/>
                <w:bCs/>
                <w:kern w:val="2"/>
                <w:sz w:val="21"/>
                <w:szCs w:val="21"/>
                <w:lang w:val="en-US" w:eastAsia="zh-CN" w:bidi="ar-SA"/>
              </w:rPr>
            </w:pPr>
            <w:r>
              <w:rPr>
                <w:rFonts w:hint="eastAsia"/>
                <w:b/>
                <w:bCs/>
                <w:sz w:val="21"/>
                <w:szCs w:val="21"/>
                <w:lang w:val="en-US" w:eastAsia="zh-CN"/>
              </w:rPr>
              <w:t>8</w:t>
            </w:r>
          </w:p>
        </w:tc>
        <w:tc>
          <w:tcPr>
            <w:tcW w:w="1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b/>
                <w:color w:val="000000"/>
                <w:kern w:val="2"/>
                <w:sz w:val="21"/>
                <w:szCs w:val="21"/>
                <w:lang w:val="en-US" w:eastAsia="zh-CN" w:bidi="ar-SA"/>
              </w:rPr>
            </w:pPr>
            <w:r>
              <w:rPr>
                <w:rFonts w:hint="eastAsia" w:ascii="仿宋" w:hAnsi="仿宋" w:eastAsia="仿宋"/>
                <w:b/>
                <w:color w:val="000000"/>
                <w:sz w:val="21"/>
                <w:szCs w:val="21"/>
                <w:lang w:val="en-US" w:eastAsia="zh-CN"/>
              </w:rPr>
              <w:t>院感知识题库</w:t>
            </w:r>
          </w:p>
        </w:tc>
        <w:tc>
          <w:tcPr>
            <w:tcW w:w="7150" w:type="dxa"/>
            <w:tcBorders>
              <w:top w:val="single" w:color="auto" w:sz="4" w:space="0"/>
              <w:left w:val="single" w:color="auto" w:sz="4" w:space="0"/>
              <w:bottom w:val="single" w:color="auto" w:sz="4" w:space="0"/>
              <w:right w:val="single" w:color="auto" w:sz="4" w:space="0"/>
            </w:tcBorders>
            <w:vAlign w:val="top"/>
          </w:tcPr>
          <w:p>
            <w:pPr>
              <w:spacing w:line="360" w:lineRule="auto"/>
              <w:jc w:val="left"/>
              <w:rPr>
                <w:rFonts w:hint="eastAsia" w:ascii="仿宋" w:hAnsi="仿宋" w:eastAsia="仿宋"/>
                <w:sz w:val="21"/>
                <w:szCs w:val="21"/>
                <w:lang w:val="en-US" w:eastAsia="zh-CN"/>
              </w:rPr>
            </w:pPr>
            <w:r>
              <w:rPr>
                <w:rFonts w:hint="eastAsia" w:ascii="仿宋" w:hAnsi="仿宋" w:eastAsia="仿宋"/>
                <w:sz w:val="21"/>
                <w:szCs w:val="21"/>
                <w:lang w:val="en-US" w:eastAsia="zh-CN"/>
              </w:rPr>
              <w:t>向院感科提供感控相关模块的考核试题（可根据医院实际要求进行定制），以期提高相关人员院感监测知识水平，试题包括但不限于：</w:t>
            </w:r>
          </w:p>
          <w:p>
            <w:pPr>
              <w:numPr>
                <w:ilvl w:val="0"/>
                <w:numId w:val="10"/>
              </w:numPr>
              <w:spacing w:line="360" w:lineRule="auto"/>
              <w:jc w:val="left"/>
              <w:rPr>
                <w:rFonts w:hint="eastAsia" w:ascii="仿宋" w:hAnsi="仿宋" w:eastAsia="仿宋"/>
                <w:sz w:val="21"/>
                <w:szCs w:val="21"/>
                <w:lang w:val="en-US" w:eastAsia="zh-CN"/>
              </w:rPr>
            </w:pPr>
            <w:r>
              <w:rPr>
                <w:rFonts w:hint="eastAsia" w:ascii="仿宋" w:hAnsi="仿宋" w:eastAsia="仿宋"/>
                <w:sz w:val="21"/>
                <w:szCs w:val="21"/>
                <w:lang w:val="en-US" w:eastAsia="zh-CN"/>
              </w:rPr>
              <w:t>临床医护人员手卫生试题；</w:t>
            </w:r>
          </w:p>
          <w:p>
            <w:pPr>
              <w:numPr>
                <w:ilvl w:val="0"/>
                <w:numId w:val="10"/>
              </w:numPr>
              <w:spacing w:line="360" w:lineRule="auto"/>
              <w:jc w:val="left"/>
              <w:rPr>
                <w:rFonts w:hint="default" w:ascii="仿宋" w:hAnsi="仿宋" w:eastAsia="仿宋"/>
                <w:sz w:val="21"/>
                <w:szCs w:val="21"/>
                <w:lang w:val="en-US" w:eastAsia="zh-CN"/>
              </w:rPr>
            </w:pPr>
            <w:r>
              <w:rPr>
                <w:rFonts w:hint="eastAsia" w:ascii="仿宋" w:hAnsi="仿宋" w:eastAsia="仿宋"/>
                <w:sz w:val="21"/>
                <w:szCs w:val="21"/>
                <w:lang w:val="en-US" w:eastAsia="zh-CN"/>
              </w:rPr>
              <w:t>临床医护人员环境监测试题；</w:t>
            </w:r>
          </w:p>
          <w:p>
            <w:pPr>
              <w:numPr>
                <w:ilvl w:val="0"/>
                <w:numId w:val="10"/>
              </w:numPr>
              <w:spacing w:line="360" w:lineRule="auto"/>
              <w:jc w:val="left"/>
              <w:rPr>
                <w:rFonts w:hint="eastAsia" w:ascii="仿宋" w:hAnsi="仿宋" w:eastAsia="仿宋"/>
                <w:sz w:val="21"/>
                <w:szCs w:val="21"/>
                <w:lang w:val="en-US" w:eastAsia="zh-CN"/>
              </w:rPr>
            </w:pPr>
            <w:r>
              <w:rPr>
                <w:rFonts w:hint="eastAsia" w:ascii="仿宋" w:hAnsi="仿宋" w:eastAsia="仿宋"/>
                <w:sz w:val="21"/>
                <w:szCs w:val="21"/>
                <w:lang w:val="en-US" w:eastAsia="zh-CN"/>
              </w:rPr>
              <w:t>临床医护人员MDR规范防控试题。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21" w:type="dxa"/>
            <w:vAlign w:val="center"/>
          </w:tcPr>
          <w:p>
            <w:pPr>
              <w:spacing w:line="360" w:lineRule="auto"/>
              <w:jc w:val="center"/>
              <w:rPr>
                <w:rFonts w:hint="default"/>
                <w:b/>
                <w:bCs/>
                <w:kern w:val="2"/>
                <w:sz w:val="21"/>
                <w:szCs w:val="21"/>
                <w:lang w:val="en-US" w:eastAsia="zh-CN" w:bidi="ar-SA"/>
              </w:rPr>
            </w:pPr>
            <w:r>
              <w:rPr>
                <w:rFonts w:hint="eastAsia"/>
                <w:b/>
                <w:bCs/>
                <w:sz w:val="21"/>
                <w:szCs w:val="21"/>
                <w:lang w:val="en-US" w:eastAsia="zh-CN"/>
              </w:rPr>
              <w:t>9</w:t>
            </w:r>
          </w:p>
        </w:tc>
        <w:tc>
          <w:tcPr>
            <w:tcW w:w="1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b/>
                <w:color w:val="000000"/>
                <w:kern w:val="2"/>
                <w:sz w:val="21"/>
                <w:szCs w:val="21"/>
                <w:lang w:val="en-US" w:eastAsia="zh-CN" w:bidi="ar-SA"/>
              </w:rPr>
            </w:pPr>
            <w:r>
              <w:rPr>
                <w:rFonts w:hint="eastAsia" w:ascii="仿宋" w:hAnsi="仿宋" w:eastAsia="仿宋"/>
                <w:b/>
                <w:color w:val="000000"/>
                <w:sz w:val="21"/>
                <w:szCs w:val="21"/>
              </w:rPr>
              <w:t>远程服务</w:t>
            </w:r>
          </w:p>
        </w:tc>
        <w:tc>
          <w:tcPr>
            <w:tcW w:w="7150" w:type="dxa"/>
            <w:tcBorders>
              <w:top w:val="single" w:color="auto" w:sz="4" w:space="0"/>
              <w:left w:val="single" w:color="auto" w:sz="4" w:space="0"/>
              <w:bottom w:val="single" w:color="auto" w:sz="4" w:space="0"/>
              <w:right w:val="single" w:color="auto" w:sz="4" w:space="0"/>
            </w:tcBorders>
            <w:vAlign w:val="top"/>
          </w:tcPr>
          <w:p>
            <w:pPr>
              <w:spacing w:line="360" w:lineRule="auto"/>
              <w:jc w:val="left"/>
              <w:rPr>
                <w:rFonts w:hint="eastAsia" w:ascii="仿宋" w:hAnsi="仿宋" w:eastAsia="仿宋"/>
                <w:sz w:val="21"/>
                <w:szCs w:val="21"/>
                <w:lang w:val="en-US" w:eastAsia="zh-CN"/>
              </w:rPr>
            </w:pPr>
            <w:r>
              <w:rPr>
                <w:rFonts w:hint="eastAsia" w:ascii="仿宋" w:hAnsi="仿宋" w:eastAsia="仿宋"/>
                <w:sz w:val="21"/>
                <w:szCs w:val="21"/>
              </w:rPr>
              <w:t>在医院</w:t>
            </w:r>
            <w:r>
              <w:rPr>
                <w:rFonts w:hint="eastAsia" w:ascii="仿宋" w:hAnsi="仿宋" w:eastAsia="仿宋"/>
                <w:sz w:val="21"/>
                <w:szCs w:val="21"/>
                <w:lang w:eastAsia="zh-CN"/>
              </w:rPr>
              <w:t>网络技术中心</w:t>
            </w:r>
            <w:r>
              <w:rPr>
                <w:rFonts w:hint="eastAsia" w:ascii="仿宋" w:hAnsi="仿宋" w:eastAsia="仿宋"/>
                <w:sz w:val="21"/>
                <w:szCs w:val="21"/>
              </w:rPr>
              <w:t>的配合下通过</w:t>
            </w:r>
            <w:r>
              <w:rPr>
                <w:rFonts w:hint="eastAsia" w:ascii="仿宋" w:hAnsi="仿宋" w:eastAsia="仿宋"/>
                <w:sz w:val="21"/>
                <w:szCs w:val="21"/>
                <w:lang w:val="en-US" w:eastAsia="zh-CN"/>
              </w:rPr>
              <w:t>向日葵</w:t>
            </w:r>
            <w:r>
              <w:rPr>
                <w:rFonts w:hint="eastAsia" w:ascii="仿宋" w:hAnsi="仿宋" w:eastAsia="仿宋"/>
                <w:sz w:val="21"/>
                <w:szCs w:val="21"/>
              </w:rPr>
              <w:t>、VPN等远程工具进行服务</w:t>
            </w:r>
            <w:r>
              <w:rPr>
                <w:rFonts w:hint="eastAsia" w:ascii="仿宋" w:hAnsi="仿宋" w:eastAsia="仿宋"/>
                <w:sz w:val="21"/>
                <w:szCs w:val="21"/>
                <w:lang w:eastAsia="zh-CN"/>
              </w:rPr>
              <w:t>，</w:t>
            </w:r>
            <w:r>
              <w:rPr>
                <w:rFonts w:hint="eastAsia" w:ascii="仿宋" w:hAnsi="仿宋" w:eastAsia="仿宋"/>
                <w:sz w:val="21"/>
                <w:szCs w:val="21"/>
                <w:lang w:val="en-US" w:eastAsia="zh-CN"/>
              </w:rPr>
              <w:t>保证院感科反馈的问题能够第一时间完成处理。</w:t>
            </w:r>
          </w:p>
          <w:p>
            <w:pPr>
              <w:spacing w:line="360" w:lineRule="auto"/>
              <w:jc w:val="left"/>
              <w:rPr>
                <w:rFonts w:hint="default" w:ascii="仿宋" w:hAnsi="仿宋" w:eastAsia="仿宋"/>
                <w:sz w:val="21"/>
                <w:szCs w:val="21"/>
                <w:lang w:val="en-US" w:eastAsia="zh-CN"/>
              </w:rPr>
            </w:pPr>
            <w:r>
              <w:rPr>
                <w:rFonts w:hint="eastAsia" w:ascii="仿宋" w:hAnsi="仿宋" w:eastAsia="仿宋"/>
                <w:sz w:val="21"/>
                <w:szCs w:val="21"/>
                <w:lang w:val="en-US" w:eastAsia="zh-CN"/>
              </w:rPr>
              <w:t>提供周末及节假日专人值班服务，保证周末及节假日为院感科提供各项服务。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21" w:type="dxa"/>
            <w:vAlign w:val="center"/>
          </w:tcPr>
          <w:p>
            <w:pPr>
              <w:spacing w:line="360" w:lineRule="auto"/>
              <w:jc w:val="center"/>
              <w:rPr>
                <w:rFonts w:hint="default"/>
                <w:b/>
                <w:bCs/>
                <w:kern w:val="2"/>
                <w:sz w:val="21"/>
                <w:szCs w:val="21"/>
                <w:lang w:val="en-US" w:eastAsia="zh-CN" w:bidi="ar-SA"/>
              </w:rPr>
            </w:pPr>
            <w:r>
              <w:rPr>
                <w:rFonts w:hint="eastAsia"/>
                <w:b/>
                <w:bCs/>
                <w:sz w:val="21"/>
                <w:szCs w:val="21"/>
                <w:lang w:val="en-US" w:eastAsia="zh-CN"/>
              </w:rPr>
              <w:t>10</w:t>
            </w:r>
          </w:p>
        </w:tc>
        <w:tc>
          <w:tcPr>
            <w:tcW w:w="1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b/>
                <w:bCs/>
                <w:color w:val="000000"/>
                <w:sz w:val="21"/>
                <w:szCs w:val="21"/>
              </w:rPr>
            </w:pPr>
            <w:r>
              <w:rPr>
                <w:rFonts w:hint="eastAsia" w:ascii="仿宋" w:hAnsi="仿宋" w:eastAsia="仿宋"/>
                <w:b/>
                <w:color w:val="000000"/>
                <w:sz w:val="21"/>
                <w:szCs w:val="21"/>
              </w:rPr>
              <w:t>系统使用</w:t>
            </w:r>
            <w:r>
              <w:rPr>
                <w:rFonts w:hint="eastAsia" w:ascii="仿宋" w:hAnsi="仿宋" w:eastAsia="仿宋"/>
                <w:b/>
                <w:color w:val="000000"/>
                <w:sz w:val="21"/>
                <w:szCs w:val="21"/>
                <w:lang w:eastAsia="zh-CN"/>
              </w:rPr>
              <w:t>咨询</w:t>
            </w:r>
          </w:p>
        </w:tc>
        <w:tc>
          <w:tcPr>
            <w:tcW w:w="7150" w:type="dxa"/>
            <w:tcBorders>
              <w:top w:val="single" w:color="auto" w:sz="4" w:space="0"/>
              <w:left w:val="single" w:color="auto" w:sz="4" w:space="0"/>
              <w:bottom w:val="single" w:color="auto" w:sz="4" w:space="0"/>
              <w:right w:val="single" w:color="auto" w:sz="4" w:space="0"/>
            </w:tcBorders>
            <w:vAlign w:val="top"/>
          </w:tcPr>
          <w:p>
            <w:pPr>
              <w:spacing w:line="360" w:lineRule="auto"/>
              <w:jc w:val="left"/>
              <w:rPr>
                <w:rFonts w:hint="default" w:ascii="仿宋" w:hAnsi="仿宋" w:eastAsia="仿宋"/>
                <w:sz w:val="21"/>
                <w:szCs w:val="21"/>
                <w:lang w:val="en-US"/>
              </w:rPr>
            </w:pPr>
            <w:r>
              <w:rPr>
                <w:rFonts w:hint="eastAsia" w:ascii="仿宋" w:hAnsi="仿宋" w:eastAsia="仿宋"/>
                <w:sz w:val="21"/>
                <w:szCs w:val="21"/>
              </w:rPr>
              <w:t>安排</w:t>
            </w:r>
            <w:r>
              <w:rPr>
                <w:rFonts w:hint="eastAsia" w:ascii="仿宋" w:hAnsi="仿宋" w:eastAsia="仿宋"/>
                <w:sz w:val="21"/>
                <w:szCs w:val="21"/>
                <w:lang w:val="en-US" w:eastAsia="zh-CN"/>
              </w:rPr>
              <w:t>专人</w:t>
            </w:r>
            <w:r>
              <w:rPr>
                <w:rFonts w:hint="eastAsia" w:ascii="仿宋" w:hAnsi="仿宋" w:eastAsia="仿宋"/>
                <w:sz w:val="21"/>
                <w:szCs w:val="21"/>
              </w:rPr>
              <w:t>回答医院专职人员</w:t>
            </w:r>
            <w:r>
              <w:rPr>
                <w:rFonts w:hint="eastAsia" w:ascii="仿宋" w:hAnsi="仿宋" w:eastAsia="仿宋"/>
                <w:sz w:val="21"/>
                <w:szCs w:val="21"/>
                <w:lang w:val="en-US" w:eastAsia="zh-CN"/>
              </w:rPr>
              <w:t>各类咨询:</w:t>
            </w:r>
          </w:p>
          <w:p>
            <w:pPr>
              <w:numPr>
                <w:ilvl w:val="0"/>
                <w:numId w:val="11"/>
              </w:numPr>
              <w:spacing w:line="360" w:lineRule="auto"/>
              <w:jc w:val="left"/>
              <w:rPr>
                <w:rFonts w:hint="eastAsia" w:ascii="仿宋" w:hAnsi="仿宋" w:eastAsia="仿宋"/>
                <w:sz w:val="21"/>
                <w:szCs w:val="21"/>
                <w:lang w:val="en-US" w:eastAsia="zh-CN"/>
              </w:rPr>
            </w:pPr>
            <w:r>
              <w:rPr>
                <w:rFonts w:hint="eastAsia" w:ascii="仿宋" w:hAnsi="仿宋" w:eastAsia="仿宋"/>
                <w:sz w:val="21"/>
                <w:szCs w:val="21"/>
                <w:lang w:val="en-US" w:eastAsia="zh-CN"/>
              </w:rPr>
              <w:t>提供各类监测业务优质的监测方法；</w:t>
            </w:r>
          </w:p>
          <w:p>
            <w:pPr>
              <w:numPr>
                <w:ilvl w:val="0"/>
                <w:numId w:val="11"/>
              </w:numPr>
              <w:spacing w:line="360" w:lineRule="auto"/>
              <w:jc w:val="left"/>
              <w:rPr>
                <w:rFonts w:hint="default" w:ascii="仿宋" w:hAnsi="仿宋" w:eastAsia="仿宋"/>
                <w:sz w:val="21"/>
                <w:szCs w:val="21"/>
                <w:lang w:val="en-US" w:eastAsia="zh-CN"/>
              </w:rPr>
            </w:pPr>
            <w:r>
              <w:rPr>
                <w:rFonts w:hint="eastAsia" w:ascii="仿宋" w:hAnsi="仿宋" w:eastAsia="仿宋"/>
                <w:sz w:val="21"/>
                <w:szCs w:val="21"/>
                <w:lang w:val="en-US" w:eastAsia="zh-CN"/>
              </w:rPr>
              <w:t>解读各类监测业务相关数据；</w:t>
            </w:r>
          </w:p>
          <w:p>
            <w:pPr>
              <w:numPr>
                <w:ilvl w:val="0"/>
                <w:numId w:val="11"/>
              </w:numPr>
              <w:spacing w:line="360" w:lineRule="auto"/>
              <w:jc w:val="left"/>
              <w:rPr>
                <w:rFonts w:hint="eastAsia" w:ascii="仿宋" w:hAnsi="仿宋" w:eastAsia="仿宋"/>
                <w:sz w:val="21"/>
                <w:szCs w:val="21"/>
              </w:rPr>
            </w:pPr>
            <w:r>
              <w:rPr>
                <w:rFonts w:hint="eastAsia" w:ascii="仿宋" w:hAnsi="仿宋" w:eastAsia="仿宋"/>
                <w:sz w:val="21"/>
                <w:szCs w:val="21"/>
                <w:lang w:val="en-US" w:eastAsia="zh-CN"/>
              </w:rPr>
              <w:t>讲解系统功能应用，高效开展各项监测业务。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trPr>
        <w:tc>
          <w:tcPr>
            <w:tcW w:w="521" w:type="dxa"/>
            <w:vAlign w:val="center"/>
          </w:tcPr>
          <w:p>
            <w:pPr>
              <w:spacing w:line="360" w:lineRule="auto"/>
              <w:jc w:val="center"/>
              <w:rPr>
                <w:rFonts w:hint="default"/>
                <w:b/>
                <w:bCs/>
                <w:kern w:val="2"/>
                <w:sz w:val="21"/>
                <w:szCs w:val="21"/>
                <w:lang w:val="en-US" w:eastAsia="zh-CN" w:bidi="ar-SA"/>
              </w:rPr>
            </w:pPr>
            <w:r>
              <w:rPr>
                <w:rFonts w:hint="eastAsia"/>
                <w:b/>
                <w:bCs/>
                <w:sz w:val="21"/>
                <w:szCs w:val="21"/>
                <w:lang w:val="en-US" w:eastAsia="zh-CN"/>
              </w:rPr>
              <w:t>11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b/>
                <w:color w:val="000000"/>
                <w:sz w:val="21"/>
                <w:szCs w:val="21"/>
              </w:rPr>
            </w:pPr>
            <w:r>
              <w:rPr>
                <w:rFonts w:hint="eastAsia" w:ascii="仿宋" w:hAnsi="仿宋" w:eastAsia="仿宋"/>
                <w:b/>
                <w:color w:val="000000"/>
                <w:sz w:val="21"/>
                <w:szCs w:val="21"/>
              </w:rPr>
              <w:t>服务器</w:t>
            </w:r>
          </w:p>
          <w:p>
            <w:pPr>
              <w:spacing w:line="360" w:lineRule="auto"/>
              <w:jc w:val="center"/>
              <w:rPr>
                <w:rFonts w:hint="eastAsia" w:eastAsia="仿宋"/>
                <w:b/>
                <w:bCs/>
                <w:color w:val="000000"/>
                <w:sz w:val="21"/>
                <w:szCs w:val="21"/>
                <w:lang w:val="en-US" w:eastAsia="zh-CN"/>
              </w:rPr>
            </w:pPr>
            <w:r>
              <w:rPr>
                <w:rFonts w:hint="eastAsia" w:ascii="仿宋" w:hAnsi="仿宋" w:eastAsia="仿宋"/>
                <w:b/>
                <w:color w:val="000000"/>
                <w:sz w:val="21"/>
                <w:szCs w:val="21"/>
              </w:rPr>
              <w:t>宕机</w:t>
            </w:r>
            <w:r>
              <w:rPr>
                <w:rFonts w:hint="eastAsia" w:ascii="仿宋" w:hAnsi="仿宋" w:eastAsia="仿宋"/>
                <w:b/>
                <w:color w:val="000000"/>
                <w:sz w:val="21"/>
                <w:szCs w:val="21"/>
                <w:lang w:val="en-US" w:eastAsia="zh-CN"/>
              </w:rPr>
              <w:t>修复</w:t>
            </w:r>
          </w:p>
        </w:tc>
        <w:tc>
          <w:tcPr>
            <w:tcW w:w="7150" w:type="dxa"/>
            <w:tcBorders>
              <w:top w:val="single" w:color="auto" w:sz="4" w:space="0"/>
              <w:left w:val="single" w:color="auto" w:sz="4" w:space="0"/>
              <w:bottom w:val="single" w:color="auto" w:sz="4" w:space="0"/>
              <w:right w:val="single" w:color="auto" w:sz="4" w:space="0"/>
            </w:tcBorders>
            <w:vAlign w:val="top"/>
          </w:tcPr>
          <w:p>
            <w:pPr>
              <w:spacing w:line="360" w:lineRule="auto"/>
              <w:jc w:val="left"/>
              <w:rPr>
                <w:rFonts w:hint="default" w:ascii="仿宋" w:hAnsi="仿宋" w:eastAsia="仿宋"/>
                <w:sz w:val="21"/>
                <w:szCs w:val="21"/>
                <w:lang w:val="en-US" w:eastAsia="zh-CN"/>
              </w:rPr>
            </w:pPr>
            <w:r>
              <w:rPr>
                <w:rFonts w:hint="eastAsia" w:ascii="仿宋" w:hAnsi="仿宋" w:eastAsia="仿宋"/>
                <w:sz w:val="21"/>
                <w:szCs w:val="21"/>
              </w:rPr>
              <w:t>安排工程师</w:t>
            </w:r>
            <w:r>
              <w:rPr>
                <w:rFonts w:hint="eastAsia" w:ascii="仿宋" w:hAnsi="仿宋" w:eastAsia="仿宋"/>
                <w:sz w:val="21"/>
                <w:szCs w:val="21"/>
                <w:lang w:val="en-US" w:eastAsia="zh-CN"/>
              </w:rPr>
              <w:t>提供修复院感服务器宕机的服务项目：</w:t>
            </w:r>
          </w:p>
          <w:p>
            <w:pPr>
              <w:numPr>
                <w:ilvl w:val="0"/>
                <w:numId w:val="12"/>
              </w:numPr>
              <w:spacing w:line="360" w:lineRule="auto"/>
              <w:jc w:val="left"/>
              <w:rPr>
                <w:rFonts w:hint="eastAsia" w:ascii="仿宋" w:hAnsi="仿宋" w:eastAsia="仿宋"/>
                <w:sz w:val="21"/>
                <w:szCs w:val="21"/>
                <w:lang w:val="en-US" w:eastAsia="zh-CN"/>
              </w:rPr>
            </w:pPr>
            <w:r>
              <w:rPr>
                <w:rFonts w:hint="eastAsia" w:ascii="仿宋" w:hAnsi="仿宋" w:eastAsia="仿宋"/>
                <w:sz w:val="21"/>
                <w:szCs w:val="21"/>
                <w:lang w:val="en-US" w:eastAsia="zh-CN"/>
              </w:rPr>
              <w:t>修复院感服务器；</w:t>
            </w:r>
          </w:p>
          <w:p>
            <w:pPr>
              <w:numPr>
                <w:ilvl w:val="0"/>
                <w:numId w:val="12"/>
              </w:numPr>
              <w:spacing w:line="360" w:lineRule="auto"/>
              <w:jc w:val="left"/>
              <w:rPr>
                <w:rFonts w:hint="eastAsia" w:ascii="仿宋" w:hAnsi="仿宋" w:eastAsia="仿宋"/>
                <w:sz w:val="21"/>
                <w:szCs w:val="21"/>
              </w:rPr>
            </w:pPr>
            <w:r>
              <w:rPr>
                <w:rFonts w:hint="eastAsia" w:ascii="仿宋" w:hAnsi="仿宋" w:eastAsia="仿宋"/>
                <w:sz w:val="21"/>
                <w:szCs w:val="21"/>
                <w:lang w:val="en-US" w:eastAsia="zh-CN"/>
              </w:rPr>
              <w:t>完成数据恢复及更新，确保系统使用正常。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trPr>
        <w:tc>
          <w:tcPr>
            <w:tcW w:w="521" w:type="dxa"/>
            <w:vAlign w:val="center"/>
          </w:tcPr>
          <w:p>
            <w:pPr>
              <w:spacing w:line="360" w:lineRule="auto"/>
              <w:jc w:val="center"/>
              <w:rPr>
                <w:rFonts w:hint="default"/>
                <w:b/>
                <w:bCs/>
                <w:kern w:val="2"/>
                <w:sz w:val="21"/>
                <w:szCs w:val="21"/>
                <w:lang w:val="en-US" w:eastAsia="zh-CN" w:bidi="ar-SA"/>
              </w:rPr>
            </w:pPr>
            <w:r>
              <w:rPr>
                <w:rFonts w:hint="eastAsia"/>
                <w:b/>
                <w:bCs/>
                <w:sz w:val="21"/>
                <w:szCs w:val="21"/>
                <w:lang w:val="en-US" w:eastAsia="zh-CN"/>
              </w:rPr>
              <w:t>12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b/>
                <w:color w:val="000000"/>
                <w:sz w:val="21"/>
                <w:szCs w:val="21"/>
              </w:rPr>
            </w:pPr>
            <w:r>
              <w:rPr>
                <w:rFonts w:hint="eastAsia" w:ascii="仿宋" w:hAnsi="仿宋" w:eastAsia="仿宋"/>
                <w:b/>
                <w:color w:val="000000"/>
                <w:sz w:val="21"/>
                <w:szCs w:val="21"/>
              </w:rPr>
              <w:t>数据备份运行情况检查</w:t>
            </w:r>
          </w:p>
        </w:tc>
        <w:tc>
          <w:tcPr>
            <w:tcW w:w="7150" w:type="dxa"/>
            <w:tcBorders>
              <w:top w:val="single" w:color="auto" w:sz="4" w:space="0"/>
              <w:left w:val="single" w:color="auto" w:sz="4" w:space="0"/>
              <w:bottom w:val="single" w:color="auto" w:sz="4" w:space="0"/>
              <w:right w:val="single" w:color="auto" w:sz="4" w:space="0"/>
            </w:tcBorders>
            <w:vAlign w:val="top"/>
          </w:tcPr>
          <w:p>
            <w:pPr>
              <w:spacing w:line="360" w:lineRule="auto"/>
              <w:jc w:val="left"/>
              <w:rPr>
                <w:rFonts w:hint="default" w:ascii="仿宋" w:hAnsi="仿宋" w:eastAsia="仿宋"/>
                <w:sz w:val="21"/>
                <w:szCs w:val="21"/>
                <w:lang w:val="en-US" w:eastAsia="zh-CN"/>
              </w:rPr>
            </w:pPr>
            <w:r>
              <w:rPr>
                <w:rFonts w:hint="eastAsia" w:ascii="仿宋" w:hAnsi="仿宋" w:eastAsia="仿宋"/>
                <w:sz w:val="21"/>
                <w:szCs w:val="21"/>
              </w:rPr>
              <w:t>安排工程师</w:t>
            </w:r>
            <w:r>
              <w:rPr>
                <w:rFonts w:hint="eastAsia" w:ascii="仿宋" w:hAnsi="仿宋" w:eastAsia="仿宋"/>
                <w:sz w:val="21"/>
                <w:szCs w:val="21"/>
                <w:lang w:val="en-US" w:eastAsia="zh-CN"/>
              </w:rPr>
              <w:t>提供数据备份巡查服务：</w:t>
            </w:r>
          </w:p>
          <w:p>
            <w:pPr>
              <w:numPr>
                <w:ilvl w:val="0"/>
                <w:numId w:val="13"/>
              </w:numPr>
              <w:spacing w:line="360" w:lineRule="auto"/>
              <w:jc w:val="left"/>
              <w:rPr>
                <w:rFonts w:hint="eastAsia" w:ascii="仿宋" w:hAnsi="仿宋" w:eastAsia="仿宋"/>
                <w:sz w:val="21"/>
                <w:szCs w:val="21"/>
                <w:lang w:val="en-US" w:eastAsia="zh-CN"/>
              </w:rPr>
            </w:pPr>
            <w:r>
              <w:rPr>
                <w:rFonts w:hint="eastAsia" w:ascii="仿宋" w:hAnsi="仿宋" w:eastAsia="仿宋"/>
                <w:sz w:val="21"/>
                <w:szCs w:val="21"/>
                <w:lang w:val="en-US" w:eastAsia="zh-CN"/>
              </w:rPr>
              <w:t>每季度定期巡查服务器系统备份机制，确保正常运行；</w:t>
            </w:r>
          </w:p>
          <w:p>
            <w:pPr>
              <w:numPr>
                <w:ilvl w:val="0"/>
                <w:numId w:val="13"/>
              </w:numPr>
              <w:spacing w:line="360" w:lineRule="auto"/>
              <w:jc w:val="left"/>
              <w:rPr>
                <w:rFonts w:hint="default" w:ascii="仿宋" w:hAnsi="仿宋" w:eastAsia="仿宋"/>
                <w:sz w:val="21"/>
                <w:szCs w:val="21"/>
                <w:lang w:val="en-US" w:eastAsia="zh-CN"/>
              </w:rPr>
            </w:pPr>
            <w:r>
              <w:rPr>
                <w:rFonts w:hint="eastAsia" w:ascii="仿宋" w:hAnsi="仿宋" w:eastAsia="仿宋"/>
                <w:sz w:val="21"/>
                <w:szCs w:val="21"/>
                <w:lang w:val="en-US" w:eastAsia="zh-CN"/>
              </w:rPr>
              <w:t>基于医院要求制定个性化备份方案，确保数据安全；</w:t>
            </w:r>
          </w:p>
          <w:p>
            <w:pPr>
              <w:numPr>
                <w:ilvl w:val="0"/>
                <w:numId w:val="13"/>
              </w:numPr>
              <w:spacing w:line="360" w:lineRule="auto"/>
              <w:jc w:val="left"/>
              <w:rPr>
                <w:rFonts w:hint="eastAsia" w:ascii="仿宋" w:hAnsi="仿宋" w:eastAsia="仿宋"/>
                <w:sz w:val="21"/>
                <w:szCs w:val="21"/>
                <w:lang w:val="en-US" w:eastAsia="zh-CN"/>
              </w:rPr>
            </w:pPr>
            <w:r>
              <w:rPr>
                <w:rFonts w:hint="eastAsia" w:ascii="仿宋" w:hAnsi="仿宋" w:eastAsia="仿宋"/>
                <w:sz w:val="21"/>
                <w:szCs w:val="21"/>
                <w:lang w:val="en-US" w:eastAsia="zh-CN"/>
              </w:rPr>
              <w:t>提供专业化数据备份巡查报告，并基于报告内容给出专业化解决方案。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trPr>
        <w:tc>
          <w:tcPr>
            <w:tcW w:w="521" w:type="dxa"/>
            <w:vAlign w:val="center"/>
          </w:tcPr>
          <w:p>
            <w:pPr>
              <w:spacing w:line="360" w:lineRule="auto"/>
              <w:jc w:val="center"/>
              <w:rPr>
                <w:rFonts w:hint="default"/>
                <w:b/>
                <w:bCs/>
                <w:kern w:val="2"/>
                <w:sz w:val="21"/>
                <w:szCs w:val="21"/>
                <w:lang w:val="en-US" w:eastAsia="zh-CN" w:bidi="ar-SA"/>
              </w:rPr>
            </w:pPr>
            <w:r>
              <w:rPr>
                <w:rFonts w:hint="eastAsia"/>
                <w:b/>
                <w:bCs/>
                <w:sz w:val="21"/>
                <w:szCs w:val="21"/>
                <w:lang w:val="en-US" w:eastAsia="zh-CN"/>
              </w:rPr>
              <w:t>13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b/>
                <w:color w:val="000000"/>
                <w:sz w:val="21"/>
                <w:szCs w:val="21"/>
                <w:lang w:val="en-US" w:eastAsia="zh-CN"/>
              </w:rPr>
            </w:pPr>
            <w:r>
              <w:rPr>
                <w:rFonts w:hint="eastAsia" w:ascii="仿宋" w:hAnsi="仿宋" w:eastAsia="仿宋"/>
                <w:b/>
                <w:color w:val="000000"/>
                <w:sz w:val="21"/>
                <w:szCs w:val="21"/>
              </w:rPr>
              <w:t>数据恢复</w:t>
            </w:r>
            <w:r>
              <w:rPr>
                <w:rFonts w:hint="eastAsia" w:ascii="仿宋" w:hAnsi="仿宋" w:eastAsia="仿宋"/>
                <w:b/>
                <w:color w:val="000000"/>
                <w:sz w:val="21"/>
                <w:szCs w:val="21"/>
                <w:lang w:val="en-US" w:eastAsia="zh-CN"/>
              </w:rPr>
              <w:t>及系统迁移</w:t>
            </w:r>
          </w:p>
        </w:tc>
        <w:tc>
          <w:tcPr>
            <w:tcW w:w="7150" w:type="dxa"/>
            <w:tcBorders>
              <w:top w:val="single" w:color="auto" w:sz="4" w:space="0"/>
              <w:left w:val="single" w:color="auto" w:sz="4" w:space="0"/>
              <w:bottom w:val="single" w:color="auto" w:sz="4" w:space="0"/>
              <w:right w:val="single" w:color="auto" w:sz="4" w:space="0"/>
            </w:tcBorders>
            <w:vAlign w:val="top"/>
          </w:tcPr>
          <w:p>
            <w:pPr>
              <w:spacing w:line="360" w:lineRule="auto"/>
              <w:jc w:val="left"/>
              <w:rPr>
                <w:rFonts w:hint="eastAsia" w:ascii="仿宋" w:hAnsi="仿宋" w:eastAsia="仿宋"/>
                <w:sz w:val="21"/>
                <w:szCs w:val="21"/>
                <w:lang w:val="en-US" w:eastAsia="zh-CN"/>
              </w:rPr>
            </w:pPr>
            <w:r>
              <w:rPr>
                <w:rFonts w:hint="eastAsia" w:ascii="仿宋" w:hAnsi="仿宋" w:eastAsia="仿宋"/>
                <w:sz w:val="21"/>
                <w:szCs w:val="21"/>
              </w:rPr>
              <w:t>安排工程师</w:t>
            </w:r>
            <w:r>
              <w:rPr>
                <w:rFonts w:hint="eastAsia" w:ascii="仿宋" w:hAnsi="仿宋" w:eastAsia="仿宋"/>
                <w:sz w:val="21"/>
                <w:szCs w:val="21"/>
                <w:lang w:val="en-US" w:eastAsia="zh-CN"/>
              </w:rPr>
              <w:t>提供系统数据恢复及系统迁移服务：</w:t>
            </w:r>
          </w:p>
          <w:p>
            <w:pPr>
              <w:numPr>
                <w:ilvl w:val="0"/>
                <w:numId w:val="14"/>
              </w:numPr>
              <w:spacing w:line="360" w:lineRule="auto"/>
              <w:jc w:val="left"/>
              <w:rPr>
                <w:rFonts w:hint="eastAsia" w:ascii="仿宋" w:hAnsi="仿宋" w:eastAsia="仿宋"/>
                <w:sz w:val="21"/>
                <w:szCs w:val="21"/>
              </w:rPr>
            </w:pPr>
            <w:r>
              <w:rPr>
                <w:rFonts w:hint="eastAsia" w:ascii="仿宋" w:hAnsi="仿宋" w:eastAsia="仿宋"/>
                <w:sz w:val="21"/>
                <w:szCs w:val="21"/>
              </w:rPr>
              <w:t>根据医疗机构实际拥有的最新备份数据，帮助医疗机构进行数据恢复。</w:t>
            </w:r>
          </w:p>
          <w:p>
            <w:pPr>
              <w:spacing w:line="360" w:lineRule="auto"/>
              <w:jc w:val="left"/>
              <w:rPr>
                <w:rFonts w:hint="eastAsia" w:ascii="仿宋" w:hAnsi="仿宋" w:eastAsia="仿宋"/>
                <w:sz w:val="21"/>
                <w:szCs w:val="21"/>
              </w:rPr>
            </w:pPr>
            <w:r>
              <w:rPr>
                <w:rFonts w:hint="eastAsia" w:ascii="仿宋" w:hAnsi="仿宋" w:eastAsia="仿宋"/>
                <w:sz w:val="21"/>
                <w:szCs w:val="21"/>
                <w:lang w:val="en-US" w:eastAsia="zh-CN"/>
              </w:rPr>
              <w:t>2、</w:t>
            </w:r>
            <w:r>
              <w:rPr>
                <w:rFonts w:hint="eastAsia" w:ascii="仿宋" w:hAnsi="仿宋" w:eastAsia="仿宋"/>
                <w:sz w:val="21"/>
                <w:szCs w:val="21"/>
              </w:rPr>
              <w:t>根据医疗机构的要求将系统部署到</w:t>
            </w:r>
            <w:r>
              <w:rPr>
                <w:rFonts w:hint="eastAsia" w:ascii="仿宋" w:hAnsi="仿宋" w:eastAsia="仿宋"/>
                <w:sz w:val="21"/>
                <w:szCs w:val="21"/>
                <w:lang w:val="en-US" w:eastAsia="zh-CN"/>
              </w:rPr>
              <w:t>新</w:t>
            </w:r>
            <w:r>
              <w:rPr>
                <w:rFonts w:hint="eastAsia" w:ascii="仿宋" w:hAnsi="仿宋" w:eastAsia="仿宋"/>
                <w:sz w:val="21"/>
                <w:szCs w:val="21"/>
              </w:rPr>
              <w:t>服务器</w:t>
            </w:r>
            <w:r>
              <w:rPr>
                <w:rFonts w:hint="eastAsia" w:ascii="仿宋" w:hAnsi="仿宋" w:eastAsia="仿宋"/>
                <w:sz w:val="21"/>
                <w:szCs w:val="21"/>
                <w:lang w:val="en-US" w:eastAsia="zh-CN"/>
              </w:rPr>
              <w:t>中，并完成系统调试工作，确保使用正常</w:t>
            </w:r>
            <w:r>
              <w:rPr>
                <w:rFonts w:hint="eastAsia"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trPr>
        <w:tc>
          <w:tcPr>
            <w:tcW w:w="521" w:type="dxa"/>
            <w:vAlign w:val="center"/>
          </w:tcPr>
          <w:p>
            <w:pPr>
              <w:spacing w:line="360" w:lineRule="auto"/>
              <w:jc w:val="center"/>
              <w:rPr>
                <w:rFonts w:hint="default"/>
                <w:b/>
                <w:bCs/>
                <w:kern w:val="2"/>
                <w:sz w:val="21"/>
                <w:szCs w:val="21"/>
                <w:lang w:val="en-US" w:eastAsia="zh-CN" w:bidi="ar-SA"/>
              </w:rPr>
            </w:pPr>
            <w:r>
              <w:rPr>
                <w:rFonts w:hint="eastAsia"/>
                <w:b/>
                <w:bCs/>
                <w:sz w:val="21"/>
                <w:szCs w:val="21"/>
                <w:lang w:val="en-US" w:eastAsia="zh-CN"/>
              </w:rPr>
              <w:t>14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b/>
                <w:color w:val="000000"/>
                <w:sz w:val="21"/>
                <w:szCs w:val="21"/>
              </w:rPr>
            </w:pPr>
            <w:r>
              <w:rPr>
                <w:rFonts w:hint="eastAsia" w:ascii="仿宋" w:hAnsi="仿宋" w:eastAsia="仿宋"/>
                <w:b/>
                <w:color w:val="000000"/>
                <w:sz w:val="21"/>
                <w:szCs w:val="21"/>
                <w:lang w:val="en-US" w:eastAsia="zh-CN"/>
              </w:rPr>
              <w:t>服务器远程巡检</w:t>
            </w:r>
          </w:p>
        </w:tc>
        <w:tc>
          <w:tcPr>
            <w:tcW w:w="7150" w:type="dxa"/>
            <w:tcBorders>
              <w:top w:val="single" w:color="auto" w:sz="4" w:space="0"/>
              <w:left w:val="single" w:color="auto" w:sz="4" w:space="0"/>
              <w:bottom w:val="single" w:color="auto" w:sz="4" w:space="0"/>
              <w:right w:val="single" w:color="auto" w:sz="4" w:space="0"/>
            </w:tcBorders>
            <w:vAlign w:val="top"/>
          </w:tcPr>
          <w:p>
            <w:pPr>
              <w:spacing w:line="360" w:lineRule="auto"/>
              <w:jc w:val="left"/>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安排工程师提供服务器巡查服务：</w:t>
            </w:r>
          </w:p>
          <w:p>
            <w:pPr>
              <w:numPr>
                <w:ilvl w:val="0"/>
                <w:numId w:val="15"/>
              </w:numPr>
              <w:spacing w:line="360" w:lineRule="auto"/>
              <w:jc w:val="left"/>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每年定期对服务器运行环境进行巡检，巡检内容包括：服务器内存情况评估、硬盘情况评估、系统运行稳定性评估等；</w:t>
            </w:r>
          </w:p>
          <w:p>
            <w:pPr>
              <w:numPr>
                <w:ilvl w:val="0"/>
                <w:numId w:val="15"/>
              </w:numPr>
              <w:spacing w:line="360" w:lineRule="auto"/>
              <w:jc w:val="left"/>
              <w:rPr>
                <w:rFonts w:hint="eastAsia" w:ascii="仿宋" w:hAnsi="仿宋" w:eastAsia="仿宋"/>
                <w:color w:val="auto"/>
                <w:sz w:val="21"/>
                <w:szCs w:val="21"/>
                <w:lang w:val="en-US" w:eastAsia="zh-CN"/>
              </w:rPr>
            </w:pPr>
            <w:r>
              <w:rPr>
                <w:rFonts w:hint="eastAsia" w:ascii="仿宋" w:hAnsi="仿宋" w:eastAsia="仿宋"/>
                <w:sz w:val="21"/>
                <w:szCs w:val="21"/>
                <w:lang w:val="en-US" w:eastAsia="zh-CN"/>
              </w:rPr>
              <w:t>提供专业化服务器巡查报告，并基于报告内容给出专业化解决方案</w:t>
            </w:r>
            <w:r>
              <w:rPr>
                <w:rFonts w:hint="eastAsia" w:ascii="仿宋" w:hAnsi="仿宋" w:eastAsia="仿宋"/>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trPr>
        <w:tc>
          <w:tcPr>
            <w:tcW w:w="521" w:type="dxa"/>
            <w:vAlign w:val="center"/>
          </w:tcPr>
          <w:p>
            <w:pPr>
              <w:spacing w:line="360" w:lineRule="auto"/>
              <w:jc w:val="center"/>
              <w:rPr>
                <w:rFonts w:hint="default" w:ascii="仿宋" w:hAnsi="仿宋" w:eastAsia="仿宋" w:cs="Times New Roman"/>
                <w:b/>
                <w:kern w:val="2"/>
                <w:sz w:val="21"/>
                <w:szCs w:val="21"/>
                <w:lang w:val="en-US" w:eastAsia="zh-CN" w:bidi="ar-SA"/>
              </w:rPr>
            </w:pPr>
            <w:r>
              <w:rPr>
                <w:rFonts w:hint="eastAsia" w:ascii="仿宋" w:hAnsi="仿宋" w:eastAsia="仿宋" w:cs="Times New Roman"/>
                <w:b/>
                <w:sz w:val="21"/>
                <w:szCs w:val="21"/>
                <w:lang w:val="en-US" w:eastAsia="zh-CN"/>
              </w:rPr>
              <w:t>15</w:t>
            </w:r>
          </w:p>
        </w:tc>
        <w:tc>
          <w:tcPr>
            <w:tcW w:w="1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b/>
                <w:color w:val="000000"/>
                <w:sz w:val="21"/>
                <w:szCs w:val="21"/>
                <w:lang w:val="en-US" w:eastAsia="zh-CN"/>
              </w:rPr>
            </w:pPr>
            <w:r>
              <w:rPr>
                <w:rFonts w:hint="eastAsia" w:ascii="仿宋" w:hAnsi="仿宋" w:eastAsia="仿宋"/>
                <w:b/>
                <w:color w:val="000000"/>
                <w:sz w:val="21"/>
                <w:szCs w:val="21"/>
                <w:lang w:val="en-US" w:eastAsia="zh-CN"/>
              </w:rPr>
              <w:t>主动数据核查</w:t>
            </w:r>
          </w:p>
        </w:tc>
        <w:tc>
          <w:tcPr>
            <w:tcW w:w="7150" w:type="dxa"/>
            <w:tcBorders>
              <w:top w:val="single" w:color="auto" w:sz="4" w:space="0"/>
              <w:left w:val="single" w:color="auto" w:sz="4" w:space="0"/>
              <w:bottom w:val="single" w:color="auto" w:sz="4" w:space="0"/>
              <w:right w:val="single" w:color="auto" w:sz="4" w:space="0"/>
            </w:tcBorders>
            <w:vAlign w:val="top"/>
          </w:tcPr>
          <w:p>
            <w:pPr>
              <w:spacing w:line="360" w:lineRule="auto"/>
              <w:jc w:val="left"/>
              <w:rPr>
                <w:rFonts w:hint="default" w:ascii="仿宋" w:hAnsi="仿宋" w:eastAsia="仿宋"/>
                <w:sz w:val="21"/>
                <w:szCs w:val="21"/>
                <w:lang w:val="en-US" w:eastAsia="zh-CN"/>
              </w:rPr>
            </w:pPr>
            <w:r>
              <w:rPr>
                <w:rFonts w:hint="eastAsia" w:ascii="仿宋" w:hAnsi="仿宋" w:eastAsia="仿宋"/>
                <w:sz w:val="21"/>
                <w:szCs w:val="21"/>
                <w:lang w:val="en-US" w:eastAsia="zh-CN"/>
              </w:rPr>
              <w:t>安排工程师定期主动核查数据，为院感监测工作提供准确的数据基础，保障院感监测工作的有效开展。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2" w:hRule="atLeast"/>
        </w:trPr>
        <w:tc>
          <w:tcPr>
            <w:tcW w:w="521" w:type="dxa"/>
            <w:vAlign w:val="center"/>
          </w:tcPr>
          <w:p>
            <w:pPr>
              <w:spacing w:line="360" w:lineRule="auto"/>
              <w:jc w:val="center"/>
              <w:rPr>
                <w:rFonts w:hint="default"/>
                <w:b/>
                <w:bCs/>
                <w:color w:val="FF0000"/>
                <w:sz w:val="21"/>
                <w:szCs w:val="21"/>
                <w:lang w:val="en-US" w:eastAsia="zh-CN"/>
              </w:rPr>
            </w:pPr>
            <w:r>
              <w:rPr>
                <w:rFonts w:hint="eastAsia"/>
                <w:b/>
                <w:bCs/>
                <w:color w:val="000000"/>
                <w:sz w:val="21"/>
                <w:szCs w:val="21"/>
                <w:lang w:val="en-US" w:eastAsia="zh-CN"/>
              </w:rPr>
              <w:t>16</w:t>
            </w:r>
          </w:p>
        </w:tc>
        <w:tc>
          <w:tcPr>
            <w:tcW w:w="1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b/>
                <w:color w:val="000000"/>
                <w:sz w:val="21"/>
                <w:szCs w:val="21"/>
                <w:lang w:val="en-US" w:eastAsia="zh-CN"/>
              </w:rPr>
            </w:pPr>
            <w:r>
              <w:rPr>
                <w:rFonts w:hint="eastAsia" w:ascii="仿宋" w:hAnsi="仿宋" w:eastAsia="仿宋"/>
                <w:b/>
                <w:color w:val="000000"/>
                <w:sz w:val="21"/>
                <w:szCs w:val="21"/>
                <w:lang w:val="en-US" w:eastAsia="zh-CN"/>
              </w:rPr>
              <w:t>区域监测报告反馈</w:t>
            </w:r>
          </w:p>
          <w:p>
            <w:pPr>
              <w:spacing w:line="360" w:lineRule="auto"/>
              <w:jc w:val="center"/>
              <w:rPr>
                <w:rFonts w:hint="default" w:ascii="仿宋" w:hAnsi="仿宋" w:eastAsia="仿宋"/>
                <w:b/>
                <w:color w:val="000000"/>
                <w:sz w:val="21"/>
                <w:szCs w:val="21"/>
                <w:lang w:val="en-US" w:eastAsia="zh-CN"/>
              </w:rPr>
            </w:pPr>
          </w:p>
        </w:tc>
        <w:tc>
          <w:tcPr>
            <w:tcW w:w="7150" w:type="dxa"/>
            <w:tcBorders>
              <w:top w:val="single" w:color="auto" w:sz="4" w:space="0"/>
              <w:left w:val="single" w:color="auto" w:sz="4" w:space="0"/>
              <w:bottom w:val="single" w:color="auto" w:sz="4" w:space="0"/>
              <w:right w:val="single" w:color="auto" w:sz="4" w:space="0"/>
            </w:tcBorders>
            <w:vAlign w:val="top"/>
          </w:tcPr>
          <w:p>
            <w:pPr>
              <w:pStyle w:val="19"/>
              <w:spacing w:before="98" w:line="417" w:lineRule="auto"/>
              <w:ind w:left="108" w:right="2008"/>
              <w:rPr>
                <w:rFonts w:hint="eastAsia" w:ascii="仿宋" w:hAnsi="仿宋" w:eastAsia="仿宋" w:cs="仿宋"/>
                <w:sz w:val="21"/>
              </w:rPr>
            </w:pPr>
            <w:r>
              <w:rPr>
                <w:rFonts w:hint="eastAsia" w:ascii="仿宋" w:hAnsi="仿宋" w:eastAsia="仿宋" w:cs="仿宋"/>
                <w:w w:val="95"/>
                <w:sz w:val="21"/>
              </w:rPr>
              <w:t xml:space="preserve">安排工程师提供区域化数据上报及监测服务： </w:t>
            </w:r>
            <w:r>
              <w:rPr>
                <w:w w:val="95"/>
                <w:sz w:val="21"/>
              </w:rPr>
              <w:t xml:space="preserve"> </w:t>
            </w:r>
            <w:r>
              <w:rPr>
                <w:rFonts w:hint="eastAsia" w:ascii="仿宋" w:hAnsi="仿宋" w:eastAsia="仿宋" w:cs="仿宋"/>
                <w:sz w:val="21"/>
              </w:rPr>
              <w:t>1</w:t>
            </w:r>
            <w:r>
              <w:rPr>
                <w:rFonts w:hint="eastAsia" w:ascii="仿宋" w:hAnsi="仿宋" w:eastAsia="仿宋" w:cs="仿宋"/>
                <w:spacing w:val="-7"/>
                <w:sz w:val="21"/>
              </w:rPr>
              <w:t xml:space="preserve">、协助医院完成 </w:t>
            </w:r>
            <w:r>
              <w:rPr>
                <w:rFonts w:hint="eastAsia" w:ascii="仿宋" w:hAnsi="仿宋" w:eastAsia="仿宋" w:cs="仿宋"/>
                <w:sz w:val="21"/>
              </w:rPr>
              <w:t>NICC</w:t>
            </w:r>
            <w:r>
              <w:rPr>
                <w:rFonts w:hint="eastAsia" w:ascii="仿宋" w:hAnsi="仿宋" w:eastAsia="仿宋" w:cs="仿宋"/>
                <w:spacing w:val="-10"/>
                <w:sz w:val="21"/>
              </w:rPr>
              <w:t xml:space="preserve"> 数据上报；</w:t>
            </w:r>
          </w:p>
          <w:p>
            <w:pPr>
              <w:pStyle w:val="19"/>
              <w:spacing w:line="269" w:lineRule="exact"/>
              <w:ind w:left="108"/>
              <w:rPr>
                <w:rFonts w:hint="eastAsia" w:ascii="仿宋" w:hAnsi="仿宋" w:eastAsia="仿宋"/>
                <w:sz w:val="21"/>
                <w:szCs w:val="21"/>
                <w:lang w:val="en-US" w:eastAsia="zh-CN"/>
              </w:rPr>
            </w:pPr>
            <w:r>
              <w:rPr>
                <w:rFonts w:hint="eastAsia" w:ascii="仿宋" w:hAnsi="仿宋" w:eastAsia="仿宋" w:cs="仿宋"/>
                <w:sz w:val="21"/>
              </w:rPr>
              <w:t>2、完成区域化数据分析报告，并反馈给医疗机构。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3" w:hRule="atLeast"/>
        </w:trPr>
        <w:tc>
          <w:tcPr>
            <w:tcW w:w="521" w:type="dxa"/>
            <w:vAlign w:val="center"/>
          </w:tcPr>
          <w:p>
            <w:pPr>
              <w:spacing w:line="360" w:lineRule="auto"/>
              <w:jc w:val="center"/>
              <w:rPr>
                <w:rFonts w:hint="default"/>
                <w:b/>
                <w:bCs/>
                <w:sz w:val="21"/>
                <w:szCs w:val="21"/>
                <w:lang w:val="en-US" w:eastAsia="zh-CN"/>
              </w:rPr>
            </w:pPr>
            <w:r>
              <w:rPr>
                <w:rFonts w:hint="eastAsia"/>
                <w:b/>
                <w:bCs/>
                <w:sz w:val="21"/>
                <w:szCs w:val="21"/>
                <w:lang w:val="en-US" w:eastAsia="zh-CN"/>
              </w:rPr>
              <w:t>17</w:t>
            </w:r>
          </w:p>
        </w:tc>
        <w:tc>
          <w:tcPr>
            <w:tcW w:w="1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Times New Roman"/>
                <w:b/>
                <w:color w:val="000000"/>
                <w:sz w:val="21"/>
                <w:szCs w:val="21"/>
                <w:lang w:val="en-US" w:eastAsia="zh-CN"/>
              </w:rPr>
            </w:pPr>
            <w:r>
              <w:rPr>
                <w:rFonts w:hint="eastAsia" w:ascii="仿宋" w:hAnsi="仿宋" w:eastAsia="仿宋" w:cs="Times New Roman"/>
                <w:b/>
                <w:color w:val="000000"/>
                <w:sz w:val="21"/>
                <w:szCs w:val="21"/>
                <w:lang w:val="en-US" w:eastAsia="zh-CN"/>
              </w:rPr>
              <w:t>评审服务</w:t>
            </w:r>
          </w:p>
          <w:p>
            <w:pPr>
              <w:numPr>
                <w:numId w:val="0"/>
              </w:numPr>
              <w:spacing w:line="360" w:lineRule="auto"/>
              <w:jc w:val="left"/>
              <w:rPr>
                <w:rFonts w:hint="eastAsia" w:ascii="仿宋" w:hAnsi="仿宋" w:eastAsia="仿宋" w:cs="Times New Roman"/>
                <w:sz w:val="21"/>
                <w:szCs w:val="21"/>
                <w:lang w:val="en-US" w:eastAsia="zh-CN"/>
              </w:rPr>
            </w:pPr>
          </w:p>
        </w:tc>
        <w:tc>
          <w:tcPr>
            <w:tcW w:w="7150" w:type="dxa"/>
            <w:tcBorders>
              <w:top w:val="single" w:color="auto" w:sz="4" w:space="0"/>
              <w:left w:val="single" w:color="auto" w:sz="4" w:space="0"/>
              <w:bottom w:val="single" w:color="auto" w:sz="4" w:space="0"/>
              <w:right w:val="single" w:color="auto" w:sz="4" w:space="0"/>
            </w:tcBorders>
            <w:vAlign w:val="top"/>
          </w:tcPr>
          <w:p>
            <w:pPr>
              <w:numPr>
                <w:numId w:val="0"/>
              </w:numPr>
              <w:spacing w:line="360" w:lineRule="auto"/>
              <w:jc w:val="left"/>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 xml:space="preserve">安排工程师配合感控科专职人员协助各项检查及评审工作，提供 </w:t>
            </w:r>
          </w:p>
          <w:p>
            <w:pPr>
              <w:numPr>
                <w:numId w:val="0"/>
              </w:numPr>
              <w:spacing w:line="360" w:lineRule="auto"/>
              <w:jc w:val="left"/>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 xml:space="preserve">包括但不限于以下服务内容： </w:t>
            </w:r>
          </w:p>
          <w:p>
            <w:pPr>
              <w:numPr>
                <w:numId w:val="0"/>
              </w:numPr>
              <w:spacing w:line="360" w:lineRule="auto"/>
              <w:ind w:left="210" w:leftChars="0"/>
              <w:jc w:val="left"/>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 xml:space="preserve">1、完成系统数据准确性核查，为评审提供基础保障； </w:t>
            </w:r>
          </w:p>
          <w:p>
            <w:pPr>
              <w:numPr>
                <w:numId w:val="0"/>
              </w:numPr>
              <w:spacing w:line="360" w:lineRule="auto"/>
              <w:ind w:left="210" w:leftChars="0"/>
              <w:jc w:val="left"/>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 xml:space="preserve">2、支持提供各类院感评审相关的数据；支持提供各类评审相关报告资料的整理； </w:t>
            </w:r>
          </w:p>
          <w:p>
            <w:pPr>
              <w:numPr>
                <w:numId w:val="0"/>
              </w:numPr>
              <w:spacing w:line="360" w:lineRule="auto"/>
              <w:ind w:left="210" w:leftChars="0"/>
              <w:jc w:val="left"/>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3、提供现场陪同评审服务，现场解答各类系统相关的评审问题。</w:t>
            </w:r>
          </w:p>
        </w:tc>
      </w:tr>
      <w:bookmarkEnd w:id="0"/>
    </w:tbl>
    <w:p>
      <w:pPr>
        <w:pStyle w:val="3"/>
        <w:adjustRightInd w:val="0"/>
        <w:snapToGrid w:val="0"/>
        <w:spacing w:line="590" w:lineRule="exact"/>
        <w:ind w:firstLine="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br w:type="page"/>
      </w:r>
    </w:p>
    <w:p>
      <w:pPr>
        <w:pStyle w:val="3"/>
        <w:adjustRightInd w:val="0"/>
        <w:snapToGrid w:val="0"/>
        <w:spacing w:line="590" w:lineRule="exact"/>
        <w:ind w:firstLine="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一、投标书</w:t>
      </w: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致：福建省肿瘤医院</w:t>
      </w: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仿宋_GB2312" w:hAnsi="仿宋_GB2312" w:eastAsia="仿宋_GB2312" w:cs="仿宋_GB2312"/>
          <w:b/>
          <w:sz w:val="32"/>
          <w:szCs w:val="32"/>
          <w:highlight w:val="none"/>
          <w:u w:val="single"/>
        </w:rPr>
        <w:t xml:space="preserve">：      </w:t>
      </w:r>
      <w:r>
        <w:rPr>
          <w:rFonts w:hint="eastAsia" w:ascii="仿宋_GB2312" w:hAnsi="仿宋_GB2312" w:eastAsia="仿宋_GB2312" w:cs="仿宋_GB2312"/>
          <w:sz w:val="32"/>
          <w:szCs w:val="32"/>
          <w:highlight w:val="none"/>
          <w:u w:val="single"/>
        </w:rPr>
        <w:t xml:space="preserve">  （小写：           ）</w:t>
      </w:r>
      <w:r>
        <w:rPr>
          <w:rFonts w:hint="eastAsia" w:ascii="仿宋_GB2312" w:hAnsi="仿宋_GB2312" w:eastAsia="仿宋_GB2312" w:cs="仿宋_GB2312"/>
          <w:sz w:val="32"/>
          <w:szCs w:val="32"/>
          <w:highlight w:val="none"/>
        </w:rPr>
        <w:t>的投标报价并按上述条款、标准要求承包上述项目，并承担任何质量缺陷保修责任。</w:t>
      </w:r>
    </w:p>
    <w:p>
      <w:pPr>
        <w:adjustRightInd w:val="0"/>
        <w:snapToGrid w:val="0"/>
        <w:spacing w:line="590" w:lineRule="exact"/>
        <w:ind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2、我方已详细审核全部招标文件及有关附件。</w:t>
      </w:r>
    </w:p>
    <w:p>
      <w:pPr>
        <w:adjustRightInd w:val="0"/>
        <w:snapToGrid w:val="0"/>
        <w:spacing w:line="590" w:lineRule="exact"/>
        <w:ind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3、一旦我方中标，我方保证质量达到</w:t>
      </w:r>
      <w:r>
        <w:rPr>
          <w:rFonts w:hint="eastAsia" w:ascii="仿宋_GB2312" w:hAnsi="仿宋_GB2312" w:eastAsia="仿宋_GB2312" w:cs="仿宋_GB2312"/>
          <w:b/>
          <w:sz w:val="32"/>
          <w:szCs w:val="32"/>
          <w:highlight w:val="none"/>
          <w:u w:val="single"/>
        </w:rPr>
        <w:t>投标须知、投标文件等规定</w:t>
      </w:r>
      <w:r>
        <w:rPr>
          <w:rFonts w:hint="eastAsia" w:ascii="仿宋_GB2312" w:hAnsi="仿宋_GB2312" w:eastAsia="仿宋_GB2312" w:cs="仿宋_GB2312"/>
          <w:sz w:val="32"/>
          <w:szCs w:val="32"/>
          <w:highlight w:val="none"/>
        </w:rPr>
        <w:t>标准。</w:t>
      </w:r>
    </w:p>
    <w:p>
      <w:pPr>
        <w:adjustRightInd w:val="0"/>
        <w:snapToGrid w:val="0"/>
        <w:spacing w:line="590" w:lineRule="exact"/>
        <w:ind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4、我方同意所提交的投标文件在招标文件的投标须知中规定的投标有效期内有效，在此期间内如果中标，我方将受此约束。</w:t>
      </w:r>
    </w:p>
    <w:p>
      <w:pPr>
        <w:adjustRightInd w:val="0"/>
        <w:snapToGrid w:val="0"/>
        <w:spacing w:line="590" w:lineRule="exact"/>
        <w:ind w:firstLine="42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5、除非另外达成协议并生效，你方的中标通知书和本投标文件将成为约束双方的合同文件的组成部分。</w:t>
      </w:r>
    </w:p>
    <w:p>
      <w:pPr>
        <w:adjustRightInd w:val="0"/>
        <w:snapToGrid w:val="0"/>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附件：报价清单</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投标人（盖章）：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单位地址：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法定代表人（签字或盖章）：</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邮政编码：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电话：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传真：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开户银行名称：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开户银行帐号： </w:t>
      </w:r>
    </w:p>
    <w:p>
      <w:pPr>
        <w:adjustRightInd w:val="0"/>
        <w:snapToGrid w:val="0"/>
        <w:spacing w:line="59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开户银行地址：</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开户银行电话： </w:t>
      </w:r>
    </w:p>
    <w:p>
      <w:pPr>
        <w:adjustRightInd w:val="0"/>
        <w:snapToGrid w:val="0"/>
        <w:spacing w:line="590" w:lineRule="exact"/>
        <w:ind w:firstLine="600"/>
        <w:rPr>
          <w:rFonts w:hint="eastAsia" w:ascii="仿宋_GB2312" w:hAnsi="仿宋_GB2312" w:eastAsia="仿宋_GB2312" w:cs="仿宋_GB2312"/>
          <w:sz w:val="32"/>
          <w:szCs w:val="32"/>
          <w:highlight w:val="none"/>
        </w:rPr>
      </w:pPr>
    </w:p>
    <w:p>
      <w:pPr>
        <w:adjustRightInd w:val="0"/>
        <w:snapToGrid w:val="0"/>
        <w:spacing w:line="590" w:lineRule="exact"/>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附件：投标报价清单</w:t>
      </w:r>
    </w:p>
    <w:p>
      <w:pPr>
        <w:adjustRightInd w:val="0"/>
        <w:snapToGrid w:val="0"/>
        <w:spacing w:line="590" w:lineRule="exact"/>
        <w:rPr>
          <w:rFonts w:hint="eastAsia" w:ascii="仿宋_GB2312" w:hAnsi="仿宋_GB2312" w:eastAsia="仿宋_GB2312" w:cs="仿宋_GB2312"/>
          <w:sz w:val="32"/>
          <w:szCs w:val="32"/>
          <w:highlight w:val="none"/>
        </w:rPr>
      </w:pPr>
    </w:p>
    <w:tbl>
      <w:tblPr>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4399"/>
        <w:gridCol w:w="1417"/>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13"/>
              <w:shd w:val="clear" w:color="auto" w:fill="FFFFFF"/>
              <w:adjustRightInd w:val="0"/>
              <w:snapToGrid w:val="0"/>
              <w:spacing w:line="590" w:lineRule="exact"/>
              <w:rPr>
                <w:rFonts w:hint="eastAsia" w:ascii="仿宋_GB2312" w:hAnsi="仿宋_GB2312" w:eastAsia="仿宋_GB2312" w:cs="仿宋_GB2312"/>
                <w:kern w:val="2"/>
                <w:sz w:val="32"/>
                <w:szCs w:val="32"/>
                <w:highlight w:val="none"/>
                <w:lang w:val="en-US" w:eastAsia="zh-CN"/>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13"/>
              <w:shd w:val="clear" w:color="auto" w:fill="FFFFFF"/>
              <w:adjustRightInd w:val="0"/>
              <w:snapToGrid w:val="0"/>
              <w:spacing w:line="590" w:lineRule="exact"/>
              <w:rPr>
                <w:rFonts w:hint="eastAsia" w:ascii="仿宋_GB2312" w:hAnsi="仿宋_GB2312" w:eastAsia="仿宋_GB2312" w:cs="仿宋_GB2312"/>
                <w:kern w:val="2"/>
                <w:sz w:val="32"/>
                <w:szCs w:val="32"/>
                <w:highlight w:val="none"/>
                <w:lang w:val="en-US" w:eastAsia="zh-CN"/>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r>
    </w:tbl>
    <w:p>
      <w:pPr>
        <w:adjustRightInd w:val="0"/>
        <w:snapToGrid w:val="0"/>
        <w:spacing w:line="590" w:lineRule="exact"/>
        <w:jc w:val="center"/>
        <w:rPr>
          <w:rFonts w:hint="eastAsia" w:ascii="仿宋_GB2312" w:hAnsi="仿宋_GB2312" w:eastAsia="仿宋_GB2312" w:cs="仿宋_GB2312"/>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二、投标委托代表人资格证明书</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单位名称：</w:t>
      </w:r>
    </w:p>
    <w:p>
      <w:pPr>
        <w:adjustRightInd w:val="0"/>
        <w:snapToGrid w:val="0"/>
        <w:spacing w:line="590" w:lineRule="exac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地址：</w:t>
      </w: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姓名：    性别：年龄：  职务：   系委托代表人。为施工、竣工和保修项目，签署上述项目的投标文件、进行合同谈判、签署合同和处理与之有关的一切事务。</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ind w:firstLine="6240" w:firstLineChars="19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投标人（盖章）：   </w:t>
      </w:r>
    </w:p>
    <w:p>
      <w:pPr>
        <w:adjustRightInd w:val="0"/>
        <w:snapToGrid w:val="0"/>
        <w:spacing w:line="590" w:lineRule="exact"/>
        <w:ind w:firstLine="6560" w:firstLineChars="20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   月  日</w:t>
      </w:r>
    </w:p>
    <w:p>
      <w:pPr>
        <w:adjustRightInd w:val="0"/>
        <w:snapToGrid w:val="0"/>
        <w:spacing w:line="590" w:lineRule="exact"/>
        <w:jc w:val="center"/>
        <w:rPr>
          <w:rFonts w:hint="eastAsia" w:ascii="仿宋_GB2312" w:hAnsi="仿宋_GB2312" w:eastAsia="仿宋_GB2312" w:cs="仿宋_GB2312"/>
          <w:b/>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三、投标承诺书</w:t>
      </w:r>
    </w:p>
    <w:p>
      <w:pPr>
        <w:tabs>
          <w:tab w:val="left" w:pos="5355"/>
        </w:tabs>
        <w:adjustRightInd w:val="0"/>
        <w:snapToGrid w:val="0"/>
        <w:spacing w:before="100" w:beforeAutospacing="1" w:after="100" w:afterAutospacing="1" w:line="59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我司承诺对项目的院内公开招标最终确定的综合评定最优结果表示认可，并承诺不会对福建省肿瘤医院在本项目招标过程中的工作模式以及终止本项目招标的可能提出疑议。</w:t>
      </w:r>
    </w:p>
    <w:p>
      <w:pPr>
        <w:tabs>
          <w:tab w:val="left" w:pos="5355"/>
        </w:tabs>
        <w:adjustRightInd w:val="0"/>
        <w:snapToGrid w:val="0"/>
        <w:spacing w:before="100" w:beforeAutospacing="1" w:after="100" w:afterAutospacing="1"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pPr>
        <w:tabs>
          <w:tab w:val="left" w:pos="5355"/>
        </w:tabs>
        <w:adjustRightInd w:val="0"/>
        <w:snapToGrid w:val="0"/>
        <w:spacing w:before="100" w:beforeAutospacing="1" w:after="100" w:afterAutospacing="1"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我司承诺福建省肿瘤医院在授予我司合同时有权利增加补充相关内容。</w:t>
      </w:r>
    </w:p>
    <w:p>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投标人名称（全称并加公章）：</w:t>
      </w:r>
    </w:p>
    <w:p>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投标人代表签字：</w:t>
      </w:r>
    </w:p>
    <w:p>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rPr>
        <w:t>日期：     年    月   日</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四、投标方案</w:t>
      </w:r>
    </w:p>
    <w:p>
      <w:pPr>
        <w:adjustRightInd w:val="0"/>
        <w:snapToGrid w:val="0"/>
        <w:spacing w:line="590" w:lineRule="exact"/>
        <w:ind w:firstLine="640" w:firstLineChars="200"/>
        <w:rPr>
          <w:rFonts w:hint="eastAsia" w:ascii="仿宋_GB2312" w:hAnsi="仿宋_GB2312" w:eastAsia="仿宋_GB2312" w:cs="仿宋_GB2312"/>
          <w:sz w:val="32"/>
          <w:szCs w:val="32"/>
          <w:highlight w:val="none"/>
        </w:rPr>
      </w:pPr>
    </w:p>
    <w:p>
      <w:pPr>
        <w:tabs>
          <w:tab w:val="left" w:pos="1600"/>
        </w:tabs>
        <w:adjustRightInd w:val="0"/>
        <w:snapToGrid w:val="0"/>
        <w:spacing w:line="590" w:lineRule="exact"/>
        <w:ind w:left="330" w:firstLine="24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五、投标人提交的其它材料</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rPr>
      </w:pPr>
    </w:p>
    <w:sectPr>
      <w:pgSz w:w="11906" w:h="16838"/>
      <w:pgMar w:top="1814"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215036519">
    <w:nsid w:val="8406C667"/>
    <w:multiLevelType w:val="singleLevel"/>
    <w:tmpl w:val="8406C667"/>
    <w:lvl w:ilvl="0" w:tentative="1">
      <w:start w:val="2"/>
      <w:numFmt w:val="chineseCounting"/>
      <w:suff w:val="nothing"/>
      <w:lvlText w:val="%1、"/>
      <w:lvlJc w:val="left"/>
      <w:rPr>
        <w:rFonts w:hint="eastAsia"/>
      </w:rPr>
    </w:lvl>
  </w:abstractNum>
  <w:abstractNum w:abstractNumId="2645521439">
    <w:nsid w:val="9DAF741F"/>
    <w:multiLevelType w:val="singleLevel"/>
    <w:tmpl w:val="9DAF741F"/>
    <w:lvl w:ilvl="0" w:tentative="1">
      <w:start w:val="1"/>
      <w:numFmt w:val="decimal"/>
      <w:suff w:val="nothing"/>
      <w:lvlText w:val="%1、"/>
      <w:lvlJc w:val="left"/>
    </w:lvl>
  </w:abstractNum>
  <w:abstractNum w:abstractNumId="2936968512">
    <w:nsid w:val="AF0E9540"/>
    <w:multiLevelType w:val="singleLevel"/>
    <w:tmpl w:val="AF0E9540"/>
    <w:lvl w:ilvl="0" w:tentative="1">
      <w:start w:val="1"/>
      <w:numFmt w:val="decimal"/>
      <w:suff w:val="nothing"/>
      <w:lvlText w:val="%1、"/>
      <w:lvlJc w:val="left"/>
    </w:lvl>
  </w:abstractNum>
  <w:abstractNum w:abstractNumId="1961541257">
    <w:nsid w:val="74EABE89"/>
    <w:multiLevelType w:val="singleLevel"/>
    <w:tmpl w:val="74EABE89"/>
    <w:lvl w:ilvl="0" w:tentative="1">
      <w:start w:val="1"/>
      <w:numFmt w:val="decimal"/>
      <w:suff w:val="nothing"/>
      <w:lvlText w:val="%1、"/>
      <w:lvlJc w:val="left"/>
    </w:lvl>
  </w:abstractNum>
  <w:abstractNum w:abstractNumId="385879457">
    <w:nsid w:val="17000DA1"/>
    <w:multiLevelType w:val="singleLevel"/>
    <w:tmpl w:val="17000DA1"/>
    <w:lvl w:ilvl="0" w:tentative="1">
      <w:start w:val="1"/>
      <w:numFmt w:val="decimal"/>
      <w:suff w:val="nothing"/>
      <w:lvlText w:val="%1、"/>
      <w:lvlJc w:val="left"/>
    </w:lvl>
  </w:abstractNum>
  <w:abstractNum w:abstractNumId="885143033">
    <w:nsid w:val="34C235F9"/>
    <w:multiLevelType w:val="multilevel"/>
    <w:tmpl w:val="34C235F9"/>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499885209">
    <w:nsid w:val="95013899"/>
    <w:multiLevelType w:val="singleLevel"/>
    <w:tmpl w:val="95013899"/>
    <w:lvl w:ilvl="0" w:tentative="1">
      <w:start w:val="1"/>
      <w:numFmt w:val="decimal"/>
      <w:suff w:val="nothing"/>
      <w:lvlText w:val="%1、"/>
      <w:lvlJc w:val="left"/>
    </w:lvl>
  </w:abstractNum>
  <w:abstractNum w:abstractNumId="3659430383">
    <w:nsid w:val="DA1E79EF"/>
    <w:multiLevelType w:val="singleLevel"/>
    <w:tmpl w:val="DA1E79EF"/>
    <w:lvl w:ilvl="0" w:tentative="1">
      <w:start w:val="1"/>
      <w:numFmt w:val="decimal"/>
      <w:suff w:val="nothing"/>
      <w:lvlText w:val="%1、"/>
      <w:lvlJc w:val="left"/>
    </w:lvl>
  </w:abstractNum>
  <w:abstractNum w:abstractNumId="2727596236">
    <w:nsid w:val="A293D0CC"/>
    <w:multiLevelType w:val="singleLevel"/>
    <w:tmpl w:val="A293D0CC"/>
    <w:lvl w:ilvl="0" w:tentative="1">
      <w:start w:val="1"/>
      <w:numFmt w:val="decimal"/>
      <w:suff w:val="nothing"/>
      <w:lvlText w:val="%1、"/>
      <w:lvlJc w:val="left"/>
    </w:lvl>
  </w:abstractNum>
  <w:abstractNum w:abstractNumId="903877884">
    <w:nsid w:val="35E014FC"/>
    <w:multiLevelType w:val="singleLevel"/>
    <w:tmpl w:val="35E014FC"/>
    <w:lvl w:ilvl="0" w:tentative="1">
      <w:start w:val="1"/>
      <w:numFmt w:val="decimal"/>
      <w:suff w:val="nothing"/>
      <w:lvlText w:val="%1、"/>
      <w:lvlJc w:val="left"/>
    </w:lvl>
  </w:abstractNum>
  <w:abstractNum w:abstractNumId="3594267255">
    <w:nsid w:val="D63C2A77"/>
    <w:multiLevelType w:val="singleLevel"/>
    <w:tmpl w:val="D63C2A77"/>
    <w:lvl w:ilvl="0" w:tentative="1">
      <w:start w:val="1"/>
      <w:numFmt w:val="decimal"/>
      <w:suff w:val="nothing"/>
      <w:lvlText w:val="%1、"/>
      <w:lvlJc w:val="left"/>
    </w:lvl>
  </w:abstractNum>
  <w:abstractNum w:abstractNumId="3996564523">
    <w:nsid w:val="EE36BC2B"/>
    <w:multiLevelType w:val="singleLevel"/>
    <w:tmpl w:val="EE36BC2B"/>
    <w:lvl w:ilvl="0" w:tentative="1">
      <w:start w:val="7"/>
      <w:numFmt w:val="chineseCounting"/>
      <w:suff w:val="nothing"/>
      <w:lvlText w:val="%1、"/>
      <w:lvlJc w:val="left"/>
      <w:rPr>
        <w:rFonts w:hint="eastAsia"/>
      </w:rPr>
    </w:lvl>
  </w:abstractNum>
  <w:abstractNum w:abstractNumId="1686896950">
    <w:nsid w:val="648C0136"/>
    <w:multiLevelType w:val="singleLevel"/>
    <w:tmpl w:val="648C0136"/>
    <w:lvl w:ilvl="0" w:tentative="1">
      <w:start w:val="11"/>
      <w:numFmt w:val="chineseCounting"/>
      <w:suff w:val="nothing"/>
      <w:lvlText w:val="%1、"/>
      <w:lvlJc w:val="left"/>
    </w:lvl>
  </w:abstractNum>
  <w:abstractNum w:abstractNumId="164360018">
    <w:nsid w:val="09CBEF52"/>
    <w:multiLevelType w:val="singleLevel"/>
    <w:tmpl w:val="09CBEF52"/>
    <w:lvl w:ilvl="0" w:tentative="1">
      <w:start w:val="1"/>
      <w:numFmt w:val="decimal"/>
      <w:suff w:val="nothing"/>
      <w:lvlText w:val="%1、"/>
      <w:lvlJc w:val="left"/>
    </w:lvl>
  </w:abstractNum>
  <w:abstractNum w:abstractNumId="1043530648">
    <w:nsid w:val="3E330398"/>
    <w:multiLevelType w:val="singleLevel"/>
    <w:tmpl w:val="3E330398"/>
    <w:lvl w:ilvl="0" w:tentative="1">
      <w:start w:val="1"/>
      <w:numFmt w:val="decimal"/>
      <w:suff w:val="nothing"/>
      <w:lvlText w:val="%1、"/>
      <w:lvlJc w:val="left"/>
    </w:lvl>
  </w:abstractNum>
  <w:num w:numId="1">
    <w:abstractNumId w:val="2215036519"/>
  </w:num>
  <w:num w:numId="2">
    <w:abstractNumId w:val="3996564523"/>
  </w:num>
  <w:num w:numId="3">
    <w:abstractNumId w:val="1686896950"/>
  </w:num>
  <w:num w:numId="4">
    <w:abstractNumId w:val="885143033"/>
  </w:num>
  <w:num w:numId="5">
    <w:abstractNumId w:val="1961541257"/>
  </w:num>
  <w:num w:numId="6">
    <w:abstractNumId w:val="3659430383"/>
  </w:num>
  <w:num w:numId="7">
    <w:abstractNumId w:val="1043530648"/>
  </w:num>
  <w:num w:numId="8">
    <w:abstractNumId w:val="2499885209"/>
  </w:num>
  <w:num w:numId="9">
    <w:abstractNumId w:val="903877884"/>
  </w:num>
  <w:num w:numId="10">
    <w:abstractNumId w:val="2645521439"/>
  </w:num>
  <w:num w:numId="11">
    <w:abstractNumId w:val="2727596236"/>
  </w:num>
  <w:num w:numId="12">
    <w:abstractNumId w:val="3594267255"/>
  </w:num>
  <w:num w:numId="13">
    <w:abstractNumId w:val="385879457"/>
  </w:num>
  <w:num w:numId="14">
    <w:abstractNumId w:val="2936968512"/>
  </w:num>
  <w:num w:numId="15">
    <w:abstractNumId w:val="1643600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WQxYzlhMDQyYThlNDMwMmUzZDM4OWFmN2U1NzRhYWQ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annotation subject"/>
    <w:lsdException w:qFormat="1"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rPr>
  </w:style>
  <w:style w:type="character" w:default="1" w:styleId="15">
    <w:name w:val="Default Paragraph Font"/>
    <w:semiHidden/>
    <w:unhideWhenUsed/>
    <w:qFormat/>
    <w:uiPriority w:val="1"/>
  </w:style>
  <w:style w:type="paragraph" w:styleId="3">
    <w:name w:val="Normal Indent"/>
    <w:basedOn w:val="1"/>
    <w:link w:val="24"/>
    <w:qFormat/>
    <w:uiPriority w:val="0"/>
    <w:pPr>
      <w:widowControl/>
      <w:ind w:firstLine="420"/>
      <w:jc w:val="left"/>
    </w:pPr>
    <w:rPr>
      <w:kern w:val="0"/>
      <w:sz w:val="20"/>
      <w:szCs w:val="20"/>
    </w:rPr>
  </w:style>
  <w:style w:type="paragraph" w:styleId="4">
    <w:name w:val="Body Text"/>
    <w:basedOn w:val="1"/>
    <w:next w:val="5"/>
    <w:semiHidden/>
    <w:unhideWhenUsed/>
    <w:qFormat/>
    <w:uiPriority w:val="99"/>
    <w:pPr>
      <w:spacing w:after="120"/>
    </w:pPr>
  </w:style>
  <w:style w:type="paragraph" w:styleId="5">
    <w:name w:val="toc 2"/>
    <w:basedOn w:val="1"/>
    <w:next w:val="1"/>
    <w:qFormat/>
    <w:uiPriority w:val="39"/>
    <w:pPr>
      <w:ind w:left="210"/>
      <w:jc w:val="left"/>
    </w:pPr>
    <w:rPr>
      <w:smallCaps/>
      <w:szCs w:val="24"/>
    </w:rPr>
  </w:style>
  <w:style w:type="paragraph" w:styleId="6">
    <w:name w:val="Body Text Indent"/>
    <w:basedOn w:val="1"/>
    <w:next w:val="7"/>
    <w:qFormat/>
    <w:uiPriority w:val="0"/>
    <w:pPr>
      <w:spacing w:after="120"/>
      <w:ind w:left="420" w:leftChars="200"/>
    </w:pPr>
  </w:style>
  <w:style w:type="paragraph" w:styleId="7">
    <w:name w:val="Body Text First Indent 2"/>
    <w:basedOn w:val="6"/>
    <w:next w:val="1"/>
    <w:qFormat/>
    <w:uiPriority w:val="99"/>
    <w:pPr>
      <w:widowControl w:val="0"/>
      <w:spacing w:after="200" w:line="440" w:lineRule="exact"/>
      <w:ind w:left="0" w:leftChars="0" w:firstLine="210" w:firstLineChars="200"/>
      <w:textAlignment w:val="auto"/>
    </w:pPr>
    <w:rPr>
      <w:rFonts w:eastAsia="仿宋_GB2312" w:cs="宋体"/>
      <w:snapToGrid w:val="0"/>
      <w:sz w:val="32"/>
      <w:szCs w:val="24"/>
    </w:rPr>
  </w:style>
  <w:style w:type="paragraph" w:styleId="8">
    <w:name w:val="Plain Text"/>
    <w:basedOn w:val="1"/>
    <w:link w:val="25"/>
    <w:unhideWhenUsed/>
    <w:qFormat/>
    <w:uiPriority w:val="0"/>
    <w:rPr>
      <w:rFonts w:ascii="宋体" w:hAnsi="Courier New" w:eastAsia="微软雅黑"/>
      <w:kern w:val="0"/>
      <w:sz w:val="22"/>
      <w:szCs w:val="20"/>
    </w:rPr>
  </w:style>
  <w:style w:type="paragraph" w:styleId="9">
    <w:name w:val="Balloon Text"/>
    <w:basedOn w:val="1"/>
    <w:link w:val="28"/>
    <w:semiHidden/>
    <w:unhideWhenUsed/>
    <w:qFormat/>
    <w:uiPriority w:val="99"/>
    <w:rPr>
      <w:sz w:val="18"/>
      <w:szCs w:val="18"/>
    </w:rPr>
  </w:style>
  <w:style w:type="paragraph" w:styleId="10">
    <w:name w:val="footer"/>
    <w:basedOn w:val="1"/>
    <w:link w:val="22"/>
    <w:semiHidden/>
    <w:unhideWhenUsed/>
    <w:qFormat/>
    <w:uiPriority w:val="99"/>
    <w:pPr>
      <w:tabs>
        <w:tab w:val="center" w:pos="4153"/>
        <w:tab w:val="right" w:pos="8306"/>
      </w:tabs>
      <w:snapToGrid w:val="0"/>
      <w:jc w:val="left"/>
    </w:pPr>
    <w:rPr>
      <w:sz w:val="18"/>
      <w:szCs w:val="18"/>
    </w:rPr>
  </w:style>
  <w:style w:type="paragraph" w:styleId="11">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Message Header"/>
    <w:basedOn w:val="1"/>
    <w:link w:val="2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13">
    <w:name w:val="HTML Preformatted"/>
    <w:basedOn w:val="1"/>
    <w:link w:val="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4">
    <w:name w:val="Normal (Web)"/>
    <w:basedOn w:val="1"/>
    <w:qFormat/>
    <w:uiPriority w:val="0"/>
    <w:pPr>
      <w:spacing w:before="100" w:beforeAutospacing="1" w:after="100" w:afterAutospacing="1"/>
      <w:jc w:val="left"/>
    </w:pPr>
    <w:rPr>
      <w:kern w:val="0"/>
      <w:sz w:val="24"/>
    </w:rPr>
  </w:style>
  <w:style w:type="character" w:styleId="16">
    <w:name w:val="Strong"/>
    <w:basedOn w:val="15"/>
    <w:qFormat/>
    <w:uiPriority w:val="22"/>
    <w:rPr>
      <w:b/>
    </w:rPr>
  </w:style>
  <w:style w:type="character" w:styleId="17">
    <w:name w:val="Hyperlink"/>
    <w:qFormat/>
    <w:uiPriority w:val="0"/>
    <w:rPr>
      <w:color w:val="0000FF"/>
      <w:u w:val="single"/>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19">
    <w:name w:val="Table Paragraph"/>
    <w:basedOn w:val="1"/>
    <w:qFormat/>
    <w:uiPriority w:val="1"/>
    <w:rPr>
      <w:rFonts w:ascii="宋体" w:hAnsi="宋体" w:eastAsia="宋体" w:cs="宋体"/>
      <w:lang w:val="zh-CN" w:eastAsia="zh-CN" w:bidi="zh-CN"/>
    </w:rPr>
  </w:style>
  <w:style w:type="paragraph" w:customStyle="1" w:styleId="20">
    <w:name w:val="列出段落1"/>
    <w:basedOn w:val="1"/>
    <w:qFormat/>
    <w:uiPriority w:val="99"/>
    <w:pPr>
      <w:ind w:firstLine="420" w:firstLineChars="200"/>
    </w:pPr>
  </w:style>
  <w:style w:type="character" w:customStyle="1" w:styleId="21">
    <w:name w:val="页眉 Char"/>
    <w:basedOn w:val="15"/>
    <w:link w:val="11"/>
    <w:semiHidden/>
    <w:qFormat/>
    <w:uiPriority w:val="99"/>
    <w:rPr>
      <w:sz w:val="18"/>
      <w:szCs w:val="18"/>
    </w:rPr>
  </w:style>
  <w:style w:type="character" w:customStyle="1" w:styleId="22">
    <w:name w:val="页脚 Char"/>
    <w:basedOn w:val="15"/>
    <w:link w:val="10"/>
    <w:semiHidden/>
    <w:qFormat/>
    <w:uiPriority w:val="99"/>
    <w:rPr>
      <w:sz w:val="18"/>
      <w:szCs w:val="18"/>
    </w:rPr>
  </w:style>
  <w:style w:type="character" w:customStyle="1" w:styleId="23">
    <w:name w:val="信息标题 Char"/>
    <w:basedOn w:val="15"/>
    <w:link w:val="12"/>
    <w:qFormat/>
    <w:uiPriority w:val="99"/>
    <w:rPr>
      <w:rFonts w:ascii="Cambria" w:hAnsi="Cambria" w:eastAsia="宋体" w:cs="Times New Roman"/>
      <w:kern w:val="0"/>
      <w:sz w:val="24"/>
      <w:szCs w:val="24"/>
      <w:shd w:val="pct20" w:color="auto" w:fill="auto"/>
    </w:rPr>
  </w:style>
  <w:style w:type="character" w:customStyle="1" w:styleId="24">
    <w:name w:val="正文缩进 Char"/>
    <w:link w:val="3"/>
    <w:qFormat/>
    <w:uiPriority w:val="0"/>
    <w:rPr>
      <w:rFonts w:ascii="Times New Roman" w:hAnsi="Times New Roman" w:eastAsia="宋体" w:cs="Times New Roman"/>
      <w:kern w:val="0"/>
      <w:sz w:val="20"/>
      <w:szCs w:val="20"/>
    </w:rPr>
  </w:style>
  <w:style w:type="character" w:customStyle="1" w:styleId="25">
    <w:name w:val="纯文本 Char"/>
    <w:basedOn w:val="15"/>
    <w:link w:val="8"/>
    <w:qFormat/>
    <w:uiPriority w:val="0"/>
    <w:rPr>
      <w:rFonts w:ascii="宋体" w:hAnsi="Courier New" w:eastAsia="微软雅黑" w:cs="Times New Roman"/>
      <w:kern w:val="0"/>
      <w:sz w:val="22"/>
      <w:szCs w:val="20"/>
    </w:rPr>
  </w:style>
  <w:style w:type="character" w:customStyle="1" w:styleId="26">
    <w:name w:val="HTML 预设格式 Char"/>
    <w:basedOn w:val="15"/>
    <w:link w:val="13"/>
    <w:qFormat/>
    <w:uiPriority w:val="0"/>
    <w:rPr>
      <w:rFonts w:ascii="宋体" w:hAnsi="宋体" w:eastAsia="宋体" w:cs="Times New Roman"/>
      <w:kern w:val="0"/>
      <w:sz w:val="24"/>
      <w:szCs w:val="24"/>
    </w:rPr>
  </w:style>
  <w:style w:type="character" w:customStyle="1" w:styleId="27">
    <w:name w:val="font01"/>
    <w:basedOn w:val="15"/>
    <w:qFormat/>
    <w:uiPriority w:val="0"/>
    <w:rPr>
      <w:rFonts w:hint="eastAsia" w:ascii="宋体" w:hAnsi="宋体" w:eastAsia="宋体" w:cs="宋体"/>
      <w:color w:val="000000"/>
      <w:sz w:val="20"/>
      <w:szCs w:val="20"/>
      <w:u w:val="none"/>
    </w:rPr>
  </w:style>
  <w:style w:type="character" w:customStyle="1" w:styleId="28">
    <w:name w:val="批注框文本 Char"/>
    <w:basedOn w:val="15"/>
    <w:link w:val="9"/>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9</Pages>
  <Words>2212</Words>
  <Characters>2293</Characters>
  <Lines>38</Lines>
  <Paragraphs>10</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2023-05-12T08:18:00Z</dcterms:created>
  <dc:creator>HP Inc.</dc:creator>
  <cp:lastModifiedBy>Admin</cp:lastModifiedBy>
  <cp:lastPrinted>2023-06-05T23:51:00Z</cp:lastPrinted>
  <dcterms:modified xsi:type="dcterms:W3CDTF">2023-08-26T01:25:54Z</dcterms:modified>
  <dc:title>福建省肿瘤医院         采购项目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4CA0FFBFB9BB439992157BB7A726CF64_13</vt:lpwstr>
  </property>
</Properties>
</file>