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4"/>
        <w:snapToGrid w:val="0"/>
        <w:spacing w:line="59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福建省肿瘤医院OTN专线（福州-上海）</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rPr>
        <w:t>项目招标采购公告</w:t>
      </w:r>
    </w:p>
    <w:p>
      <w:p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一、项目概况和基本情况</w:t>
      </w:r>
    </w:p>
    <w:p>
      <w:pPr>
        <w:ind w:firstLine="640" w:firstLineChars="200"/>
        <w:rPr>
          <w:color w:val="auto"/>
          <w:sz w:val="32"/>
          <w:szCs w:val="32"/>
        </w:rPr>
      </w:pPr>
      <w:r>
        <w:rPr>
          <w:rFonts w:hint="eastAsia" w:ascii="仿宋_GB2312" w:hAnsi="仿宋_GB2312" w:eastAsia="仿宋_GB2312" w:cs="仿宋_GB2312"/>
          <w:color w:val="auto"/>
          <w:sz w:val="32"/>
          <w:szCs w:val="32"/>
        </w:rPr>
        <w:t>1、项目名称：</w:t>
      </w:r>
      <w:bookmarkStart w:id="0" w:name="_Hlk144712546"/>
      <w:r>
        <w:rPr>
          <w:rFonts w:hint="eastAsia" w:ascii="仿宋_GB2312" w:hAnsi="仿宋_GB2312" w:eastAsia="仿宋_GB2312" w:cs="仿宋_GB2312"/>
          <w:color w:val="auto"/>
          <w:sz w:val="32"/>
          <w:szCs w:val="32"/>
        </w:rPr>
        <w:t>省际50</w:t>
      </w:r>
      <w:r>
        <w:rPr>
          <w:rFonts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rPr>
        <w:t xml:space="preserve"> OTN专线（福州-上海）</w:t>
      </w:r>
      <w:bookmarkEnd w:id="0"/>
      <w:r>
        <w:rPr>
          <w:rFonts w:hint="eastAsia" w:ascii="仿宋_GB2312" w:hAnsi="仿宋_GB2312" w:eastAsia="仿宋_GB2312" w:cs="仿宋_GB2312"/>
          <w:color w:val="auto"/>
          <w:sz w:val="32"/>
          <w:szCs w:val="32"/>
        </w:rPr>
        <w:t xml:space="preserve">采购项目 </w:t>
      </w:r>
      <w:r>
        <w:rPr>
          <w:rFonts w:ascii="仿宋_GB2312" w:hAnsi="仿宋_GB2312" w:eastAsia="仿宋_GB2312" w:cs="仿宋_GB2312"/>
          <w:color w:val="auto"/>
          <w:sz w:val="32"/>
          <w:szCs w:val="32"/>
        </w:rPr>
        <w:t xml:space="preserve"> </w:t>
      </w:r>
    </w:p>
    <w:p>
      <w:pPr>
        <w:rPr>
          <w:color w:val="auto"/>
          <w:sz w:val="32"/>
          <w:szCs w:val="32"/>
        </w:rPr>
      </w:pPr>
      <w:r>
        <w:rPr>
          <w:rFonts w:hint="eastAsia" w:ascii="仿宋_GB2312" w:hAnsi="仿宋_GB2312" w:eastAsia="仿宋_GB2312" w:cs="仿宋_GB2312"/>
          <w:color w:val="auto"/>
          <w:sz w:val="32"/>
          <w:szCs w:val="32"/>
        </w:rPr>
        <w:t xml:space="preserve">    2、采购方式：比价议价采购</w:t>
      </w:r>
    </w:p>
    <w:p>
      <w:pPr>
        <w:ind w:firstLine="640" w:firstLineChars="200"/>
        <w:rPr>
          <w:color w:val="auto"/>
          <w:sz w:val="32"/>
          <w:szCs w:val="32"/>
        </w:rPr>
      </w:pPr>
      <w:r>
        <w:rPr>
          <w:rFonts w:hint="eastAsia" w:ascii="仿宋_GB2312" w:hAnsi="仿宋_GB2312" w:eastAsia="仿宋_GB2312" w:cs="仿宋_GB2312"/>
          <w:color w:val="auto"/>
          <w:sz w:val="32"/>
          <w:szCs w:val="32"/>
        </w:rPr>
        <w:t>3、采购预算金额：</w:t>
      </w:r>
      <w:r>
        <w:rPr>
          <w:rFonts w:hint="eastAsia" w:ascii="仿宋_GB2312" w:hAnsi="仿宋_GB2312" w:eastAsia="仿宋_GB2312" w:cs="仿宋_GB2312"/>
          <w:color w:val="auto"/>
          <w:sz w:val="32"/>
          <w:szCs w:val="32"/>
          <w:lang w:val="en-US" w:eastAsia="zh-CN"/>
        </w:rPr>
        <w:t>30万元</w:t>
      </w:r>
    </w:p>
    <w:p>
      <w:pPr>
        <w:ind w:firstLine="640" w:firstLineChars="200"/>
        <w:rPr>
          <w:color w:val="auto"/>
          <w:sz w:val="32"/>
          <w:szCs w:val="32"/>
        </w:rPr>
      </w:pPr>
      <w:r>
        <w:rPr>
          <w:rFonts w:hint="eastAsia" w:ascii="仿宋_GB2312" w:hAnsi="仿宋_GB2312" w:eastAsia="仿宋_GB2312" w:cs="仿宋_GB2312"/>
          <w:color w:val="auto"/>
          <w:sz w:val="32"/>
          <w:szCs w:val="32"/>
        </w:rPr>
        <w:t>4、采购最高限价：</w:t>
      </w:r>
      <w:r>
        <w:rPr>
          <w:rFonts w:hint="eastAsia" w:ascii="仿宋_GB2312" w:hAnsi="仿宋_GB2312" w:eastAsia="仿宋_GB2312" w:cs="仿宋_GB2312"/>
          <w:color w:val="auto"/>
          <w:sz w:val="32"/>
          <w:szCs w:val="32"/>
          <w:lang w:val="en-US" w:eastAsia="zh-CN"/>
        </w:rPr>
        <w:t>30万元</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5、交货地点：福州市晋安区福马路420号肿瘤医院院内。</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6、本项目不接受联合体投标，不允许分包。</w:t>
      </w:r>
    </w:p>
    <w:p>
      <w:pPr>
        <w:adjustRightInd w:val="0"/>
        <w:snapToGrid w:val="0"/>
        <w:spacing w:afterLines="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90000" w:fill="FFFFFF"/>
        </w:rPr>
        <w:t>7、采购需求：（包括但不限于标的名称、数量、简要技术需求或服务要求、交货期及控制价等）</w:t>
      </w:r>
    </w:p>
    <w:p>
      <w:pPr>
        <w:pStyle w:val="4"/>
        <w:adjustRightInd w:val="0"/>
        <w:snapToGrid w:val="0"/>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采购一览表</w:t>
      </w:r>
    </w:p>
    <w:tbl>
      <w:tblPr>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108"/>
        <w:gridCol w:w="990"/>
        <w:gridCol w:w="3174"/>
        <w:gridCol w:w="1985"/>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84" w:hRule="atLeast"/>
          <w:jc w:val="center"/>
        </w:trPr>
        <w:tc>
          <w:tcPr>
            <w:tcW w:w="2108" w:type="dxa"/>
            <w:shd w:val="clear" w:color="FFFFFF" w:fill="auto"/>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标的名称</w:t>
            </w:r>
          </w:p>
        </w:tc>
        <w:tc>
          <w:tcPr>
            <w:tcW w:w="990" w:type="dxa"/>
            <w:shd w:val="clear" w:color="FFFFFF" w:fill="auto"/>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数量</w:t>
            </w:r>
          </w:p>
        </w:tc>
        <w:tc>
          <w:tcPr>
            <w:tcW w:w="3174" w:type="dxa"/>
            <w:shd w:val="clear" w:color="FFFFFF" w:fill="auto"/>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主要技术规格</w:t>
            </w:r>
          </w:p>
        </w:tc>
        <w:tc>
          <w:tcPr>
            <w:tcW w:w="1985" w:type="dxa"/>
            <w:shd w:val="clear" w:color="FFFFFF" w:fill="auto"/>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交货期</w:t>
            </w:r>
          </w:p>
        </w:tc>
        <w:tc>
          <w:tcPr>
            <w:tcW w:w="1394" w:type="dxa"/>
            <w:shd w:val="clear" w:color="FFFFFF" w:fill="auto"/>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标的限价（元）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2108" w:type="dxa"/>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省际50</w:t>
            </w:r>
            <w:r>
              <w:rPr>
                <w:rFonts w:ascii="仿宋_GB2312" w:hAnsi="仿宋_GB2312" w:eastAsia="仿宋_GB2312" w:cs="仿宋_GB2312"/>
                <w:color w:val="auto"/>
                <w:szCs w:val="21"/>
              </w:rPr>
              <w:t>M</w:t>
            </w:r>
            <w:r>
              <w:rPr>
                <w:rFonts w:hint="eastAsia" w:ascii="仿宋_GB2312" w:hAnsi="仿宋_GB2312" w:eastAsia="仿宋_GB2312" w:cs="仿宋_GB2312"/>
                <w:color w:val="auto"/>
                <w:szCs w:val="21"/>
              </w:rPr>
              <w:t>OTN</w:t>
            </w:r>
            <w:bookmarkStart w:id="5" w:name="_GoBack"/>
            <w:bookmarkEnd w:id="5"/>
            <w:r>
              <w:rPr>
                <w:rFonts w:hint="eastAsia" w:ascii="仿宋_GB2312" w:hAnsi="仿宋_GB2312" w:eastAsia="仿宋_GB2312" w:cs="仿宋_GB2312"/>
                <w:color w:val="auto"/>
                <w:szCs w:val="21"/>
              </w:rPr>
              <w:t>专线（福州-上海）1条</w:t>
            </w:r>
          </w:p>
        </w:tc>
        <w:tc>
          <w:tcPr>
            <w:tcW w:w="990" w:type="dxa"/>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12个月</w:t>
            </w:r>
          </w:p>
        </w:tc>
        <w:tc>
          <w:tcPr>
            <w:tcW w:w="3174" w:type="dxa"/>
            <w:vAlign w:val="center"/>
          </w:tcPr>
          <w:p>
            <w:pPr>
              <w:pStyle w:val="10"/>
              <w:spacing w:before="0" w:beforeAutospacing="0" w:after="0" w:afterAutospacing="0" w:line="44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kern w:val="2"/>
                <w:sz w:val="21"/>
                <w:szCs w:val="21"/>
                <w:lang w:val="en-US" w:eastAsia="zh-CN" w:bidi="ar-SA"/>
              </w:rPr>
              <w:t>详见附件或招标内容及要求</w:t>
            </w:r>
          </w:p>
        </w:tc>
        <w:tc>
          <w:tcPr>
            <w:tcW w:w="1985" w:type="dxa"/>
            <w:vAlign w:val="center"/>
          </w:tcPr>
          <w:p>
            <w:pPr>
              <w:tabs>
                <w:tab w:val="left" w:pos="360"/>
              </w:tabs>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合同签订后20个工作日内</w:t>
            </w:r>
          </w:p>
        </w:tc>
        <w:tc>
          <w:tcPr>
            <w:tcW w:w="1394" w:type="dxa"/>
            <w:vAlign w:val="center"/>
          </w:tcPr>
          <w:p>
            <w:pPr>
              <w:adjustRightInd w:val="0"/>
              <w:snapToGrid w:val="0"/>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33" w:hRule="atLeast"/>
          <w:jc w:val="center"/>
        </w:trPr>
        <w:tc>
          <w:tcPr>
            <w:tcW w:w="9651" w:type="dxa"/>
            <w:gridSpan w:val="5"/>
            <w:vAlign w:val="center"/>
          </w:tcPr>
          <w:p>
            <w:pPr>
              <w:tabs>
                <w:tab w:val="left" w:pos="263"/>
              </w:tabs>
              <w:adjustRightInd w:val="0"/>
              <w:snapToGrid w:val="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ab/>
            </w:r>
            <w:r>
              <w:rPr>
                <w:rFonts w:hint="eastAsia" w:ascii="仿宋_GB2312" w:hAnsi="仿宋_GB2312" w:eastAsia="仿宋_GB2312" w:cs="仿宋_GB2312"/>
                <w:color w:val="auto"/>
                <w:szCs w:val="21"/>
              </w:rPr>
              <w:t>备注说明：</w:t>
            </w:r>
          </w:p>
        </w:tc>
      </w:tr>
    </w:tbl>
    <w:p>
      <w:pPr>
        <w:numPr>
          <w:ilvl w:val="0"/>
          <w:numId w:val="1"/>
        </w:num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申请人的资格要求及审查办法</w:t>
      </w:r>
    </w:p>
    <w:p>
      <w:pPr>
        <w:adjustRightInd w:val="0"/>
        <w:snapToGrid w:val="0"/>
        <w:spacing w:line="590" w:lineRule="exact"/>
        <w:ind w:firstLine="640" w:firstLineChars="200"/>
        <w:rPr>
          <w:rFonts w:ascii="仿宋_GB2312" w:hAnsi="仿宋_GB2312" w:eastAsia="仿宋_GB2312" w:cs="仿宋_GB2312"/>
          <w:color w:val="auto"/>
          <w:sz w:val="32"/>
          <w:szCs w:val="32"/>
          <w:shd w:val="clear" w:color="090000" w:fill="FFFFFF"/>
        </w:rPr>
      </w:pPr>
      <w:r>
        <w:rPr>
          <w:rFonts w:hint="eastAsia" w:ascii="仿宋_GB2312" w:hAnsi="仿宋_GB2312" w:eastAsia="仿宋_GB2312" w:cs="仿宋_GB2312"/>
          <w:color w:val="auto"/>
          <w:sz w:val="32"/>
          <w:szCs w:val="32"/>
          <w:shd w:val="clear" w:color="090000" w:fill="FFFFFF"/>
        </w:rPr>
        <w:t>1、满足《中华人民共和国政府采购法》第二十二条规定。</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auto"/>
          <w:sz w:val="32"/>
          <w:szCs w:val="32"/>
          <w:shd w:val="clear" w:color="090000" w:fill="FFFFFF"/>
        </w:rPr>
      </w:pPr>
      <w:r>
        <w:rPr>
          <w:rFonts w:hint="eastAsia" w:ascii="仿宋_GB2312" w:hAnsi="仿宋_GB2312" w:eastAsia="仿宋_GB2312" w:cs="仿宋_GB2312"/>
          <w:color w:val="auto"/>
          <w:sz w:val="32"/>
          <w:szCs w:val="32"/>
          <w:shd w:val="clear" w:color="090000" w:fill="FFFFFF"/>
        </w:rPr>
        <w:t>2、落实政府采购政策需满足的资格要求。</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auto"/>
          <w:sz w:val="32"/>
          <w:szCs w:val="32"/>
          <w:shd w:val="clear" w:color="090000" w:fill="FFFFFF"/>
        </w:rPr>
      </w:pPr>
      <w:r>
        <w:rPr>
          <w:rFonts w:hint="eastAsia" w:ascii="仿宋_GB2312" w:hAnsi="仿宋_GB2312" w:eastAsia="仿宋_GB2312" w:cs="仿宋_GB2312"/>
          <w:sz w:val="32"/>
          <w:szCs w:val="32"/>
          <w:shd w:val="clear" w:color="090000" w:fill="FFFFFF"/>
        </w:rPr>
        <w:t>3、本采购包</w:t>
      </w:r>
      <w:r>
        <w:rPr>
          <w:rFonts w:hint="eastAsia" w:ascii="仿宋_GB2312" w:hAnsi="仿宋_GB2312" w:eastAsia="仿宋_GB2312" w:cs="仿宋_GB2312"/>
          <w:sz w:val="32"/>
          <w:szCs w:val="32"/>
          <w:shd w:val="clear" w:color="090000" w:fill="FFFFFF"/>
          <w:lang w:val="en-US" w:eastAsia="zh-CN"/>
        </w:rPr>
        <w:t>不</w:t>
      </w:r>
      <w:r>
        <w:rPr>
          <w:rFonts w:hint="eastAsia" w:ascii="仿宋_GB2312" w:hAnsi="仿宋_GB2312" w:eastAsia="仿宋_GB2312" w:cs="仿宋_GB2312"/>
          <w:sz w:val="32"/>
          <w:szCs w:val="32"/>
          <w:shd w:val="clear" w:color="090000" w:fill="FFFFFF"/>
        </w:rPr>
        <w:t>专门面向中小企业采购</w:t>
      </w:r>
      <w:r>
        <w:rPr>
          <w:rFonts w:hint="eastAsia" w:ascii="仿宋_GB2312" w:hAnsi="仿宋_GB2312" w:eastAsia="仿宋_GB2312" w:cs="仿宋_GB2312"/>
          <w:sz w:val="32"/>
          <w:szCs w:val="32"/>
          <w:shd w:val="clear" w:color="090000" w:fill="FFFFFF"/>
          <w:lang w:eastAsia="zh-CN"/>
        </w:rPr>
        <w:t>。</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4、委托代表人资格证明书（附单位负责人及投标人代表身份证）。</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6、参加本次活动前三年内，在经营活动中没有重大违法违规记录的承诺。</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7、资格审查采用方式：资格后审。</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090000" w:fill="FFFFFF"/>
        </w:rPr>
      </w:pPr>
      <w:r>
        <w:rPr>
          <w:rFonts w:hint="eastAsia" w:ascii="仿宋_GB2312" w:hAnsi="仿宋_GB2312" w:eastAsia="仿宋_GB2312" w:cs="仿宋_GB2312"/>
          <w:color w:val="auto"/>
          <w:sz w:val="32"/>
          <w:szCs w:val="32"/>
          <w:shd w:val="clear" w:color="090000" w:fill="FFFFFF"/>
        </w:rPr>
        <w:t>8、投标人应在（招标文件要求的截止时点）前分别通过“信用中国”网站（www.creditchina.gov.cn）、中国政府采购网（www.ccgp.gov.cn）查询并打印相应的信用记录。</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上述提供材料均须加盖公章。</w:t>
      </w:r>
    </w:p>
    <w:p>
      <w:pPr>
        <w:pStyle w:val="10"/>
        <w:widowControl/>
        <w:wordWrap w:val="0"/>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color w:val="auto"/>
          <w:sz w:val="32"/>
          <w:szCs w:val="32"/>
        </w:rPr>
      </w:pPr>
    </w:p>
    <w:p>
      <w:pPr>
        <w:pStyle w:val="2"/>
        <w:widowControl/>
        <w:numPr>
          <w:ilvl w:val="0"/>
          <w:numId w:val="1"/>
        </w:numPr>
        <w:shd w:val="clear" w:color="070000" w:fill="FFFFFF"/>
        <w:spacing w:before="150" w:beforeAutospacing="0" w:afterAutospacing="0" w:line="750" w:lineRule="atLeast"/>
        <w:ind w:firstLine="640" w:firstLineChars="200"/>
        <w:textAlignment w:val="baseline"/>
        <w:rPr>
          <w:rStyle w:val="12"/>
          <w:rFonts w:hint="default" w:ascii="黑体" w:hAnsi="黑体" w:eastAsia="黑体" w:cs="黑体"/>
          <w:b w:val="0"/>
          <w:bCs w:val="0"/>
          <w:color w:val="auto"/>
          <w:sz w:val="32"/>
          <w:szCs w:val="32"/>
          <w:shd w:val="clear" w:color="0B0000" w:fill="FFFFFF"/>
        </w:rPr>
      </w:pPr>
      <w:r>
        <w:rPr>
          <w:rStyle w:val="12"/>
          <w:rFonts w:ascii="黑体" w:hAnsi="黑体" w:eastAsia="黑体" w:cs="黑体"/>
          <w:b w:val="0"/>
          <w:bCs w:val="0"/>
          <w:color w:val="auto"/>
          <w:sz w:val="32"/>
          <w:szCs w:val="32"/>
          <w:shd w:val="clear" w:color="0B0000" w:fill="FFFFFF"/>
        </w:rPr>
        <w:t>采购项目需要落实的政府采购政策（若有）</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四、采购文件的获取   </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1、本项目不采用电子招投标。</w:t>
      </w:r>
    </w:p>
    <w:p>
      <w:pPr>
        <w:widowControl/>
        <w:tabs>
          <w:tab w:val="left" w:pos="900"/>
          <w:tab w:val="left" w:pos="1100"/>
        </w:tabs>
        <w:adjustRightInd w:val="0"/>
        <w:snapToGrid w:val="0"/>
        <w:spacing w:line="590" w:lineRule="exact"/>
        <w:ind w:firstLine="640" w:firstLineChars="200"/>
        <w:jc w:val="left"/>
        <w:rPr>
          <w:rFonts w:ascii="黑体" w:hAnsi="黑体" w:eastAsia="黑体" w:cs="黑体"/>
          <w:color w:val="auto"/>
          <w:sz w:val="32"/>
          <w:szCs w:val="32"/>
        </w:rPr>
      </w:pPr>
      <w:r>
        <w:rPr>
          <w:rFonts w:hint="eastAsia" w:ascii="仿宋_GB2312" w:hAnsi="仿宋_GB2312" w:eastAsia="仿宋_GB2312" w:cs="仿宋_GB2312"/>
          <w:color w:val="auto"/>
          <w:sz w:val="32"/>
          <w:szCs w:val="32"/>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w:t>
      </w:r>
      <w:r>
        <w:rPr>
          <w:rStyle w:val="12"/>
          <w:rFonts w:hint="eastAsia" w:ascii="黑体" w:hAnsi="黑体" w:eastAsia="黑体" w:cs="黑体"/>
          <w:b w:val="0"/>
          <w:color w:val="auto"/>
          <w:sz w:val="32"/>
          <w:szCs w:val="32"/>
          <w:shd w:val="clear" w:color="0C0000" w:fill="FFFFFF"/>
        </w:rPr>
        <w:t>提交投标文件截止时间、开标时间和地点、</w:t>
      </w:r>
      <w:r>
        <w:rPr>
          <w:rFonts w:hint="eastAsia" w:ascii="黑体" w:hAnsi="黑体" w:eastAsia="黑体" w:cs="黑体"/>
          <w:color w:val="auto"/>
          <w:sz w:val="32"/>
          <w:szCs w:val="32"/>
        </w:rPr>
        <w:t>答疑截止时间</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shd w:val="clear" w:color="0B0000" w:fill="FFFFFF"/>
        </w:rPr>
      </w:pPr>
      <w:r>
        <w:rPr>
          <w:rStyle w:val="12"/>
          <w:rFonts w:hint="eastAsia" w:ascii="仿宋_GB2312" w:hAnsi="仿宋_GB2312" w:eastAsia="仿宋_GB2312" w:cs="仿宋_GB2312"/>
          <w:b w:val="0"/>
          <w:color w:val="auto"/>
          <w:sz w:val="32"/>
          <w:szCs w:val="32"/>
          <w:shd w:val="clear" w:color="0C0000" w:fill="FFFFFF"/>
        </w:rPr>
        <w:t>1、截止时间：</w:t>
      </w:r>
      <w:r>
        <w:rPr>
          <w:rFonts w:hint="eastAsia" w:ascii="仿宋_GB2312" w:hAnsi="仿宋_GB2312" w:eastAsia="仿宋_GB2312" w:cs="仿宋_GB2312"/>
          <w:color w:val="auto"/>
          <w:sz w:val="32"/>
          <w:szCs w:val="32"/>
        </w:rPr>
        <w:t>2023年 9月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17:30</w:t>
      </w:r>
      <w:r>
        <w:rPr>
          <w:rFonts w:hint="eastAsia" w:ascii="仿宋_GB2312" w:hAnsi="仿宋_GB2312" w:eastAsia="仿宋_GB2312" w:cs="仿宋_GB2312"/>
          <w:color w:val="auto"/>
          <w:sz w:val="32"/>
          <w:szCs w:val="32"/>
        </w:rPr>
        <w:t>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Style w:val="12"/>
          <w:rFonts w:hint="eastAsia" w:ascii="仿宋_GB2312" w:hAnsi="仿宋_GB2312" w:eastAsia="仿宋_GB2312" w:cs="仿宋_GB2312"/>
          <w:b w:val="0"/>
          <w:color w:val="auto"/>
          <w:sz w:val="32"/>
          <w:szCs w:val="32"/>
          <w:shd w:val="clear" w:color="0C0000" w:fill="FFFFFF"/>
        </w:rPr>
        <w:t>2、开标时间：</w:t>
      </w:r>
      <w:r>
        <w:rPr>
          <w:rFonts w:hint="eastAsia" w:ascii="仿宋_GB2312" w:hAnsi="仿宋_GB2312" w:eastAsia="仿宋_GB2312" w:cs="仿宋_GB2312"/>
          <w:color w:val="auto"/>
          <w:sz w:val="32"/>
          <w:szCs w:val="32"/>
        </w:rPr>
        <w:t>2023年 9月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rPr>
        <w:t>点</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90000" w:fill="FFFFFF"/>
        </w:rPr>
        <w:t>3、地点：</w:t>
      </w:r>
      <w:r>
        <w:rPr>
          <w:rFonts w:hint="eastAsia" w:ascii="仿宋_GB2312" w:hAnsi="仿宋_GB2312" w:eastAsia="仿宋_GB2312" w:cs="仿宋_GB2312"/>
          <w:color w:val="auto"/>
          <w:sz w:val="32"/>
          <w:szCs w:val="32"/>
        </w:rPr>
        <w:t>福建省肿瘤医院</w:t>
      </w:r>
      <w:r>
        <w:rPr>
          <w:rFonts w:hint="eastAsia" w:ascii="仿宋_GB2312" w:hAnsi="仿宋_GB2312" w:eastAsia="仿宋_GB2312" w:cs="仿宋_GB2312"/>
          <w:color w:val="auto"/>
          <w:sz w:val="32"/>
          <w:szCs w:val="32"/>
          <w:lang w:val="en-US" w:eastAsia="zh-CN"/>
        </w:rPr>
        <w:t>网络技术中心</w:t>
      </w:r>
      <w:r>
        <w:rPr>
          <w:rFonts w:hint="eastAsia" w:ascii="仿宋_GB2312" w:hAnsi="仿宋_GB2312" w:eastAsia="仿宋_GB2312" w:cs="仿宋_GB2312"/>
          <w:color w:val="auto"/>
          <w:sz w:val="32"/>
          <w:szCs w:val="32"/>
        </w:rPr>
        <w:t>会议室</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4、投标文件正本</w:t>
      </w:r>
      <w:r>
        <w:rPr>
          <w:rFonts w:hint="eastAsia" w:ascii="仿宋_GB2312" w:hAnsi="仿宋_GB2312" w:eastAsia="仿宋_GB2312" w:cs="仿宋_GB2312"/>
          <w:bCs/>
          <w:color w:val="auto"/>
          <w:sz w:val="32"/>
          <w:szCs w:val="32"/>
          <w:u w:val="single"/>
        </w:rPr>
        <w:t>壹</w:t>
      </w:r>
      <w:r>
        <w:rPr>
          <w:rFonts w:hint="eastAsia" w:ascii="仿宋_GB2312" w:hAnsi="仿宋_GB2312" w:eastAsia="仿宋_GB2312" w:cs="仿宋_GB2312"/>
          <w:color w:val="auto"/>
          <w:sz w:val="32"/>
          <w:szCs w:val="32"/>
        </w:rPr>
        <w:t>份,副本</w:t>
      </w:r>
      <w:r>
        <w:rPr>
          <w:rFonts w:hint="eastAsia" w:ascii="仿宋_GB2312" w:hAnsi="仿宋_GB2312" w:eastAsia="仿宋_GB2312" w:cs="仿宋_GB2312"/>
          <w:bCs/>
          <w:color w:val="auto"/>
          <w:sz w:val="32"/>
          <w:szCs w:val="32"/>
          <w:u w:val="single"/>
        </w:rPr>
        <w:t>壹</w:t>
      </w:r>
      <w:r>
        <w:rPr>
          <w:rFonts w:hint="eastAsia" w:ascii="仿宋_GB2312" w:hAnsi="仿宋_GB2312" w:eastAsia="仿宋_GB2312" w:cs="仿宋_GB2312"/>
          <w:color w:val="auto"/>
          <w:sz w:val="32"/>
          <w:szCs w:val="32"/>
        </w:rPr>
        <w:t>份胶装并密封加盖投标人公章。投标文件未胶装将视为无效。</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5、未参加报名的潜在投标人，其投标文件将被拒绝。</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6、投标人若要求澄清招标文件，应在获取招标文件截止时间后的2个工作日内提出，招标人将随时解答。</w:t>
      </w:r>
    </w:p>
    <w:p>
      <w:pPr>
        <w:pStyle w:val="10"/>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7、若有涉及招标文件内容更正，请各潜在投标人密切关注福建省肿瘤医院官网通知，以最新公告为准。</w:t>
      </w:r>
    </w:p>
    <w:p>
      <w:pPr>
        <w:adjustRightInd w:val="0"/>
        <w:snapToGrid w:val="0"/>
        <w:spacing w:before="150" w:line="590" w:lineRule="exact"/>
        <w:ind w:firstLine="640" w:firstLineChars="200"/>
        <w:rPr>
          <w:rFonts w:ascii="黑体" w:hAnsi="黑体" w:eastAsia="黑体" w:cs="黑体"/>
          <w:b/>
          <w:bCs/>
          <w:color w:val="auto"/>
          <w:sz w:val="32"/>
          <w:szCs w:val="32"/>
        </w:rPr>
      </w:pPr>
      <w:r>
        <w:rPr>
          <w:rFonts w:hint="eastAsia" w:ascii="黑体" w:hAnsi="黑体" w:eastAsia="黑体" w:cs="黑体"/>
          <w:color w:val="auto"/>
          <w:sz w:val="32"/>
          <w:szCs w:val="32"/>
        </w:rPr>
        <w:t>六、公告期限</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w:t>
      </w:r>
    </w:p>
    <w:p>
      <w:pPr>
        <w:numPr>
          <w:ilvl w:val="0"/>
          <w:numId w:val="2"/>
        </w:num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其他补充事宜</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八、评标方法：</w:t>
      </w:r>
      <w:r>
        <w:rPr>
          <w:rFonts w:hint="eastAsia" w:ascii="仿宋_GB2312" w:hAnsi="仿宋_GB2312" w:eastAsia="仿宋_GB2312" w:cs="仿宋_GB2312"/>
          <w:color w:val="auto"/>
          <w:sz w:val="32"/>
          <w:szCs w:val="32"/>
        </w:rPr>
        <w:t>最低价中标等。</w:t>
      </w:r>
      <w:r>
        <w:rPr>
          <w:rFonts w:hint="eastAsia" w:ascii="仿宋_GB2312" w:hAnsi="仿宋_GB2312" w:eastAsia="仿宋_GB2312" w:cs="仿宋_GB2312"/>
          <w:bCs/>
          <w:color w:val="auto"/>
          <w:sz w:val="32"/>
          <w:szCs w:val="32"/>
        </w:rPr>
        <w:t>（符合谈判文件各项要求的且报价最低的投标人）</w:t>
      </w:r>
    </w:p>
    <w:p>
      <w:p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九、合同签订及主要条款要求（若有附件，可在附件中体现）</w:t>
      </w:r>
    </w:p>
    <w:p>
      <w:pPr>
        <w:adjustRightInd w:val="0"/>
        <w:snapToGrid w:val="0"/>
        <w:spacing w:before="150" w:line="59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1、合同签订：中标人在接到中标通知后3天内，应派代表与招标人联系，商讨签订合同事宜。</w:t>
      </w:r>
    </w:p>
    <w:p>
      <w:pPr>
        <w:adjustRightInd w:val="0"/>
        <w:snapToGrid w:val="0"/>
        <w:spacing w:before="150" w:line="59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2、如付款方式与条件等</w:t>
      </w:r>
    </w:p>
    <w:p>
      <w:pPr>
        <w:adjustRightInd w:val="0"/>
        <w:snapToGrid w:val="0"/>
        <w:spacing w:before="150" w:line="590" w:lineRule="exact"/>
        <w:ind w:firstLine="480"/>
        <w:rPr>
          <w:rFonts w:ascii="黑体" w:hAnsi="黑体" w:eastAsia="黑体" w:cs="黑体"/>
          <w:color w:val="auto"/>
          <w:sz w:val="32"/>
          <w:szCs w:val="32"/>
        </w:rPr>
      </w:pPr>
      <w:r>
        <w:rPr>
          <w:rFonts w:hint="eastAsia" w:ascii="黑体" w:hAnsi="黑体" w:eastAsia="黑体" w:cs="黑体"/>
          <w:color w:val="auto"/>
          <w:sz w:val="32"/>
          <w:szCs w:val="32"/>
        </w:rPr>
        <w:t>十、联系方式</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1、凡有意参加投标者，请于2023年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日至 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日(节假日除外)8：00-12：00或14：00-17：</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0，携带加盖公章的营业执照复印件、介绍信前往福建省肿瘤医院</w:t>
      </w:r>
      <w:r>
        <w:rPr>
          <w:rFonts w:hint="eastAsia" w:ascii="仿宋_GB2312" w:hAnsi="仿宋_GB2312" w:eastAsia="仿宋_GB2312" w:cs="仿宋_GB2312"/>
          <w:color w:val="auto"/>
          <w:sz w:val="32"/>
          <w:szCs w:val="32"/>
          <w:lang w:val="en-US" w:eastAsia="zh-CN"/>
        </w:rPr>
        <w:t>网络技术中心</w:t>
      </w:r>
      <w:r>
        <w:rPr>
          <w:rFonts w:hint="eastAsia" w:ascii="仿宋_GB2312" w:hAnsi="仿宋_GB2312" w:eastAsia="仿宋_GB2312" w:cs="仿宋_GB2312"/>
          <w:color w:val="auto"/>
          <w:sz w:val="32"/>
          <w:szCs w:val="32"/>
        </w:rPr>
        <w:t>报名。</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项目联系人：金工         联系电话： 0591-83660063-8822</w:t>
      </w:r>
    </w:p>
    <w:p>
      <w:pPr>
        <w:numPr>
          <w:ilvl w:val="0"/>
          <w:numId w:val="3"/>
        </w:numPr>
        <w:adjustRightInd w:val="0"/>
        <w:snapToGrid w:val="0"/>
        <w:spacing w:before="150"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监督电话 </w:t>
      </w:r>
    </w:p>
    <w:p>
      <w:pPr>
        <w:adjustRightInd w:val="0"/>
        <w:snapToGrid w:val="0"/>
        <w:spacing w:before="15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采购报名、采购调研等采购过程中有任何异议，可联系我院监督科室。电话：83660063-8407；83660063-8467。</w:t>
      </w:r>
    </w:p>
    <w:p>
      <w:pPr>
        <w:adjustRightInd w:val="0"/>
        <w:snapToGrid w:val="0"/>
        <w:spacing w:before="150" w:line="59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附件（招标内容及要求）</w:t>
      </w:r>
    </w:p>
    <w:p>
      <w:pPr>
        <w:adjustRightInd w:val="0"/>
        <w:snapToGrid w:val="0"/>
        <w:spacing w:before="150" w:line="59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备注：附件或招标内容及要求填写技术规格需求、评分标准验收标准、安装及调试、培训要求、质量保证、售后服务要求、技术资料要求、备品备件、交货期、付款方式及主要合同条款）。</w:t>
      </w:r>
    </w:p>
    <w:p>
      <w:pPr>
        <w:pStyle w:val="10"/>
        <w:spacing w:before="0" w:beforeAutospacing="0" w:after="0" w:afterAutospacing="0" w:line="440" w:lineRule="exact"/>
        <w:rPr>
          <w:rStyle w:val="12"/>
          <w:rFonts w:ascii="宋体" w:hAnsi="宋体" w:cs="宋体"/>
          <w:bCs/>
          <w:color w:val="auto"/>
          <w:highlight w:val="none"/>
        </w:rPr>
      </w:pPr>
      <w:bookmarkStart w:id="1" w:name="_Toc11630"/>
      <w:r>
        <w:rPr>
          <w:rStyle w:val="12"/>
          <w:rFonts w:hint="eastAsia" w:ascii="宋体" w:hAnsi="宋体" w:cs="宋体"/>
          <w:color w:val="auto"/>
          <w:highlight w:val="none"/>
        </w:rPr>
        <w:t>（一）</w:t>
      </w:r>
      <w:r>
        <w:rPr>
          <w:rStyle w:val="12"/>
          <w:rFonts w:hint="eastAsia"/>
          <w:bCs/>
          <w:color w:val="auto"/>
          <w:highlight w:val="none"/>
        </w:rPr>
        <w:t>技术参数要求</w:t>
      </w:r>
      <w:bookmarkEnd w:id="1"/>
    </w:p>
    <w:p>
      <w:pPr>
        <w:pStyle w:val="10"/>
        <w:spacing w:before="0" w:beforeAutospacing="0" w:after="0" w:afterAutospacing="0" w:line="440" w:lineRule="exact"/>
        <w:ind w:firstLine="480" w:firstLineChars="200"/>
        <w:rPr>
          <w:rFonts w:ascii="宋体" w:hAnsi="宋体" w:cs="宋体"/>
          <w:color w:val="auto"/>
          <w:highlight w:val="none"/>
        </w:rPr>
      </w:pPr>
      <w:bookmarkStart w:id="2" w:name="_Toc9877"/>
      <w:r>
        <w:rPr>
          <w:rFonts w:hint="eastAsia" w:ascii="宋体" w:hAnsi="宋体" w:cs="宋体"/>
          <w:color w:val="auto"/>
          <w:highlight w:val="none"/>
        </w:rPr>
        <w:t>1、链路应当保持通畅并符合相关技术标准，满足采购人所有业务的正常使用；</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2、链路应满足传输数据的可靠性、稳定性和安全性。</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3、光缆应按国家规范施工与埋设。</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4、数据传送时延≤30ms。</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5、数据传输业务可用率≥99.9%。</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6、</w:t>
      </w:r>
      <w:bookmarkStart w:id="3" w:name="_Hlk98946476"/>
      <w:r>
        <w:rPr>
          <w:rFonts w:hint="eastAsia" w:ascii="微软雅黑" w:hAnsi="微软雅黑" w:eastAsia="微软雅黑" w:cs="Helvetica"/>
          <w:color w:val="auto"/>
          <w:sz w:val="20"/>
          <w:szCs w:val="20"/>
          <w:highlight w:val="none"/>
        </w:rPr>
        <w:t>端到端数据传输中丢帧率</w:t>
      </w:r>
      <w:bookmarkEnd w:id="3"/>
      <w:r>
        <w:rPr>
          <w:rFonts w:hint="eastAsia" w:ascii="微软雅黑" w:hAnsi="微软雅黑" w:eastAsia="微软雅黑" w:cs="Helvetica"/>
          <w:color w:val="auto"/>
          <w:sz w:val="20"/>
          <w:szCs w:val="20"/>
          <w:highlight w:val="none"/>
        </w:rPr>
        <w:t>≤</w:t>
      </w:r>
      <w:bookmarkStart w:id="4" w:name="_Hlk98946491"/>
      <w:r>
        <w:rPr>
          <w:rFonts w:hint="eastAsia" w:ascii="微软雅黑" w:hAnsi="微软雅黑" w:eastAsia="微软雅黑" w:cs="Helvetica"/>
          <w:color w:val="auto"/>
          <w:sz w:val="20"/>
          <w:szCs w:val="20"/>
          <w:highlight w:val="none"/>
        </w:rPr>
        <w:t>1*10-7</w:t>
      </w:r>
      <w:bookmarkEnd w:id="4"/>
      <w:r>
        <w:rPr>
          <w:rFonts w:hint="eastAsia" w:ascii="微软雅黑" w:hAnsi="微软雅黑" w:eastAsia="微软雅黑" w:cs="Helvetica"/>
          <w:color w:val="auto"/>
          <w:sz w:val="20"/>
          <w:szCs w:val="20"/>
          <w:highlight w:val="none"/>
        </w:rPr>
        <w:t>。</w:t>
      </w:r>
    </w:p>
    <w:p>
      <w:pPr>
        <w:pStyle w:val="10"/>
        <w:spacing w:before="0" w:beforeAutospacing="0" w:after="0" w:afterAutospacing="0" w:line="440" w:lineRule="exact"/>
        <w:rPr>
          <w:rStyle w:val="12"/>
          <w:color w:val="auto"/>
          <w:highlight w:val="none"/>
        </w:rPr>
      </w:pPr>
      <w:r>
        <w:rPr>
          <w:rStyle w:val="12"/>
          <w:rFonts w:hint="eastAsia" w:ascii="宋体" w:hAnsi="宋体" w:cs="宋体"/>
          <w:color w:val="auto"/>
          <w:highlight w:val="none"/>
        </w:rPr>
        <w:t>（二）链路硬件要求</w:t>
      </w:r>
    </w:p>
    <w:p>
      <w:pPr>
        <w:pStyle w:val="10"/>
        <w:spacing w:before="0" w:beforeAutospacing="0" w:after="0" w:afterAutospacing="0" w:line="440" w:lineRule="exact"/>
        <w:ind w:firstLine="480" w:firstLineChars="200"/>
        <w:rPr>
          <w:color w:val="auto"/>
          <w:highlight w:val="none"/>
        </w:rPr>
      </w:pPr>
      <w:r>
        <w:rPr>
          <w:rFonts w:hint="eastAsia" w:ascii="宋体" w:hAnsi="宋体" w:cs="宋体"/>
          <w:color w:val="auto"/>
          <w:highlight w:val="none"/>
        </w:rPr>
        <w:t>1、链路接入点为采购人的路由器或交换机端口，</w:t>
      </w:r>
      <w:r>
        <w:rPr>
          <w:rFonts w:hint="eastAsia" w:ascii="宋体" w:hAnsi="宋体" w:cs="宋体"/>
          <w:color w:val="auto"/>
          <w:highlight w:val="none"/>
          <w:lang w:eastAsia="zh-CN"/>
        </w:rPr>
        <w:t>中标人</w:t>
      </w:r>
      <w:r>
        <w:rPr>
          <w:rFonts w:hint="eastAsia" w:ascii="宋体" w:hAnsi="宋体" w:cs="宋体"/>
          <w:color w:val="auto"/>
          <w:highlight w:val="none"/>
        </w:rPr>
        <w:t>负责到采购人路由器或交换机前的所有设备、线路的提供、安装、接入和调试工作，以及其他方面的协调工作；</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2、保障线路的健壮性；</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3、线路纳管，出现故障情况下主动发现并主动通知用户。</w:t>
      </w:r>
    </w:p>
    <w:p>
      <w:pPr>
        <w:pStyle w:val="10"/>
        <w:spacing w:before="0" w:beforeAutospacing="0" w:after="0" w:afterAutospacing="0" w:line="440" w:lineRule="exact"/>
        <w:rPr>
          <w:rFonts w:ascii="宋体" w:hAnsi="宋体" w:cs="宋体"/>
          <w:color w:val="auto"/>
          <w:highlight w:val="none"/>
        </w:rPr>
      </w:pPr>
      <w:r>
        <w:rPr>
          <w:rStyle w:val="12"/>
          <w:rFonts w:hint="eastAsia" w:ascii="宋体" w:hAnsi="宋体" w:cs="宋体"/>
          <w:color w:val="auto"/>
          <w:highlight w:val="none"/>
        </w:rPr>
        <w:t>（三）维护服务要求</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1、链路必须制定测试方案并出示合格的测试报告后方可要求采购人进行验收；</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2、链路交付使用后中标人必须有本地专业稳定的技术服务团队，提供7×24小时的技术支持保障服务；</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3、中标人需对提供的链路定期进行链路巡检，做好防范措施；</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4、中标人需提供统一售后及服务热线；</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5、必须有统一的报障处理平台，有大客户服务中心，及时周到地处理采购人反映的网络问题；</w:t>
      </w:r>
    </w:p>
    <w:p>
      <w:pPr>
        <w:pStyle w:val="10"/>
        <w:spacing w:before="0" w:beforeAutospacing="0" w:after="0" w:afterAutospacing="0" w:line="440" w:lineRule="exact"/>
        <w:ind w:firstLine="480" w:firstLineChars="200"/>
        <w:rPr>
          <w:rFonts w:hint="eastAsia" w:ascii="宋体" w:hAnsi="宋体" w:cs="宋体"/>
          <w:color w:val="auto"/>
          <w:highlight w:val="none"/>
        </w:rPr>
      </w:pPr>
      <w:r>
        <w:rPr>
          <w:rFonts w:ascii="宋体" w:hAnsi="宋体" w:cs="宋体"/>
          <w:color w:val="auto"/>
          <w:highlight w:val="none"/>
        </w:rPr>
        <w:t>6、任何时候未经告知采购人，并进行协商的情况下不允许擅自中断链路服务</w:t>
      </w:r>
    </w:p>
    <w:p>
      <w:pPr>
        <w:pStyle w:val="10"/>
        <w:spacing w:before="0" w:beforeAutospacing="0" w:after="0" w:afterAutospacing="0" w:line="440" w:lineRule="exact"/>
        <w:rPr>
          <w:rFonts w:ascii="宋体" w:hAnsi="宋体" w:cs="宋体"/>
          <w:color w:val="auto"/>
          <w:highlight w:val="none"/>
        </w:rPr>
      </w:pPr>
      <w:r>
        <w:rPr>
          <w:rStyle w:val="12"/>
          <w:rFonts w:hint="eastAsia" w:ascii="宋体" w:hAnsi="宋体" w:cs="宋体"/>
          <w:color w:val="auto"/>
          <w:highlight w:val="none"/>
        </w:rPr>
        <w:t>（四）故障处理要求</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1、故障响应：能够主动第一时间发现并告知采购人网络故障；积极响应采购人上报的网络故障。</w:t>
      </w:r>
    </w:p>
    <w:p>
      <w:pPr>
        <w:pStyle w:val="10"/>
        <w:spacing w:before="0" w:beforeAutospacing="0" w:after="0" w:afterAutospacing="0" w:line="440" w:lineRule="exact"/>
        <w:rPr>
          <w:rFonts w:ascii="宋体" w:hAnsi="宋体" w:cs="宋体"/>
          <w:color w:val="auto"/>
          <w:highlight w:val="none"/>
        </w:rPr>
      </w:pPr>
      <w:r>
        <w:rPr>
          <w:rFonts w:hint="eastAsia" w:ascii="宋体" w:hAnsi="宋体" w:cs="宋体"/>
          <w:color w:val="auto"/>
          <w:highlight w:val="none"/>
        </w:rPr>
        <w:t>  2、响应时间：对故障的响应时间不超过10分钟。</w:t>
      </w:r>
    </w:p>
    <w:p>
      <w:pPr>
        <w:pStyle w:val="10"/>
        <w:spacing w:before="0" w:beforeAutospacing="0" w:after="0" w:afterAutospacing="0" w:line="440" w:lineRule="exact"/>
        <w:ind w:firstLine="480" w:firstLineChars="200"/>
        <w:rPr>
          <w:rFonts w:ascii="宋体" w:hAnsi="宋体" w:cs="宋体"/>
          <w:color w:val="auto"/>
          <w:highlight w:val="none"/>
        </w:rPr>
      </w:pPr>
      <w:r>
        <w:rPr>
          <w:rFonts w:ascii="宋体" w:hAnsi="宋体" w:cs="宋体"/>
          <w:color w:val="auto"/>
          <w:highlight w:val="none"/>
        </w:rPr>
        <w:t>3、平均故障修复时间：业务中断平均业务恢复时间不超过2小时；时延类故障平均修复时间不超过8小时；误码/丢帧类故障的平均故障修复时间不超过10小时。</w:t>
      </w:r>
    </w:p>
    <w:p>
      <w:pPr>
        <w:pStyle w:val="10"/>
        <w:spacing w:before="0" w:beforeAutospacing="0" w:after="0" w:afterAutospacing="0" w:line="440" w:lineRule="exact"/>
        <w:rPr>
          <w:rFonts w:ascii="宋体" w:hAnsi="宋体" w:cs="宋体"/>
          <w:color w:val="auto"/>
          <w:highlight w:val="none"/>
        </w:rPr>
      </w:pPr>
      <w:r>
        <w:rPr>
          <w:rStyle w:val="12"/>
          <w:rFonts w:hint="eastAsia" w:ascii="宋体" w:hAnsi="宋体" w:cs="宋体"/>
          <w:color w:val="auto"/>
          <w:highlight w:val="none"/>
        </w:rPr>
        <w:t>（五）服务质量要求</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1、业务联系：安排专门的客户经理负责联系。</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2、投诉渠道：提供良好的服务体系和完善的投诉渠道。</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3、链路巡检：每季度进行一次以及采购人运行的</w:t>
      </w:r>
      <w:r>
        <w:rPr>
          <w:rFonts w:hint="eastAsia" w:ascii="宋体" w:hAnsi="宋体" w:cs="宋体"/>
          <w:color w:val="auto"/>
          <w:highlight w:val="none"/>
          <w:lang w:eastAsia="zh-CN"/>
        </w:rPr>
        <w:t>中标人</w:t>
      </w:r>
      <w:r>
        <w:rPr>
          <w:rFonts w:hint="eastAsia" w:ascii="宋体" w:hAnsi="宋体" w:cs="宋体"/>
          <w:color w:val="auto"/>
          <w:highlight w:val="none"/>
        </w:rPr>
        <w:t>的设备的巡检。</w:t>
      </w:r>
    </w:p>
    <w:p>
      <w:pPr>
        <w:pStyle w:val="10"/>
        <w:spacing w:before="0" w:beforeAutospacing="0" w:after="0" w:afterAutospacing="0" w:line="440" w:lineRule="exact"/>
        <w:rPr>
          <w:rStyle w:val="12"/>
          <w:color w:val="auto"/>
          <w:highlight w:val="none"/>
        </w:rPr>
      </w:pPr>
      <w:r>
        <w:rPr>
          <w:rStyle w:val="12"/>
          <w:rFonts w:hint="eastAsia" w:ascii="宋体" w:hAnsi="宋体" w:cs="宋体"/>
          <w:color w:val="auto"/>
          <w:highlight w:val="none"/>
        </w:rPr>
        <w:t>（六）报价要求</w:t>
      </w:r>
    </w:p>
    <w:p>
      <w:pPr>
        <w:pStyle w:val="10"/>
        <w:spacing w:before="0" w:beforeAutospacing="0" w:after="0" w:afterAutospacing="0" w:line="440" w:lineRule="exact"/>
        <w:ind w:firstLine="480" w:firstLineChars="200"/>
        <w:rPr>
          <w:color w:val="auto"/>
          <w:highlight w:val="none"/>
        </w:rPr>
      </w:pPr>
      <w:r>
        <w:rPr>
          <w:rFonts w:hint="eastAsia" w:ascii="宋体" w:hAnsi="宋体" w:cs="宋体"/>
          <w:color w:val="auto"/>
          <w:highlight w:val="none"/>
        </w:rPr>
        <w:t>1、各报价供应商应根据竞争性磋商文件的技术要求条款，在响应文件中详细说明所提供货物的技术规格和参数；</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2、上述规格及要求中所发生的一切费用均包含在磋商响应报价中；各报价供应商无论中标与否，所有围绕磋商响应的费用均由报价供应商单位自行承担；</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3、报价供应商必须按货物一览表进行磋商响应报价。以综合单价（含人工费、材料费、企业管理费、措施项目费、利润、税金、规费、政策性文件规定及合同包含的所有风险、责任等所有费用）为结算依据。</w:t>
      </w:r>
      <w:r>
        <w:rPr>
          <w:rFonts w:hint="eastAsia" w:ascii="宋体" w:hAnsi="宋体" w:cs="宋体"/>
          <w:color w:val="auto"/>
          <w:highlight w:val="none"/>
        </w:rPr>
        <w:br/>
      </w:r>
      <w:r>
        <w:rPr>
          <w:rStyle w:val="12"/>
          <w:rFonts w:hint="eastAsia" w:ascii="宋体" w:hAnsi="宋体" w:cs="宋体"/>
          <w:color w:val="auto"/>
          <w:highlight w:val="none"/>
        </w:rPr>
        <w:t>（七）知识产权</w:t>
      </w:r>
    </w:p>
    <w:p>
      <w:pPr>
        <w:pStyle w:val="10"/>
        <w:spacing w:before="0" w:beforeAutospacing="0" w:after="0" w:afterAutospacing="0" w:line="440" w:lineRule="exact"/>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中标人</w:t>
      </w:r>
      <w:r>
        <w:rPr>
          <w:rFonts w:hint="eastAsia" w:ascii="宋体" w:hAnsi="宋体" w:cs="宋体"/>
          <w:color w:val="auto"/>
          <w:highlight w:val="none"/>
        </w:rPr>
        <w:t>必须保证所提供的产品具有独立的知识产权，保证采购单位在使用</w:t>
      </w:r>
      <w:r>
        <w:rPr>
          <w:rFonts w:hint="eastAsia" w:ascii="宋体" w:hAnsi="宋体" w:cs="宋体"/>
          <w:color w:val="auto"/>
          <w:highlight w:val="none"/>
          <w:lang w:eastAsia="zh-CN"/>
        </w:rPr>
        <w:t>中标人</w:t>
      </w:r>
      <w:r>
        <w:rPr>
          <w:rFonts w:hint="eastAsia" w:ascii="宋体" w:hAnsi="宋体" w:cs="宋体"/>
          <w:color w:val="auto"/>
          <w:highlight w:val="none"/>
        </w:rPr>
        <w:t>所提供的产品时不受任何版权等方面的侵权困扰，如出现类似纠纷，</w:t>
      </w:r>
      <w:r>
        <w:rPr>
          <w:rFonts w:hint="eastAsia" w:ascii="宋体" w:hAnsi="宋体" w:cs="宋体"/>
          <w:color w:val="auto"/>
          <w:highlight w:val="none"/>
          <w:lang w:eastAsia="zh-CN"/>
        </w:rPr>
        <w:t>中标人</w:t>
      </w:r>
      <w:r>
        <w:rPr>
          <w:rFonts w:hint="eastAsia" w:ascii="宋体" w:hAnsi="宋体" w:cs="宋体"/>
          <w:color w:val="auto"/>
          <w:highlight w:val="none"/>
        </w:rPr>
        <w:t>应对由此产生的后果负全部责任，并赔偿采购单位由此而造成的全部损失。</w:t>
      </w:r>
    </w:p>
    <w:p>
      <w:pPr>
        <w:pStyle w:val="10"/>
        <w:spacing w:before="0" w:beforeAutospacing="0" w:after="0" w:afterAutospacing="0" w:line="440" w:lineRule="exact"/>
        <w:rPr>
          <w:rStyle w:val="12"/>
          <w:bCs/>
          <w:color w:val="auto"/>
          <w:highlight w:val="none"/>
        </w:rPr>
      </w:pPr>
      <w:r>
        <w:rPr>
          <w:rStyle w:val="12"/>
          <w:rFonts w:hint="eastAsia"/>
          <w:bCs/>
          <w:color w:val="auto"/>
          <w:highlight w:val="none"/>
        </w:rPr>
        <w:t>商务条件</w:t>
      </w:r>
      <w:bookmarkEnd w:id="2"/>
      <w:r>
        <w:rPr>
          <w:rStyle w:val="12"/>
          <w:rFonts w:hint="eastAsia"/>
          <w:bCs/>
          <w:color w:val="auto"/>
          <w:highlight w:val="none"/>
        </w:rPr>
        <w:t>（以下内容均为不允许负偏离的实质性要求）</w:t>
      </w:r>
    </w:p>
    <w:p>
      <w:pPr>
        <w:widowControl/>
        <w:spacing w:line="440" w:lineRule="exact"/>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1、交付地点：福建省肿瘤医院科研楼四楼 网络技术中心</w:t>
      </w:r>
      <w:r>
        <w:rPr>
          <w:rFonts w:hint="eastAsia" w:ascii="宋体" w:hAnsi="宋体" w:cs="宋体"/>
          <w:b/>
          <w:bCs/>
          <w:color w:val="auto"/>
          <w:kern w:val="0"/>
          <w:sz w:val="24"/>
          <w:highlight w:val="none"/>
        </w:rPr>
        <w:br/>
      </w:r>
      <w:r>
        <w:rPr>
          <w:rFonts w:hint="eastAsia" w:ascii="宋体" w:hAnsi="宋体" w:cs="宋体"/>
          <w:b/>
          <w:bCs/>
          <w:color w:val="auto"/>
          <w:kern w:val="0"/>
          <w:sz w:val="24"/>
          <w:highlight w:val="none"/>
        </w:rPr>
        <w:t>2、交付时间：合同签订后，20个工作日内交付。</w:t>
      </w:r>
      <w:r>
        <w:rPr>
          <w:rFonts w:hint="eastAsia" w:ascii="宋体" w:hAnsi="宋体" w:cs="宋体"/>
          <w:b/>
          <w:bCs/>
          <w:color w:val="auto"/>
          <w:kern w:val="0"/>
          <w:sz w:val="24"/>
          <w:highlight w:val="none"/>
        </w:rPr>
        <w:br/>
      </w:r>
      <w:r>
        <w:rPr>
          <w:rFonts w:hint="eastAsia" w:ascii="宋体" w:hAnsi="宋体" w:cs="宋体"/>
          <w:b/>
          <w:bCs/>
          <w:color w:val="auto"/>
          <w:kern w:val="0"/>
          <w:sz w:val="24"/>
          <w:highlight w:val="none"/>
        </w:rPr>
        <w:t>3、交付条件：验收合格后交付使用。</w:t>
      </w:r>
      <w:r>
        <w:rPr>
          <w:rFonts w:hint="eastAsia" w:ascii="宋体" w:hAnsi="宋体" w:cs="宋体"/>
          <w:b/>
          <w:bCs/>
          <w:color w:val="auto"/>
          <w:kern w:val="0"/>
          <w:sz w:val="24"/>
          <w:highlight w:val="none"/>
        </w:rPr>
        <w:br/>
      </w:r>
      <w:r>
        <w:rPr>
          <w:rFonts w:hint="eastAsia" w:ascii="宋体" w:hAnsi="宋体" w:cs="宋体"/>
          <w:b/>
          <w:bCs/>
          <w:color w:val="auto"/>
          <w:kern w:val="0"/>
          <w:sz w:val="24"/>
          <w:highlight w:val="none"/>
        </w:rPr>
        <w:t>4、是否收取履约保证金： 否</w:t>
      </w:r>
    </w:p>
    <w:p>
      <w:pPr>
        <w:widowControl/>
        <w:spacing w:line="440" w:lineRule="exact"/>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5、是否邀请投标人参与验收：否</w:t>
      </w:r>
      <w:r>
        <w:rPr>
          <w:rFonts w:hint="eastAsia" w:ascii="宋体" w:hAnsi="宋体" w:cs="宋体"/>
          <w:b/>
          <w:bCs/>
          <w:color w:val="auto"/>
          <w:kern w:val="0"/>
          <w:sz w:val="24"/>
          <w:highlight w:val="none"/>
        </w:rPr>
        <w:br/>
      </w:r>
      <w:r>
        <w:rPr>
          <w:rFonts w:hint="eastAsia" w:ascii="宋体" w:hAnsi="宋体" w:cs="宋体"/>
          <w:b/>
          <w:bCs/>
          <w:color w:val="auto"/>
          <w:kern w:val="0"/>
          <w:sz w:val="24"/>
          <w:highlight w:val="none"/>
        </w:rPr>
        <w:t>6、验收方式数据表格</w:t>
      </w:r>
    </w:p>
    <w:tbl>
      <w:tblPr>
        <w:tblW w:w="8722"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744"/>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Header/>
          <w:tblCellSpacing w:w="0" w:type="dxa"/>
        </w:trPr>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验收期次</w:t>
            </w:r>
          </w:p>
        </w:tc>
        <w:tc>
          <w:tcPr>
            <w:tcW w:w="69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trPr>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97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hAnsi="宋体" w:cs="宋体"/>
                <w:bCs/>
                <w:color w:val="auto"/>
                <w:sz w:val="24"/>
                <w:highlight w:val="none"/>
              </w:rPr>
            </w:pPr>
            <w:r>
              <w:rPr>
                <w:rFonts w:hint="eastAsia" w:ascii="宋体" w:hAnsi="宋体" w:cs="宋体"/>
                <w:bCs/>
                <w:color w:val="auto"/>
                <w:sz w:val="24"/>
                <w:highlight w:val="none"/>
              </w:rPr>
              <w:t>验收标准：应按国家和行业验收规范要求及合同中的相关条款进行数量及质量的验收。</w:t>
            </w:r>
          </w:p>
          <w:p>
            <w:pPr>
              <w:widowControl/>
              <w:spacing w:line="440" w:lineRule="exact"/>
              <w:rPr>
                <w:rFonts w:ascii="宋体" w:hAnsi="宋体" w:cs="宋体"/>
                <w:bCs/>
                <w:color w:val="auto"/>
                <w:sz w:val="24"/>
                <w:highlight w:val="none"/>
              </w:rPr>
            </w:pPr>
            <w:r>
              <w:rPr>
                <w:rFonts w:hint="eastAsia" w:ascii="宋体" w:hAnsi="宋体" w:cs="宋体"/>
                <w:bCs/>
                <w:color w:val="auto"/>
                <w:sz w:val="24"/>
                <w:highlight w:val="none"/>
              </w:rPr>
              <w:t>验收步骤：项目完工5个工作日</w:t>
            </w:r>
            <w:r>
              <w:rPr>
                <w:rFonts w:hint="eastAsia" w:ascii="宋体" w:hAnsi="宋体" w:cs="宋体"/>
                <w:bCs/>
                <w:color w:val="auto"/>
                <w:sz w:val="24"/>
                <w:highlight w:val="none"/>
                <w:lang w:eastAsia="zh-CN"/>
              </w:rPr>
              <w:t>中标人</w:t>
            </w:r>
            <w:r>
              <w:rPr>
                <w:rFonts w:hint="eastAsia" w:ascii="宋体" w:hAnsi="宋体" w:cs="宋体"/>
                <w:bCs/>
                <w:color w:val="auto"/>
                <w:sz w:val="24"/>
                <w:highlight w:val="none"/>
              </w:rPr>
              <w:t>提交完工报告及验收申请，采购人在收到相关资料后5个工作日内组织人员进行验收，检验及验收标准执行竞争性磋商文件要求、投标文件响应内容。</w:t>
            </w:r>
          </w:p>
          <w:p>
            <w:pPr>
              <w:widowControl/>
              <w:spacing w:line="440" w:lineRule="exact"/>
              <w:rPr>
                <w:rFonts w:ascii="宋体" w:hAnsi="宋体" w:cs="宋体"/>
                <w:color w:val="auto"/>
                <w:kern w:val="0"/>
                <w:sz w:val="24"/>
                <w:highlight w:val="none"/>
              </w:rPr>
            </w:pPr>
            <w:r>
              <w:rPr>
                <w:rFonts w:hint="eastAsia" w:ascii="宋体" w:hAnsi="宋体" w:cs="宋体"/>
                <w:bCs/>
                <w:color w:val="auto"/>
                <w:sz w:val="24"/>
                <w:highlight w:val="none"/>
              </w:rPr>
              <w:t>在采购人安装现场进行最终检验所产生的一切费用由</w:t>
            </w:r>
            <w:r>
              <w:rPr>
                <w:rFonts w:hint="eastAsia" w:ascii="宋体" w:hAnsi="宋体" w:cs="宋体"/>
                <w:bCs/>
                <w:color w:val="auto"/>
                <w:sz w:val="24"/>
                <w:highlight w:val="none"/>
                <w:lang w:eastAsia="zh-CN"/>
              </w:rPr>
              <w:t>中标人</w:t>
            </w:r>
            <w:r>
              <w:rPr>
                <w:rFonts w:hint="eastAsia" w:ascii="宋体" w:hAnsi="宋体" w:cs="宋体"/>
                <w:bCs/>
                <w:color w:val="auto"/>
                <w:sz w:val="24"/>
                <w:highlight w:val="none"/>
              </w:rPr>
              <w:t>承担。若验收不能符合要求，采购人将按合同商务条款的有关规定执行。</w:t>
            </w:r>
          </w:p>
        </w:tc>
      </w:tr>
    </w:tbl>
    <w:p>
      <w:pPr>
        <w:widowControl/>
        <w:spacing w:line="440" w:lineRule="exact"/>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7、支付方式数据表格</w:t>
      </w:r>
    </w:p>
    <w:tbl>
      <w:tblPr>
        <w:tblW w:w="8722"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
      <w:tblGrid>
        <w:gridCol w:w="1745"/>
        <w:gridCol w:w="1744"/>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174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支付期次</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支付比例(%)</w:t>
            </w:r>
          </w:p>
        </w:tc>
        <w:tc>
          <w:tcPr>
            <w:tcW w:w="52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PrEx>
        <w:trPr>
          <w:tblCellSpacing w:w="0" w:type="dxa"/>
        </w:trPr>
        <w:tc>
          <w:tcPr>
            <w:tcW w:w="174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23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银行转账，按月支付。首次验收合格后，乙方每月10日前向甲方开具上月专线线路金额发票。甲方在收到发票后当月内以对公转账形式将以上费用支付给乙方。</w:t>
            </w:r>
          </w:p>
        </w:tc>
      </w:tr>
    </w:tbl>
    <w:p>
      <w:pPr>
        <w:pStyle w:val="3"/>
        <w:adjustRightInd w:val="0"/>
        <w:snapToGrid w:val="0"/>
        <w:spacing w:line="590" w:lineRule="exact"/>
        <w:ind w:firstLine="0"/>
        <w:jc w:val="center"/>
        <w:rPr>
          <w:rFonts w:ascii="仿宋_GB2312" w:hAnsi="仿宋_GB2312" w:eastAsia="仿宋_GB2312" w:cs="仿宋_GB2312"/>
          <w:b/>
          <w:color w:val="auto"/>
          <w:sz w:val="32"/>
          <w:szCs w:val="32"/>
          <w:highlight w:val="none"/>
        </w:rPr>
      </w:pPr>
    </w:p>
    <w:p>
      <w:pPr>
        <w:pStyle w:val="3"/>
        <w:adjustRightInd w:val="0"/>
        <w:snapToGrid w:val="0"/>
        <w:spacing w:line="590" w:lineRule="exact"/>
        <w:ind w:firstLine="0"/>
        <w:rPr>
          <w:rFonts w:ascii="仿宋_GB2312" w:hAnsi="仿宋_GB2312" w:eastAsia="仿宋_GB2312" w:cs="仿宋_GB2312"/>
          <w:b/>
          <w:color w:val="auto"/>
          <w:sz w:val="32"/>
          <w:szCs w:val="32"/>
          <w:highlight w:val="none"/>
        </w:rPr>
      </w:pPr>
    </w:p>
    <w:p>
      <w:pPr>
        <w:pStyle w:val="3"/>
        <w:adjustRightInd w:val="0"/>
        <w:snapToGrid w:val="0"/>
        <w:spacing w:line="590" w:lineRule="exact"/>
        <w:ind w:firstLine="0"/>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p>
    <w:p>
      <w:pPr>
        <w:pStyle w:val="3"/>
        <w:adjustRightInd w:val="0"/>
        <w:snapToGrid w:val="0"/>
        <w:spacing w:line="590" w:lineRule="exact"/>
        <w:ind w:firstLine="0"/>
        <w:jc w:val="center"/>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一、投标书</w:t>
      </w:r>
    </w:p>
    <w:p>
      <w:pPr>
        <w:adjustRightInd w:val="0"/>
        <w:snapToGrid w:val="0"/>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致：福建省肿瘤医院</w:t>
      </w:r>
    </w:p>
    <w:p>
      <w:pPr>
        <w:adjustRightInd w:val="0"/>
        <w:snapToGrid w:val="0"/>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color w:val="auto"/>
          <w:sz w:val="32"/>
          <w:szCs w:val="32"/>
          <w:u w:val="single"/>
        </w:rPr>
        <w:t xml:space="preserve">  （小写：           ）</w:t>
      </w:r>
      <w:r>
        <w:rPr>
          <w:rFonts w:hint="eastAsia" w:ascii="仿宋_GB2312" w:hAnsi="仿宋_GB2312" w:eastAsia="仿宋_GB2312" w:cs="仿宋_GB2312"/>
          <w:color w:val="auto"/>
          <w:sz w:val="32"/>
          <w:szCs w:val="32"/>
        </w:rPr>
        <w:t>的投标报价并按上述条款、标准要求承包上述项目，并承担任何质量缺陷保修责任。</w:t>
      </w:r>
    </w:p>
    <w:p>
      <w:pPr>
        <w:adjustRightInd w:val="0"/>
        <w:snapToGrid w:val="0"/>
        <w:spacing w:line="590" w:lineRule="exact"/>
        <w:ind w:firstLine="608" w:firstLineChars="19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2、我方已详细审核全部招标文件及有关附件。</w:t>
      </w:r>
    </w:p>
    <w:p>
      <w:pPr>
        <w:adjustRightInd w:val="0"/>
        <w:snapToGrid w:val="0"/>
        <w:spacing w:line="590" w:lineRule="exact"/>
        <w:ind w:firstLine="608" w:firstLineChars="19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3、一旦我方中标，我方保证质量达到</w:t>
      </w:r>
      <w:r>
        <w:rPr>
          <w:rFonts w:hint="eastAsia" w:ascii="仿宋_GB2312" w:hAnsi="仿宋_GB2312" w:eastAsia="仿宋_GB2312" w:cs="仿宋_GB2312"/>
          <w:b/>
          <w:color w:val="auto"/>
          <w:sz w:val="32"/>
          <w:szCs w:val="32"/>
          <w:u w:val="single"/>
        </w:rPr>
        <w:t>投标须知、投标文件等规定</w:t>
      </w:r>
      <w:r>
        <w:rPr>
          <w:rFonts w:hint="eastAsia" w:ascii="仿宋_GB2312" w:hAnsi="仿宋_GB2312" w:eastAsia="仿宋_GB2312" w:cs="仿宋_GB2312"/>
          <w:color w:val="auto"/>
          <w:sz w:val="32"/>
          <w:szCs w:val="32"/>
        </w:rPr>
        <w:t>标准。</w:t>
      </w:r>
    </w:p>
    <w:p>
      <w:pPr>
        <w:adjustRightInd w:val="0"/>
        <w:snapToGrid w:val="0"/>
        <w:spacing w:line="590" w:lineRule="exact"/>
        <w:ind w:firstLine="608" w:firstLineChars="19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5、除非另外达成协议并生效，你方的中标通知书和本投标文件将成为约束双方的合同文件的组成部分。</w:t>
      </w:r>
    </w:p>
    <w:p>
      <w:pPr>
        <w:adjustRightInd w:val="0"/>
        <w:snapToGrid w:val="0"/>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附件：报价清单</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投标人（盖章）：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单位地址：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邮政编码：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电话：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传真：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开户银行名称： </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开户银行帐号： </w:t>
      </w:r>
    </w:p>
    <w:p>
      <w:pPr>
        <w:adjustRightInd w:val="0"/>
        <w:snapToGrid w:val="0"/>
        <w:spacing w:line="59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开户银行地址：</w:t>
      </w:r>
    </w:p>
    <w:p>
      <w:pPr>
        <w:adjustRightInd w:val="0"/>
        <w:snapToGrid w:val="0"/>
        <w:spacing w:line="590" w:lineRule="exact"/>
        <w:ind w:firstLine="3680" w:firstLineChars="11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开户银行电话： </w:t>
      </w:r>
    </w:p>
    <w:p>
      <w:pPr>
        <w:adjustRightInd w:val="0"/>
        <w:snapToGrid w:val="0"/>
        <w:spacing w:line="590" w:lineRule="exact"/>
        <w:ind w:firstLine="600"/>
        <w:rPr>
          <w:rFonts w:ascii="仿宋_GB2312" w:hAnsi="仿宋_GB2312" w:eastAsia="仿宋_GB2312" w:cs="仿宋_GB2312"/>
          <w:color w:val="auto"/>
          <w:sz w:val="32"/>
          <w:szCs w:val="32"/>
        </w:rPr>
      </w:pPr>
    </w:p>
    <w:p>
      <w:pPr>
        <w:adjustRightInd w:val="0"/>
        <w:snapToGrid w:val="0"/>
        <w:spacing w:line="59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附件：投标报价清单</w:t>
      </w:r>
    </w:p>
    <w:p>
      <w:pPr>
        <w:adjustRightInd w:val="0"/>
        <w:snapToGrid w:val="0"/>
        <w:spacing w:line="590" w:lineRule="exact"/>
        <w:rPr>
          <w:rFonts w:ascii="仿宋_GB2312" w:hAnsi="仿宋_GB2312" w:eastAsia="仿宋_GB2312" w:cs="仿宋_GB2312"/>
          <w:color w:val="auto"/>
          <w:sz w:val="32"/>
          <w:szCs w:val="32"/>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color w:val="auto"/>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color w:val="auto"/>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9"/>
              <w:shd w:val="clear" w:color="auto" w:fill="FFFFFF"/>
              <w:adjustRightInd w:val="0"/>
              <w:snapToGrid w:val="0"/>
              <w:spacing w:line="590" w:lineRule="exact"/>
              <w:rPr>
                <w:rFonts w:ascii="仿宋_GB2312" w:hAnsi="仿宋_GB2312" w:eastAsia="仿宋_GB2312" w:cs="仿宋_GB2312"/>
                <w:color w:val="auto"/>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color w:val="auto"/>
                <w:sz w:val="32"/>
                <w:szCs w:val="32"/>
              </w:rPr>
            </w:pPr>
          </w:p>
        </w:tc>
      </w:tr>
    </w:tbl>
    <w:p>
      <w:pPr>
        <w:adjustRightInd w:val="0"/>
        <w:snapToGrid w:val="0"/>
        <w:spacing w:line="590" w:lineRule="exact"/>
        <w:jc w:val="center"/>
        <w:rPr>
          <w:rFonts w:ascii="仿宋_GB2312" w:hAnsi="仿宋_GB2312" w:eastAsia="仿宋_GB2312" w:cs="仿宋_GB2312"/>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二、投标委托代表人资格证明书</w:t>
      </w: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单位名称：</w:t>
      </w:r>
    </w:p>
    <w:p>
      <w:pPr>
        <w:adjustRightInd w:val="0"/>
        <w:snapToGrid w:val="0"/>
        <w:spacing w:line="59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地址：</w:t>
      </w:r>
    </w:p>
    <w:p>
      <w:pPr>
        <w:adjustRightInd w:val="0"/>
        <w:snapToGrid w:val="0"/>
        <w:spacing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ind w:firstLine="6240" w:firstLineChars="19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投标人（盖章）：   </w:t>
      </w:r>
    </w:p>
    <w:p>
      <w:pPr>
        <w:adjustRightInd w:val="0"/>
        <w:snapToGrid w:val="0"/>
        <w:spacing w:line="590" w:lineRule="exact"/>
        <w:ind w:firstLine="6560" w:firstLineChars="20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adjustRightInd w:val="0"/>
        <w:snapToGrid w:val="0"/>
        <w:spacing w:line="590" w:lineRule="exact"/>
        <w:jc w:val="center"/>
        <w:rPr>
          <w:rFonts w:ascii="仿宋_GB2312" w:hAnsi="仿宋_GB2312" w:eastAsia="仿宋_GB2312" w:cs="仿宋_GB2312"/>
          <w:b/>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三、投标承诺书</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投标人名称（全称并加公章）：</w:t>
      </w:r>
    </w:p>
    <w:p>
      <w:pPr>
        <w:tabs>
          <w:tab w:val="left" w:pos="5355"/>
        </w:tabs>
        <w:adjustRightInd w:val="0"/>
        <w:snapToGrid w:val="0"/>
        <w:spacing w:before="100" w:beforeAutospacing="1" w:after="100" w:afterAutospacing="1" w:line="59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投标人代表签字：</w:t>
      </w:r>
    </w:p>
    <w:p>
      <w:pPr>
        <w:tabs>
          <w:tab w:val="left" w:pos="5355"/>
        </w:tabs>
        <w:adjustRightInd w:val="0"/>
        <w:snapToGrid w:val="0"/>
        <w:spacing w:before="100" w:beforeAutospacing="1" w:after="100" w:afterAutospacing="1" w:line="590" w:lineRule="exact"/>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日期：     年    月   日</w:t>
      </w: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四、投标方案</w:t>
      </w:r>
    </w:p>
    <w:p>
      <w:pPr>
        <w:adjustRightInd w:val="0"/>
        <w:snapToGrid w:val="0"/>
        <w:spacing w:line="590" w:lineRule="exact"/>
        <w:ind w:firstLine="640" w:firstLineChars="200"/>
        <w:rPr>
          <w:rFonts w:ascii="仿宋_GB2312" w:hAnsi="仿宋_GB2312" w:eastAsia="仿宋_GB2312" w:cs="仿宋_GB2312"/>
          <w:color w:val="auto"/>
          <w:sz w:val="32"/>
          <w:szCs w:val="32"/>
        </w:rPr>
      </w:pPr>
    </w:p>
    <w:p>
      <w:pPr>
        <w:tabs>
          <w:tab w:val="left" w:pos="1600"/>
        </w:tabs>
        <w:adjustRightInd w:val="0"/>
        <w:snapToGrid w:val="0"/>
        <w:spacing w:line="590" w:lineRule="exact"/>
        <w:ind w:left="330" w:firstLine="240"/>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五、投标人提交的其它材料</w:t>
      </w:r>
    </w:p>
    <w:p>
      <w:pPr>
        <w:adjustRightInd w:val="0"/>
        <w:snapToGrid w:val="0"/>
        <w:spacing w:line="590" w:lineRule="exact"/>
        <w:rPr>
          <w:rFonts w:ascii="仿宋_GB2312" w:hAnsi="仿宋_GB2312" w:eastAsia="仿宋_GB2312" w:cs="仿宋_GB2312"/>
          <w:color w:val="auto"/>
          <w:sz w:val="32"/>
          <w:szCs w:val="32"/>
        </w:rPr>
      </w:pPr>
    </w:p>
    <w:p>
      <w:pPr>
        <w:adjustRightInd w:val="0"/>
        <w:snapToGrid w:val="0"/>
        <w:spacing w:line="590" w:lineRule="exact"/>
        <w:rPr>
          <w:rFonts w:ascii="仿宋_GB2312" w:hAnsi="仿宋_GB2312" w:eastAsia="仿宋_GB2312" w:cs="仿宋_GB2312"/>
          <w:color w:val="auto"/>
          <w:sz w:val="32"/>
          <w:szCs w:val="32"/>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Microsoft Sans Serif"/>
    <w:panose1 w:val="020B0604020202020204"/>
    <w:charset w:val="00"/>
    <w:family w:val="auto"/>
    <w:pitch w:val="default"/>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num w:numId="1">
    <w:abstractNumId w:val="2215036519"/>
  </w:num>
  <w:num w:numId="2">
    <w:abstractNumId w:val="3996564523"/>
  </w:num>
  <w:num w:numId="3">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1">
    <w:name w:val="Default Paragraph Font"/>
    <w:semiHidden/>
    <w:unhideWhenUsed/>
    <w:uiPriority w:val="1"/>
  </w:style>
  <w:style w:type="paragraph" w:styleId="3">
    <w:name w:val="Normal Indent"/>
    <w:basedOn w:val="1"/>
    <w:link w:val="19"/>
    <w:qFormat/>
    <w:uiPriority w:val="0"/>
    <w:pPr>
      <w:widowControl/>
      <w:ind w:firstLine="420"/>
      <w:jc w:val="left"/>
    </w:pPr>
    <w:rPr>
      <w:kern w:val="0"/>
      <w:sz w:val="20"/>
      <w:szCs w:val="20"/>
    </w:rPr>
  </w:style>
  <w:style w:type="paragraph" w:styleId="4">
    <w:name w:val="Plain Text"/>
    <w:basedOn w:val="1"/>
    <w:link w:val="20"/>
    <w:unhideWhenUsed/>
    <w:qFormat/>
    <w:uiPriority w:val="0"/>
    <w:rPr>
      <w:rFonts w:ascii="宋体" w:hAnsi="Courier New" w:eastAsia="微软雅黑"/>
      <w:kern w:val="0"/>
      <w:sz w:val="22"/>
      <w:szCs w:val="20"/>
    </w:r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link w:val="1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9">
    <w:name w:val="HTML Preformatted"/>
    <w:basedOn w:val="1"/>
    <w:link w:val="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spacing w:before="100" w:beforeAutospacing="1" w:after="100" w:afterAutospacing="1"/>
      <w:jc w:val="left"/>
    </w:pPr>
    <w:rPr>
      <w:kern w:val="0"/>
      <w:sz w:val="24"/>
    </w:rPr>
  </w:style>
  <w:style w:type="character" w:styleId="12">
    <w:name w:val="Strong"/>
    <w:qFormat/>
    <w:uiPriority w:val="0"/>
    <w:rPr>
      <w:b/>
    </w:rPr>
  </w:style>
  <w:style w:type="character" w:styleId="13">
    <w:name w:val="Hyperlink"/>
    <w:qFormat/>
    <w:uiPriority w:val="0"/>
    <w:rPr>
      <w:color w:val="0000FF"/>
      <w:u w:val="single"/>
    </w:rPr>
  </w:style>
  <w:style w:type="paragraph" w:customStyle="1" w:styleId="14">
    <w:name w:val="Default"/>
    <w:qFormat/>
    <w:uiPriority w:val="0"/>
    <w:pPr>
      <w:widowControl w:val="0"/>
      <w:autoSpaceDE w:val="0"/>
      <w:autoSpaceDN w:val="0"/>
      <w:adjustRightInd w:val="0"/>
    </w:pPr>
    <w:rPr>
      <w:rFonts w:ascii="宋体"/>
      <w:color w:val="000000"/>
      <w:sz w:val="24"/>
      <w:szCs w:val="24"/>
    </w:rPr>
  </w:style>
  <w:style w:type="paragraph" w:customStyle="1" w:styleId="15">
    <w:name w:val="List Paragraph"/>
    <w:basedOn w:val="1"/>
    <w:qFormat/>
    <w:uiPriority w:val="34"/>
    <w:pPr>
      <w:ind w:firstLine="420" w:firstLineChars="200"/>
    </w:pPr>
    <w:rPr>
      <w:rFonts w:ascii="Calibri" w:hAnsi="Calibri" w:eastAsia="宋体" w:cs="黑体"/>
      <w:szCs w:val="22"/>
    </w:rPr>
  </w:style>
  <w:style w:type="character" w:customStyle="1" w:styleId="16">
    <w:name w:val="页眉 字符"/>
    <w:link w:val="7"/>
    <w:qFormat/>
    <w:uiPriority w:val="99"/>
    <w:rPr>
      <w:sz w:val="18"/>
      <w:szCs w:val="18"/>
    </w:rPr>
  </w:style>
  <w:style w:type="character" w:customStyle="1" w:styleId="17">
    <w:name w:val="页脚 字符"/>
    <w:link w:val="6"/>
    <w:qFormat/>
    <w:uiPriority w:val="99"/>
    <w:rPr>
      <w:sz w:val="18"/>
      <w:szCs w:val="18"/>
    </w:rPr>
  </w:style>
  <w:style w:type="character" w:customStyle="1" w:styleId="18">
    <w:name w:val="信息标题 字符"/>
    <w:link w:val="8"/>
    <w:qFormat/>
    <w:uiPriority w:val="99"/>
    <w:rPr>
      <w:rFonts w:ascii="Cambria" w:hAnsi="Cambria" w:eastAsia="宋体" w:cs="Times New Roman"/>
      <w:kern w:val="0"/>
      <w:sz w:val="24"/>
      <w:szCs w:val="24"/>
      <w:shd w:val="pct20" w:color="auto" w:fill="auto"/>
    </w:rPr>
  </w:style>
  <w:style w:type="character" w:customStyle="1" w:styleId="19">
    <w:name w:val="正文缩进 字符"/>
    <w:link w:val="3"/>
    <w:qFormat/>
    <w:uiPriority w:val="0"/>
    <w:rPr>
      <w:rFonts w:ascii="Times New Roman" w:hAnsi="Times New Roman" w:eastAsia="宋体" w:cs="Times New Roman"/>
      <w:kern w:val="0"/>
      <w:sz w:val="20"/>
      <w:szCs w:val="20"/>
    </w:rPr>
  </w:style>
  <w:style w:type="character" w:customStyle="1" w:styleId="20">
    <w:name w:val="纯文本 字符"/>
    <w:link w:val="4"/>
    <w:qFormat/>
    <w:uiPriority w:val="0"/>
    <w:rPr>
      <w:rFonts w:ascii="宋体" w:hAnsi="Courier New" w:eastAsia="微软雅黑" w:cs="Times New Roman"/>
      <w:kern w:val="0"/>
      <w:sz w:val="22"/>
      <w:szCs w:val="20"/>
    </w:rPr>
  </w:style>
  <w:style w:type="character" w:customStyle="1" w:styleId="21">
    <w:name w:val="HTML 预设格式 字符"/>
    <w:link w:val="9"/>
    <w:qFormat/>
    <w:uiPriority w:val="0"/>
    <w:rPr>
      <w:rFonts w:ascii="宋体" w:hAnsi="宋体" w:eastAsia="宋体" w:cs="Times New Roman"/>
      <w:kern w:val="0"/>
      <w:sz w:val="24"/>
      <w:szCs w:val="24"/>
    </w:rPr>
  </w:style>
  <w:style w:type="character" w:customStyle="1" w:styleId="22">
    <w:name w:val="font01"/>
    <w:qFormat/>
    <w:uiPriority w:val="0"/>
    <w:rPr>
      <w:rFonts w:hint="eastAsia" w:ascii="宋体" w:hAnsi="宋体" w:eastAsia="宋体" w:cs="宋体"/>
      <w:color w:val="000000"/>
      <w:sz w:val="20"/>
      <w:szCs w:val="20"/>
      <w:u w:val="none"/>
    </w:rPr>
  </w:style>
  <w:style w:type="character" w:customStyle="1" w:styleId="23">
    <w:name w:val="批注框文本 字符"/>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627</Words>
  <Characters>3577</Characters>
  <Lines>29</Lines>
  <Paragraphs>8</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2023-09-04T07:07:00Z</dcterms:created>
  <dc:creator>HP Inc.</dc:creator>
  <cp:lastModifiedBy>Admin</cp:lastModifiedBy>
  <cp:lastPrinted>2023-06-05T23:51:00Z</cp:lastPrinted>
  <dcterms:modified xsi:type="dcterms:W3CDTF">2023-09-05T02:26:30Z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