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keepNext/>
        <w:keepLines/>
        <w:widowControl w:val="0"/>
        <w:wordWrap/>
        <w:adjustRightInd/>
        <w:snapToGrid/>
        <w:spacing w:before="0" w:after="0" w:line="600" w:lineRule="exact"/>
        <w:ind w:left="0" w:leftChars="0" w:right="0" w:firstLine="0" w:firstLineChars="0"/>
        <w:jc w:val="center"/>
        <w:textAlignment w:val="auto"/>
        <w:outlineLvl w:val="0"/>
        <w:rPr>
          <w:rFonts w:hint="eastAsia" w:ascii="方正小标宋简体" w:hAnsi="方正小标宋简体" w:eastAsia="方正小标宋简体" w:cs="方正小标宋简体"/>
          <w:b w:val="0"/>
          <w:kern w:val="2"/>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rPr>
        <w:t>福建省肿瘤医院</w:t>
      </w:r>
    </w:p>
    <w:p>
      <w:pPr>
        <w:pStyle w:val="2"/>
        <w:keepNext/>
        <w:keepLines/>
        <w:widowControl w:val="0"/>
        <w:wordWrap/>
        <w:adjustRightInd/>
        <w:snapToGrid/>
        <w:spacing w:before="0" w:after="0" w:line="600" w:lineRule="exact"/>
        <w:ind w:left="0" w:leftChars="0" w:right="0" w:firstLine="0" w:firstLineChars="0"/>
        <w:jc w:val="center"/>
        <w:textAlignment w:val="auto"/>
        <w:outlineLvl w:val="0"/>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桌面云相关设备、网闸等设备网超品牌论证</w:t>
      </w:r>
      <w:r>
        <w:rPr>
          <w:rFonts w:hint="eastAsia" w:ascii="方正小标宋简体" w:hAnsi="方正小标宋简体" w:eastAsia="方正小标宋简体" w:cs="方正小标宋简体"/>
          <w:b w:val="0"/>
          <w:kern w:val="2"/>
          <w:sz w:val="44"/>
          <w:szCs w:val="44"/>
        </w:rPr>
        <w:t>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Lines="50" w:line="59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：桌面云</w:t>
            </w:r>
            <w:r>
              <w:rPr>
                <w:rFonts w:hint="eastAsia" w:ascii="仿宋_GB2312" w:hAnsi="仿宋_GB2312" w:eastAsia="仿宋_GB2312" w:cs="仿宋_GB2312"/>
                <w:color w:val="000000"/>
                <w:kern w:val="0"/>
                <w:sz w:val="32"/>
                <w:szCs w:val="32"/>
                <w:lang w:val="en-US" w:eastAsia="zh-CN"/>
              </w:rPr>
              <w:t>相关设备、网闸等设备网超品牌论证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至9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(节假日除外)8：00-12：00或14：00-17：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spacing w:line="315" w:lineRule="atLeast"/>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lang w:val="en-US" w:eastAsia="zh-CN"/>
              </w:rPr>
              <w:t xml:space="preserve"> 2023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spacing w:line="336" w:lineRule="auto"/>
        <w:ind w:left="1260" w:leftChars="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spacing w:line="440" w:lineRule="atLeast"/>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联系人：</w:t>
      </w:r>
      <w:r>
        <w:rPr>
          <w:rFonts w:hint="eastAsia" w:ascii="仿宋_GB2312" w:hAnsi="仿宋_GB2312" w:eastAsia="仿宋_GB2312" w:cs="仿宋_GB2312"/>
          <w:b w:val="0"/>
          <w:bCs/>
          <w:color w:val="000000"/>
          <w:kern w:val="0"/>
          <w:sz w:val="32"/>
          <w:szCs w:val="32"/>
          <w:shd w:val="clear" w:color="auto" w:fill="FFFFFF"/>
          <w:lang w:val="en-US" w:eastAsia="zh-CN"/>
        </w:rPr>
        <w:t>钱工、</w:t>
      </w:r>
      <w:r>
        <w:rPr>
          <w:rFonts w:hint="eastAsia" w:ascii="仿宋_GB2312" w:hAnsi="仿宋_GB2312" w:eastAsia="仿宋_GB2312" w:cs="仿宋_GB2312"/>
          <w:b w:val="0"/>
          <w:bCs/>
          <w:color w:val="000000"/>
          <w:kern w:val="0"/>
          <w:sz w:val="32"/>
          <w:szCs w:val="32"/>
          <w:shd w:val="clear" w:color="auto" w:fill="FFFFFF"/>
        </w:rPr>
        <w:t xml:space="preserve"> </w:t>
      </w:r>
      <w:r>
        <w:rPr>
          <w:rFonts w:hint="eastAsia" w:ascii="仿宋_GB2312" w:hAnsi="仿宋_GB2312" w:eastAsia="仿宋_GB2312" w:cs="仿宋_GB2312"/>
          <w:b w:val="0"/>
          <w:bCs/>
          <w:color w:val="000000"/>
          <w:kern w:val="0"/>
          <w:sz w:val="32"/>
          <w:szCs w:val="32"/>
          <w:shd w:val="clear" w:color="auto" w:fill="FFFFFF"/>
          <w:lang w:val="en-US" w:eastAsia="zh-CN"/>
        </w:rPr>
        <w:t>金工</w:t>
      </w:r>
    </w:p>
    <w:p>
      <w:pPr>
        <w:widowControl/>
        <w:shd w:val="clear" w:color="auto" w:fill="FFFFFF"/>
        <w:spacing w:line="440" w:lineRule="atLeast"/>
        <w:jc w:val="both"/>
        <w:rPr>
          <w:rFonts w:hint="eastAsia" w:ascii="仿宋_GB2312" w:hAnsi="仿宋_GB2312" w:eastAsia="仿宋_GB2312" w:cs="仿宋_GB2312"/>
          <w:b w:val="0"/>
          <w:bCs/>
          <w:color w:val="000000"/>
          <w:kern w:val="0"/>
          <w:sz w:val="32"/>
          <w:szCs w:val="32"/>
          <w:shd w:val="clear" w:color="auto" w:fill="FFFFFF"/>
          <w:lang w:val="en-US" w:eastAsia="zh-CN"/>
        </w:rPr>
      </w:pPr>
    </w:p>
    <w:p>
      <w:pPr>
        <w:widowControl/>
        <w:shd w:val="clear" w:color="auto" w:fill="FFFFFF"/>
        <w:spacing w:line="440" w:lineRule="atLeast"/>
        <w:jc w:val="both"/>
        <w:rPr>
          <w:rFonts w:hint="eastAsia" w:ascii="仿宋_GB2312" w:hAnsi="仿宋_GB2312" w:eastAsia="仿宋_GB2312" w:cs="仿宋_GB2312"/>
          <w:b w:val="0"/>
          <w:bCs/>
          <w:color w:val="000000"/>
          <w:kern w:val="0"/>
          <w:sz w:val="32"/>
          <w:szCs w:val="32"/>
          <w:shd w:val="clear" w:color="auto" w:fill="FFFFFF"/>
          <w:lang w:val="en-US" w:eastAsia="zh-CN"/>
        </w:rPr>
      </w:pPr>
      <w:bookmarkStart w:id="0" w:name="_GoBack"/>
      <w:bookmarkEnd w:id="0"/>
    </w:p>
    <w:p>
      <w:pPr>
        <w:pStyle w:val="10"/>
        <w:jc w:val="both"/>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spacing w:line="440" w:lineRule="atLeast"/>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widowControl/>
              <w:spacing w:afterLines="5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3178"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widowControl/>
              <w:spacing w:afterLines="5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3178" w:type="dxa"/>
            <w:vAlign w:val="center"/>
          </w:tcPr>
          <w:p>
            <w:pPr>
              <w:numPr>
                <w:numId w:val="0"/>
              </w:numPr>
              <w:ind w:left="0" w:leftChars="0" w:firstLine="0" w:firstLineChars="0"/>
              <w:jc w:val="both"/>
              <w:rPr>
                <w:rFonts w:hint="eastAsia" w:ascii="仿宋_GB2312" w:hAnsi="仿宋_GB2312" w:eastAsia="仿宋_GB2312" w:cs="仿宋_GB2312"/>
                <w:kern w:val="0"/>
                <w:sz w:val="32"/>
                <w:szCs w:val="32"/>
              </w:rPr>
            </w:pPr>
            <w:r>
              <w:rPr>
                <w:rFonts w:hint="eastAsia"/>
                <w:sz w:val="24"/>
                <w:szCs w:val="32"/>
              </w:rPr>
              <w:t>桌面云一体机及桌面云终端</w:t>
            </w:r>
          </w:p>
        </w:tc>
        <w:tc>
          <w:tcPr>
            <w:tcW w:w="1590" w:type="dxa"/>
            <w:vAlign w:val="center"/>
          </w:tcPr>
          <w:p>
            <w:pPr>
              <w:autoSpaceDN w:val="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1项</w:t>
            </w:r>
          </w:p>
        </w:tc>
        <w:tc>
          <w:tcPr>
            <w:tcW w:w="1894" w:type="dxa"/>
            <w:vAlign w:val="center"/>
          </w:tcPr>
          <w:p>
            <w:pPr>
              <w:autoSpaceDN w:val="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widowControl/>
              <w:spacing w:afterLines="5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3178" w:type="dxa"/>
            <w:vAlign w:val="center"/>
          </w:tcPr>
          <w:p>
            <w:pPr>
              <w:numPr>
                <w:numId w:val="0"/>
              </w:numPr>
              <w:ind w:left="0" w:leftChars="0" w:firstLine="0" w:firstLineChars="0"/>
              <w:jc w:val="both"/>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28"/>
                <w:szCs w:val="28"/>
                <w:lang w:eastAsia="zh-CN"/>
              </w:rPr>
              <w:t>桌面云一体机</w:t>
            </w:r>
          </w:p>
        </w:tc>
        <w:tc>
          <w:tcPr>
            <w:tcW w:w="1590" w:type="dxa"/>
            <w:vAlign w:val="center"/>
          </w:tcPr>
          <w:p>
            <w:pPr>
              <w:autoSpaceDN w:val="0"/>
              <w:jc w:val="both"/>
              <w:textAlignment w:val="center"/>
              <w:rPr>
                <w:rFonts w:hint="eastAsia"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3套</w:t>
            </w:r>
          </w:p>
        </w:tc>
        <w:tc>
          <w:tcPr>
            <w:tcW w:w="1894" w:type="dxa"/>
            <w:vAlign w:val="center"/>
          </w:tcPr>
          <w:p>
            <w:pPr>
              <w:autoSpaceDN w:val="0"/>
              <w:jc w:val="both"/>
              <w:textAlignment w:val="center"/>
              <w:rPr>
                <w:rFonts w:hint="eastAsia" w:ascii="仿宋_GB2312" w:hAnsi="仿宋_GB2312" w:eastAsia="仿宋_GB2312" w:cs="仿宋_GB2312"/>
                <w:b w:val="0"/>
                <w:i w:val="0"/>
                <w:color w:val="000000"/>
                <w:sz w:val="32"/>
                <w:szCs w:val="32"/>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widowControl/>
              <w:spacing w:afterLines="5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3178" w:type="dxa"/>
            <w:vAlign w:val="center"/>
          </w:tcPr>
          <w:p>
            <w:pPr>
              <w:numPr>
                <w:numId w:val="0"/>
              </w:numPr>
              <w:ind w:left="0" w:leftChars="0" w:firstLine="0" w:firstLineChars="0"/>
              <w:jc w:val="both"/>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28"/>
                <w:szCs w:val="28"/>
                <w:lang w:eastAsia="zh-CN"/>
              </w:rPr>
              <w:t>桌面云瘦终端</w:t>
            </w:r>
          </w:p>
        </w:tc>
        <w:tc>
          <w:tcPr>
            <w:tcW w:w="1590" w:type="dxa"/>
            <w:vAlign w:val="center"/>
          </w:tcPr>
          <w:p>
            <w:pPr>
              <w:autoSpaceDN w:val="0"/>
              <w:jc w:val="both"/>
              <w:textAlignment w:val="center"/>
              <w:rPr>
                <w:rFonts w:hint="eastAsia"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40套</w:t>
            </w:r>
          </w:p>
        </w:tc>
        <w:tc>
          <w:tcPr>
            <w:tcW w:w="1894" w:type="dxa"/>
            <w:vAlign w:val="center"/>
          </w:tcPr>
          <w:p>
            <w:pPr>
              <w:autoSpaceDN w:val="0"/>
              <w:jc w:val="both"/>
              <w:textAlignment w:val="center"/>
              <w:rPr>
                <w:rFonts w:hint="eastAsia" w:ascii="仿宋_GB2312" w:hAnsi="仿宋_GB2312" w:eastAsia="仿宋_GB2312" w:cs="仿宋_GB2312"/>
                <w:b w:val="0"/>
                <w:i w:val="0"/>
                <w:color w:val="000000"/>
                <w:sz w:val="32"/>
                <w:szCs w:val="32"/>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widowControl/>
              <w:spacing w:afterLines="5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3178" w:type="dxa"/>
            <w:vAlign w:val="center"/>
          </w:tcPr>
          <w:p>
            <w:pPr>
              <w:numPr>
                <w:numId w:val="0"/>
              </w:numPr>
              <w:ind w:left="0" w:leftChars="0" w:firstLine="0" w:firstLineChars="0"/>
              <w:jc w:val="both"/>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28"/>
                <w:szCs w:val="28"/>
                <w:lang w:eastAsia="zh-CN"/>
              </w:rPr>
              <w:t>桌面云胖终端</w:t>
            </w:r>
          </w:p>
        </w:tc>
        <w:tc>
          <w:tcPr>
            <w:tcW w:w="1590" w:type="dxa"/>
            <w:vAlign w:val="center"/>
          </w:tcPr>
          <w:p>
            <w:pPr>
              <w:autoSpaceDN w:val="0"/>
              <w:jc w:val="both"/>
              <w:textAlignment w:val="center"/>
              <w:rPr>
                <w:rFonts w:hint="eastAsia"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3套</w:t>
            </w:r>
          </w:p>
        </w:tc>
        <w:tc>
          <w:tcPr>
            <w:tcW w:w="1894" w:type="dxa"/>
            <w:vAlign w:val="center"/>
          </w:tcPr>
          <w:p>
            <w:pPr>
              <w:autoSpaceDN w:val="0"/>
              <w:jc w:val="both"/>
              <w:textAlignment w:val="center"/>
              <w:rPr>
                <w:rFonts w:hint="eastAsia" w:ascii="仿宋_GB2312" w:hAnsi="仿宋_GB2312" w:eastAsia="仿宋_GB2312" w:cs="仿宋_GB2312"/>
                <w:b w:val="0"/>
                <w:i w:val="0"/>
                <w:color w:val="000000"/>
                <w:sz w:val="32"/>
                <w:szCs w:val="32"/>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widowControl/>
              <w:spacing w:afterLines="5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二）</w:t>
            </w:r>
          </w:p>
        </w:tc>
        <w:tc>
          <w:tcPr>
            <w:tcW w:w="3178" w:type="dxa"/>
            <w:vAlign w:val="center"/>
          </w:tcPr>
          <w:p>
            <w:pPr>
              <w:numPr>
                <w:numId w:val="0"/>
              </w:numPr>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网闸</w:t>
            </w:r>
          </w:p>
        </w:tc>
        <w:tc>
          <w:tcPr>
            <w:tcW w:w="1590" w:type="dxa"/>
            <w:vAlign w:val="center"/>
          </w:tcPr>
          <w:p>
            <w:pPr>
              <w:numPr>
                <w:numId w:val="0"/>
              </w:numPr>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w:t>
            </w:r>
          </w:p>
        </w:tc>
        <w:tc>
          <w:tcPr>
            <w:tcW w:w="1894" w:type="dxa"/>
            <w:vAlign w:val="center"/>
          </w:tcPr>
          <w:p>
            <w:pPr>
              <w:autoSpaceDN w:val="0"/>
              <w:jc w:val="both"/>
              <w:textAlignment w:val="center"/>
              <w:rPr>
                <w:rFonts w:hint="eastAsia"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20.00</w:t>
            </w:r>
          </w:p>
        </w:tc>
      </w:tr>
    </w:tbl>
    <w:p>
      <w:pPr>
        <w:keepNext/>
        <w:widowControl/>
        <w:numPr>
          <w:numId w:val="0"/>
        </w:numPr>
        <w:shd w:val="clear" w:color="auto" w:fill="FFFFFF"/>
        <w:autoSpaceDE w:val="0"/>
        <w:spacing w:before="120" w:after="120"/>
        <w:ind w:leftChars="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0"/>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W w:w="97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96"/>
        <w:gridCol w:w="610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930"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1896"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调研项</w:t>
            </w:r>
          </w:p>
        </w:tc>
        <w:tc>
          <w:tcPr>
            <w:tcW w:w="6108"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技术参数要求</w:t>
            </w:r>
          </w:p>
        </w:tc>
        <w:tc>
          <w:tcPr>
            <w:tcW w:w="862"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7" w:hRule="exact"/>
        </w:trPr>
        <w:tc>
          <w:tcPr>
            <w:tcW w:w="930" w:type="dxa"/>
            <w:vAlign w:val="center"/>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896" w:type="dxa"/>
            <w:vAlign w:val="center"/>
          </w:tcPr>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桌面云一体机</w:t>
            </w:r>
          </w:p>
        </w:tc>
        <w:tc>
          <w:tcPr>
            <w:tcW w:w="6108" w:type="dxa"/>
            <w:vAlign w:val="center"/>
          </w:tcPr>
          <w:p>
            <w:pPr>
              <w:pStyle w:val="4"/>
              <w:widowControl w:val="0"/>
              <w:numPr>
                <w:ilvl w:val="0"/>
                <w:numId w:val="1"/>
              </w:numPr>
              <w:wordWrap/>
              <w:adjustRightInd/>
              <w:snapToGrid/>
              <w:spacing w:line="240" w:lineRule="auto"/>
              <w:ind w:firstLine="0" w:firstLineChars="0"/>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CPU≥2颗Gold 6226R</w:t>
            </w:r>
            <w:r>
              <w:rPr>
                <w:rFonts w:hint="default" w:ascii="Times New Roman" w:hAnsi="Times New Roman" w:cs="Times New Roman"/>
                <w:sz w:val="22"/>
                <w:szCs w:val="22"/>
                <w:lang w:val="en-US" w:eastAsia="zh-CN"/>
              </w:rPr>
              <w:t>，主频</w:t>
            </w:r>
            <w:r>
              <w:rPr>
                <w:rFonts w:hint="eastAsia" w:ascii="Times New Roman" w:hAnsi="Times New Roman" w:cs="Times New Roman"/>
                <w:sz w:val="22"/>
                <w:szCs w:val="22"/>
                <w:lang w:val="en-US" w:eastAsia="zh-CN"/>
              </w:rPr>
              <w:t>≥</w:t>
            </w:r>
            <w:r>
              <w:rPr>
                <w:rFonts w:hint="default" w:ascii="Times New Roman" w:hAnsi="Times New Roman" w:cs="Times New Roman"/>
                <w:sz w:val="22"/>
                <w:szCs w:val="22"/>
                <w:lang w:val="en-US" w:eastAsia="zh-CN"/>
              </w:rPr>
              <w:t>2.</w:t>
            </w:r>
            <w:r>
              <w:rPr>
                <w:rFonts w:hint="eastAsia" w:ascii="Times New Roman" w:hAnsi="Times New Roman" w:cs="Times New Roman"/>
                <w:sz w:val="22"/>
                <w:szCs w:val="22"/>
                <w:lang w:val="en-US" w:eastAsia="zh-CN"/>
              </w:rPr>
              <w:t>9</w:t>
            </w:r>
            <w:r>
              <w:rPr>
                <w:rFonts w:hint="default" w:ascii="Times New Roman" w:hAnsi="Times New Roman" w:cs="Times New Roman"/>
                <w:sz w:val="22"/>
                <w:szCs w:val="22"/>
                <w:lang w:val="en-US" w:eastAsia="zh-CN"/>
              </w:rPr>
              <w:t>GHz，</w:t>
            </w:r>
            <w:r>
              <w:rPr>
                <w:rFonts w:hint="eastAsia" w:ascii="Times New Roman" w:hAnsi="Times New Roman" w:cs="Times New Roman"/>
                <w:sz w:val="22"/>
                <w:szCs w:val="22"/>
                <w:lang w:val="en-US" w:eastAsia="zh-CN"/>
              </w:rPr>
              <w:t>每颗CPU</w:t>
            </w:r>
            <w:r>
              <w:rPr>
                <w:rFonts w:hint="default" w:ascii="Times New Roman" w:hAnsi="Times New Roman" w:cs="Times New Roman"/>
                <w:sz w:val="22"/>
                <w:szCs w:val="22"/>
                <w:lang w:val="en-US" w:eastAsia="zh-CN"/>
              </w:rPr>
              <w:t>核心数</w:t>
            </w:r>
            <w:r>
              <w:rPr>
                <w:rFonts w:hint="eastAsia" w:ascii="Times New Roman" w:hAnsi="Times New Roman" w:cs="Times New Roman"/>
                <w:sz w:val="22"/>
                <w:szCs w:val="22"/>
                <w:lang w:val="en-US" w:eastAsia="zh-CN"/>
              </w:rPr>
              <w:t>≥</w:t>
            </w:r>
            <w:r>
              <w:rPr>
                <w:rFonts w:hint="default" w:ascii="Times New Roman" w:hAnsi="Times New Roman" w:cs="Times New Roman"/>
                <w:sz w:val="22"/>
                <w:szCs w:val="22"/>
                <w:lang w:val="en-US" w:eastAsia="zh-CN"/>
              </w:rPr>
              <w:t>1</w:t>
            </w:r>
            <w:r>
              <w:rPr>
                <w:rFonts w:hint="eastAsia" w:ascii="Times New Roman" w:hAnsi="Times New Roman" w:cs="Times New Roman"/>
                <w:sz w:val="22"/>
                <w:szCs w:val="22"/>
                <w:lang w:val="en-US" w:eastAsia="zh-CN"/>
              </w:rPr>
              <w:t>6</w:t>
            </w:r>
            <w:r>
              <w:rPr>
                <w:rFonts w:hint="default" w:ascii="Times New Roman" w:hAnsi="Times New Roman" w:cs="Times New Roman"/>
                <w:sz w:val="22"/>
                <w:szCs w:val="22"/>
                <w:lang w:val="en-US" w:eastAsia="zh-CN"/>
              </w:rPr>
              <w:t>核，内存</w:t>
            </w:r>
            <w:r>
              <w:rPr>
                <w:rFonts w:hint="eastAsia" w:ascii="Times New Roman" w:hAnsi="Times New Roman" w:cs="Times New Roman"/>
                <w:sz w:val="22"/>
                <w:szCs w:val="22"/>
                <w:lang w:val="en-US" w:eastAsia="zh-CN"/>
              </w:rPr>
              <w:t>≥512</w:t>
            </w:r>
            <w:r>
              <w:rPr>
                <w:rFonts w:hint="default" w:ascii="Times New Roman" w:hAnsi="Times New Roman" w:cs="Times New Roman"/>
                <w:sz w:val="22"/>
                <w:szCs w:val="22"/>
                <w:lang w:val="en-US" w:eastAsia="zh-CN"/>
              </w:rPr>
              <w:t>G，系统盘</w:t>
            </w:r>
            <w:r>
              <w:rPr>
                <w:rFonts w:hint="eastAsia" w:ascii="Times New Roman" w:hAnsi="Times New Roman" w:cs="Times New Roman"/>
                <w:sz w:val="22"/>
                <w:szCs w:val="22"/>
                <w:lang w:val="en-US" w:eastAsia="zh-CN"/>
              </w:rPr>
              <w:t>≥480</w:t>
            </w:r>
            <w:r>
              <w:rPr>
                <w:rFonts w:hint="default" w:ascii="Times New Roman" w:hAnsi="Times New Roman" w:cs="Times New Roman"/>
                <w:sz w:val="22"/>
                <w:szCs w:val="22"/>
                <w:lang w:val="en-US" w:eastAsia="zh-CN"/>
              </w:rPr>
              <w:t>G，缓存盘</w:t>
            </w:r>
            <w:r>
              <w:rPr>
                <w:rFonts w:hint="eastAsia" w:ascii="Times New Roman" w:hAnsi="Times New Roman" w:cs="Times New Roman"/>
                <w:sz w:val="22"/>
                <w:szCs w:val="22"/>
                <w:lang w:val="en-US" w:eastAsia="zh-CN"/>
              </w:rPr>
              <w:t>≥2*3.84T</w:t>
            </w:r>
            <w:r>
              <w:rPr>
                <w:rFonts w:hint="default" w:ascii="Times New Roman" w:hAnsi="Times New Roman" w:cs="Times New Roman"/>
                <w:sz w:val="22"/>
                <w:szCs w:val="22"/>
                <w:lang w:val="en-US" w:eastAsia="zh-CN"/>
              </w:rPr>
              <w:t xml:space="preserve"> SSD，数据盘</w:t>
            </w:r>
            <w:r>
              <w:rPr>
                <w:rFonts w:hint="eastAsia" w:ascii="Times New Roman" w:hAnsi="Times New Roman" w:cs="Times New Roman"/>
                <w:sz w:val="22"/>
                <w:szCs w:val="22"/>
                <w:lang w:val="en-US" w:eastAsia="zh-CN"/>
              </w:rPr>
              <w:t>≥6</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10</w:t>
            </w:r>
            <w:r>
              <w:rPr>
                <w:rFonts w:hint="default" w:ascii="Times New Roman" w:hAnsi="Times New Roman" w:cs="Times New Roman"/>
                <w:sz w:val="22"/>
                <w:szCs w:val="22"/>
                <w:lang w:val="en-US" w:eastAsia="zh-CN"/>
              </w:rPr>
              <w:t xml:space="preserve">T </w:t>
            </w:r>
            <w:r>
              <w:rPr>
                <w:rFonts w:hint="eastAsia" w:ascii="Times New Roman" w:hAnsi="Times New Roman" w:cs="Times New Roman"/>
                <w:sz w:val="22"/>
                <w:szCs w:val="22"/>
                <w:lang w:val="en-US" w:eastAsia="zh-CN"/>
              </w:rPr>
              <w:t>HDD</w:t>
            </w:r>
            <w:r>
              <w:rPr>
                <w:rFonts w:hint="default" w:ascii="Times New Roman" w:hAnsi="Times New Roman" w:cs="Times New Roman"/>
                <w:sz w:val="22"/>
                <w:szCs w:val="22"/>
                <w:lang w:val="en-US" w:eastAsia="zh-CN"/>
              </w:rPr>
              <w:t>，接口</w:t>
            </w:r>
            <w:r>
              <w:rPr>
                <w:rFonts w:hint="eastAsia" w:ascii="Times New Roman" w:hAnsi="Times New Roman" w:cs="Times New Roman"/>
                <w:sz w:val="22"/>
                <w:szCs w:val="22"/>
                <w:lang w:val="en-US" w:eastAsia="zh-CN"/>
              </w:rPr>
              <w:t>≥6</w:t>
            </w:r>
            <w:r>
              <w:rPr>
                <w:rFonts w:hint="default" w:ascii="Times New Roman" w:hAnsi="Times New Roman" w:cs="Times New Roman"/>
                <w:sz w:val="22"/>
                <w:szCs w:val="22"/>
                <w:lang w:val="en-US" w:eastAsia="zh-CN"/>
              </w:rPr>
              <w:t>个</w:t>
            </w:r>
            <w:r>
              <w:rPr>
                <w:rFonts w:hint="eastAsia" w:ascii="Times New Roman" w:hAnsi="Times New Roman" w:cs="Times New Roman"/>
                <w:sz w:val="22"/>
                <w:szCs w:val="22"/>
                <w:lang w:val="en-US" w:eastAsia="zh-CN"/>
              </w:rPr>
              <w:t>千兆电</w:t>
            </w:r>
            <w:r>
              <w:rPr>
                <w:rFonts w:hint="default" w:ascii="Times New Roman" w:hAnsi="Times New Roman" w:cs="Times New Roman"/>
                <w:sz w:val="22"/>
                <w:szCs w:val="22"/>
                <w:lang w:val="en-US" w:eastAsia="zh-CN"/>
              </w:rPr>
              <w:t>口，</w:t>
            </w:r>
            <w:r>
              <w:rPr>
                <w:rFonts w:hint="eastAsia" w:ascii="Times New Roman" w:hAnsi="Times New Roman" w:cs="Times New Roman"/>
                <w:sz w:val="22"/>
                <w:szCs w:val="22"/>
                <w:lang w:val="en-US" w:eastAsia="zh-CN"/>
              </w:rPr>
              <w:t>≥</w:t>
            </w:r>
            <w:r>
              <w:rPr>
                <w:rFonts w:hint="default" w:ascii="Times New Roman" w:hAnsi="Times New Roman" w:cs="Times New Roman"/>
                <w:sz w:val="22"/>
                <w:szCs w:val="22"/>
                <w:lang w:val="en-US" w:eastAsia="zh-CN"/>
              </w:rPr>
              <w:t>2个万兆光口；</w:t>
            </w:r>
            <w:r>
              <w:rPr>
                <w:rFonts w:hint="eastAsia" w:ascii="Times New Roman" w:hAnsi="Times New Roman" w:cs="Times New Roman"/>
                <w:b w:val="0"/>
                <w:bCs w:val="0"/>
                <w:color w:val="auto"/>
                <w:sz w:val="22"/>
                <w:szCs w:val="22"/>
                <w:lang w:val="en-US" w:eastAsia="zh-CN"/>
              </w:rPr>
              <w:t>提供3年产品质保及软件升级服务。</w:t>
            </w:r>
          </w:p>
          <w:p>
            <w:pPr>
              <w:pStyle w:val="4"/>
              <w:widowControl w:val="0"/>
              <w:numPr>
                <w:ilvl w:val="0"/>
                <w:numId w:val="1"/>
              </w:numPr>
              <w:wordWrap/>
              <w:adjustRightInd/>
              <w:snapToGrid/>
              <w:spacing w:line="240" w:lineRule="auto"/>
              <w:ind w:firstLine="0" w:firstLineChars="0"/>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需预装配套虚拟化软件，不限制存储容量，含50套并发接入授权。</w:t>
            </w:r>
          </w:p>
          <w:p>
            <w:pPr>
              <w:pStyle w:val="4"/>
              <w:widowControl w:val="0"/>
              <w:numPr>
                <w:ilvl w:val="0"/>
                <w:numId w:val="1"/>
              </w:numPr>
              <w:wordWrap/>
              <w:adjustRightInd/>
              <w:snapToGrid/>
              <w:spacing w:line="240" w:lineRule="auto"/>
              <w:ind w:firstLine="0" w:firstLineChars="0"/>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在多应用办公场景下，可针对当下使用频率较高的软件做进程加速，管理员也可自定义需做进程加速应用，以保障应用使用体验。</w:t>
            </w:r>
          </w:p>
          <w:p>
            <w:pPr>
              <w:pStyle w:val="4"/>
              <w:widowControl w:val="0"/>
              <w:numPr>
                <w:ilvl w:val="0"/>
                <w:numId w:val="1"/>
              </w:numPr>
              <w:wordWrap/>
              <w:adjustRightInd/>
              <w:snapToGrid/>
              <w:spacing w:line="240" w:lineRule="auto"/>
              <w:ind w:firstLine="0" w:firstLineChars="0"/>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支持自助快照恢复，当用户自己误操作导致</w:t>
            </w:r>
            <w:r>
              <w:rPr>
                <w:rFonts w:hint="eastAsia" w:ascii="Times New Roman" w:hAnsi="Times New Roman" w:cs="Times New Roman"/>
                <w:sz w:val="22"/>
                <w:szCs w:val="22"/>
                <w:lang w:val="en-US" w:eastAsia="zh-CN"/>
              </w:rPr>
              <w:t>桌面云</w:t>
            </w:r>
            <w:r>
              <w:rPr>
                <w:rFonts w:hint="default" w:ascii="Times New Roman" w:hAnsi="Times New Roman" w:cs="Times New Roman"/>
                <w:sz w:val="22"/>
                <w:szCs w:val="22"/>
                <w:lang w:val="en-US" w:eastAsia="zh-CN"/>
              </w:rPr>
              <w:t>卡慢、蓝屏、死机或者中病毒的时候，通过导航条按钮，可以自助进行系统盘快照还原操作。</w:t>
            </w:r>
          </w:p>
          <w:p>
            <w:pPr>
              <w:pStyle w:val="4"/>
              <w:widowControl w:val="0"/>
              <w:numPr>
                <w:ilvl w:val="0"/>
                <w:numId w:val="1"/>
              </w:numPr>
              <w:wordWrap/>
              <w:adjustRightInd/>
              <w:snapToGrid/>
              <w:spacing w:line="240" w:lineRule="auto"/>
              <w:ind w:firstLine="0" w:firstLineChars="0"/>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用户</w:t>
            </w:r>
            <w:r>
              <w:rPr>
                <w:rFonts w:hint="default" w:ascii="Times New Roman" w:hAnsi="Times New Roman" w:cs="Times New Roman"/>
                <w:sz w:val="22"/>
                <w:szCs w:val="22"/>
                <w:lang w:val="en-US" w:eastAsia="zh-CN"/>
              </w:rPr>
              <w:t>可自助申请虚拟机配置变更，由管理员审核，管理员可以选择审批通过、修改申请配置后申请通过、驳回</w:t>
            </w:r>
            <w:r>
              <w:rPr>
                <w:rFonts w:hint="eastAsia" w:ascii="Times New Roman" w:hAnsi="Times New Roman" w:cs="Times New Roman"/>
                <w:sz w:val="22"/>
                <w:szCs w:val="22"/>
                <w:lang w:val="en-US" w:eastAsia="zh-CN"/>
              </w:rPr>
              <w:t>等</w:t>
            </w:r>
            <w:r>
              <w:rPr>
                <w:rFonts w:hint="default" w:ascii="Times New Roman" w:hAnsi="Times New Roman" w:cs="Times New Roman"/>
                <w:sz w:val="22"/>
                <w:szCs w:val="22"/>
                <w:lang w:val="en-US" w:eastAsia="zh-CN"/>
              </w:rPr>
              <w:t>操作，审核通过资源自动加到用户虚拟机上。</w:t>
            </w:r>
          </w:p>
          <w:p>
            <w:pPr>
              <w:pStyle w:val="4"/>
              <w:widowControl w:val="0"/>
              <w:numPr>
                <w:ilvl w:val="0"/>
                <w:numId w:val="1"/>
              </w:numPr>
              <w:wordWrap/>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default" w:ascii="Times New Roman" w:hAnsi="Times New Roman" w:cs="Times New Roman"/>
                <w:sz w:val="22"/>
                <w:szCs w:val="22"/>
                <w:lang w:val="en-US" w:eastAsia="zh-CN"/>
              </w:rPr>
              <w:t>需支持临时权限，管理员</w:t>
            </w:r>
            <w:r>
              <w:rPr>
                <w:rFonts w:hint="eastAsia" w:ascii="Times New Roman" w:hAnsi="Times New Roman" w:cs="Times New Roman"/>
                <w:sz w:val="22"/>
                <w:szCs w:val="22"/>
                <w:lang w:val="en-US" w:eastAsia="zh-CN"/>
              </w:rPr>
              <w:t>可</w:t>
            </w:r>
            <w:r>
              <w:rPr>
                <w:rFonts w:hint="default" w:ascii="Times New Roman" w:hAnsi="Times New Roman" w:cs="Times New Roman"/>
                <w:sz w:val="22"/>
                <w:szCs w:val="22"/>
                <w:lang w:val="en-US" w:eastAsia="zh-CN"/>
              </w:rPr>
              <w:t>为部分用户临时在某个时间段内放通usb和pc剪切板等权限，并在到期后自动回收该权限，</w:t>
            </w:r>
            <w:r>
              <w:rPr>
                <w:rFonts w:hint="eastAsia" w:ascii="Times New Roman" w:hAnsi="Times New Roman" w:cs="Times New Roman"/>
                <w:sz w:val="22"/>
                <w:szCs w:val="22"/>
                <w:lang w:val="en-US" w:eastAsia="zh-CN"/>
              </w:rPr>
              <w:t>保障</w:t>
            </w:r>
            <w:r>
              <w:rPr>
                <w:rFonts w:hint="default" w:ascii="Times New Roman" w:hAnsi="Times New Roman" w:cs="Times New Roman"/>
                <w:sz w:val="22"/>
                <w:szCs w:val="22"/>
                <w:lang w:val="en-US" w:eastAsia="zh-CN"/>
              </w:rPr>
              <w:t>数据安全。</w:t>
            </w:r>
          </w:p>
          <w:p>
            <w:pPr>
              <w:pStyle w:val="4"/>
              <w:widowControl w:val="0"/>
              <w:numPr>
                <w:ilvl w:val="0"/>
                <w:numId w:val="1"/>
              </w:numPr>
              <w:wordWrap/>
              <w:adjustRightInd/>
              <w:snapToGrid/>
              <w:spacing w:line="240" w:lineRule="auto"/>
              <w:ind w:firstLine="0" w:firstLineChars="0"/>
              <w:textAlignment w:val="auto"/>
              <w:rPr>
                <w:rFonts w:hint="eastAsia" w:ascii="仿宋_GB2312" w:hAnsi="仿宋_GB2312" w:eastAsia="仿宋_GB2312" w:cs="仿宋_GB2312"/>
                <w:sz w:val="24"/>
                <w:szCs w:val="24"/>
                <w:lang w:val="en-US" w:eastAsia="zh-CN"/>
              </w:rPr>
            </w:pPr>
            <w:r>
              <w:rPr>
                <w:rFonts w:hint="eastAsia" w:ascii="宋体" w:hAnsi="宋体" w:eastAsia="宋体" w:cs="宋体"/>
                <w:sz w:val="22"/>
                <w:szCs w:val="22"/>
                <w:lang w:val="en-US" w:eastAsia="zh-CN"/>
              </w:rPr>
              <w:t>支持管理平台监控和统计用户流量和并发用户趋势，以方便管理员及时调整网络带宽。</w:t>
            </w:r>
          </w:p>
        </w:tc>
        <w:tc>
          <w:tcPr>
            <w:tcW w:w="862" w:type="dxa"/>
            <w:vAlign w:val="center"/>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exact"/>
        </w:trPr>
        <w:tc>
          <w:tcPr>
            <w:tcW w:w="930" w:type="dxa"/>
            <w:vAlign w:val="center"/>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896" w:type="dxa"/>
            <w:vAlign w:val="center"/>
          </w:tcPr>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桌面云瘦终端</w:t>
            </w:r>
          </w:p>
        </w:tc>
        <w:tc>
          <w:tcPr>
            <w:tcW w:w="6108" w:type="dxa"/>
            <w:vAlign w:val="top"/>
          </w:tcPr>
          <w:p>
            <w:pPr>
              <w:pStyle w:val="4"/>
              <w:widowControl w:val="0"/>
              <w:numPr>
                <w:ilvl w:val="0"/>
                <w:numId w:val="2"/>
              </w:numPr>
              <w:wordWrap/>
              <w:adjustRightInd/>
              <w:snapToGrid/>
              <w:spacing w:line="240" w:lineRule="auto"/>
              <w:ind w:firstLine="0" w:firstLineChars="0"/>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CPU≥1颗A55</w:t>
            </w:r>
            <w:r>
              <w:rPr>
                <w:rFonts w:hint="default" w:ascii="Times New Roman" w:hAnsi="Times New Roman" w:cs="Times New Roman"/>
                <w:sz w:val="22"/>
                <w:szCs w:val="22"/>
                <w:lang w:val="en-US" w:eastAsia="zh-CN"/>
              </w:rPr>
              <w:t>，主频</w:t>
            </w:r>
            <w:r>
              <w:rPr>
                <w:rFonts w:hint="eastAsia" w:ascii="Times New Roman" w:hAnsi="Times New Roman" w:cs="Times New Roman"/>
                <w:sz w:val="22"/>
                <w:szCs w:val="22"/>
                <w:lang w:val="en-US" w:eastAsia="zh-CN"/>
              </w:rPr>
              <w:t>≥1.8</w:t>
            </w:r>
            <w:r>
              <w:rPr>
                <w:rFonts w:hint="default" w:ascii="Times New Roman" w:hAnsi="Times New Roman" w:cs="Times New Roman"/>
                <w:sz w:val="22"/>
                <w:szCs w:val="22"/>
                <w:lang w:val="en-US" w:eastAsia="zh-CN"/>
              </w:rPr>
              <w:t>GHz，内存</w:t>
            </w:r>
            <w:r>
              <w:rPr>
                <w:rFonts w:hint="eastAsia" w:ascii="Times New Roman" w:hAnsi="Times New Roman" w:cs="Times New Roman"/>
                <w:sz w:val="22"/>
                <w:szCs w:val="22"/>
                <w:lang w:val="en-US" w:eastAsia="zh-CN"/>
              </w:rPr>
              <w:t>≥2</w:t>
            </w:r>
            <w:r>
              <w:rPr>
                <w:rFonts w:hint="default" w:ascii="Times New Roman" w:hAnsi="Times New Roman" w:cs="Times New Roman"/>
                <w:sz w:val="22"/>
                <w:szCs w:val="22"/>
                <w:lang w:val="en-US" w:eastAsia="zh-CN"/>
              </w:rPr>
              <w:t>G，</w:t>
            </w:r>
            <w:r>
              <w:rPr>
                <w:rFonts w:hint="eastAsia" w:ascii="Times New Roman" w:hAnsi="Times New Roman" w:cs="Times New Roman"/>
                <w:sz w:val="22"/>
                <w:szCs w:val="22"/>
                <w:lang w:val="en-US" w:eastAsia="zh-CN"/>
              </w:rPr>
              <w:t>硬盘容量≥8G</w:t>
            </w:r>
            <w:r>
              <w:rPr>
                <w:rFonts w:hint="default" w:ascii="Times New Roman" w:hAnsi="Times New Roman" w:cs="Times New Roman"/>
                <w:sz w:val="22"/>
                <w:szCs w:val="22"/>
                <w:lang w:val="en-US" w:eastAsia="zh-CN"/>
              </w:rPr>
              <w:t>，接口</w:t>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lang w:val="en-US" w:eastAsia="zh-CN"/>
              </w:rPr>
              <w:t>个</w:t>
            </w:r>
            <w:r>
              <w:rPr>
                <w:rFonts w:hint="eastAsia" w:ascii="Times New Roman" w:hAnsi="Times New Roman" w:cs="Times New Roman"/>
                <w:sz w:val="22"/>
                <w:szCs w:val="22"/>
                <w:lang w:val="en-US" w:eastAsia="zh-CN"/>
              </w:rPr>
              <w:t>千兆电</w:t>
            </w:r>
            <w:r>
              <w:rPr>
                <w:rFonts w:hint="default" w:ascii="Times New Roman" w:hAnsi="Times New Roman" w:cs="Times New Roman"/>
                <w:sz w:val="22"/>
                <w:szCs w:val="22"/>
                <w:lang w:val="en-US" w:eastAsia="zh-CN"/>
              </w:rPr>
              <w:t>口</w:t>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lang w:val="en-US" w:eastAsia="zh-CN"/>
              </w:rPr>
              <w:t>个</w:t>
            </w:r>
            <w:r>
              <w:rPr>
                <w:rFonts w:hint="eastAsia" w:ascii="Times New Roman" w:hAnsi="Times New Roman" w:cs="Times New Roman"/>
                <w:sz w:val="22"/>
                <w:szCs w:val="22"/>
                <w:lang w:val="en-US" w:eastAsia="zh-CN"/>
              </w:rPr>
              <w:t>VGA</w:t>
            </w:r>
            <w:r>
              <w:rPr>
                <w:rFonts w:hint="default" w:ascii="Times New Roman" w:hAnsi="Times New Roman" w:cs="Times New Roman"/>
                <w:sz w:val="22"/>
                <w:szCs w:val="22"/>
                <w:lang w:val="en-US" w:eastAsia="zh-CN"/>
              </w:rPr>
              <w:t>口</w:t>
            </w:r>
            <w:r>
              <w:rPr>
                <w:rFonts w:hint="eastAsia" w:ascii="Times New Roman" w:hAnsi="Times New Roman" w:cs="Times New Roman"/>
                <w:sz w:val="22"/>
                <w:szCs w:val="22"/>
                <w:lang w:val="en-US" w:eastAsia="zh-CN"/>
              </w:rPr>
              <w:t>、≥1个HDMI口，USB接口：≥4个USB2.0+2个USB3.0</w:t>
            </w:r>
            <w:r>
              <w:rPr>
                <w:rFonts w:hint="default" w:ascii="Times New Roman" w:hAnsi="Times New Roman" w:cs="Times New Roman"/>
                <w:sz w:val="22"/>
                <w:szCs w:val="22"/>
                <w:lang w:val="en-US" w:eastAsia="zh-CN"/>
              </w:rPr>
              <w:t>；</w:t>
            </w:r>
            <w:r>
              <w:rPr>
                <w:rFonts w:hint="eastAsia" w:ascii="Times New Roman" w:hAnsi="Times New Roman" w:cs="Times New Roman"/>
                <w:b w:val="0"/>
                <w:bCs w:val="0"/>
                <w:color w:val="auto"/>
                <w:sz w:val="22"/>
                <w:szCs w:val="22"/>
                <w:lang w:val="en-US" w:eastAsia="zh-CN"/>
              </w:rPr>
              <w:t>提供3年产品质保服务。</w:t>
            </w:r>
          </w:p>
          <w:p>
            <w:pPr>
              <w:pStyle w:val="4"/>
              <w:widowControl w:val="0"/>
              <w:numPr>
                <w:ilvl w:val="0"/>
                <w:numId w:val="2"/>
              </w:numPr>
              <w:wordWrap/>
              <w:adjustRightInd/>
              <w:snapToGrid/>
              <w:spacing w:line="240" w:lineRule="auto"/>
              <w:ind w:firstLine="0" w:firstLineChars="0"/>
              <w:textAlignment w:val="auto"/>
              <w:rPr>
                <w:rFonts w:hint="eastAsia" w:ascii="仿宋_GB2312" w:hAnsi="仿宋_GB2312" w:eastAsia="仿宋_GB2312" w:cs="仿宋_GB2312"/>
                <w:sz w:val="24"/>
                <w:szCs w:val="24"/>
              </w:rPr>
            </w:pPr>
            <w:r>
              <w:rPr>
                <w:rFonts w:hint="eastAsia" w:ascii="Times New Roman" w:hAnsi="Times New Roman" w:cs="Times New Roman"/>
                <w:sz w:val="22"/>
                <w:szCs w:val="22"/>
                <w:lang w:val="en-US" w:eastAsia="zh-CN"/>
              </w:rPr>
              <w:t>支持与胖终端</w:t>
            </w:r>
            <w:r>
              <w:rPr>
                <w:rFonts w:hint="default" w:ascii="Times New Roman" w:hAnsi="Times New Roman" w:cs="Times New Roman"/>
                <w:sz w:val="22"/>
                <w:szCs w:val="22"/>
                <w:lang w:val="en-US" w:eastAsia="zh-CN"/>
              </w:rPr>
              <w:t>统一管理，降低管理难度。</w:t>
            </w:r>
          </w:p>
        </w:tc>
        <w:tc>
          <w:tcPr>
            <w:tcW w:w="862" w:type="dxa"/>
            <w:vAlign w:val="center"/>
          </w:tcPr>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exact"/>
        </w:trPr>
        <w:tc>
          <w:tcPr>
            <w:tcW w:w="930" w:type="dxa"/>
            <w:vAlign w:val="center"/>
          </w:tcPr>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896" w:type="dxa"/>
            <w:vAlign w:val="center"/>
          </w:tcPr>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桌面云胖终端</w:t>
            </w:r>
          </w:p>
        </w:tc>
        <w:tc>
          <w:tcPr>
            <w:tcW w:w="6108" w:type="dxa"/>
            <w:vAlign w:val="top"/>
          </w:tcPr>
          <w:p>
            <w:pPr>
              <w:pStyle w:val="4"/>
              <w:widowControl w:val="0"/>
              <w:numPr>
                <w:ilvl w:val="0"/>
                <w:numId w:val="3"/>
              </w:numPr>
              <w:wordWrap/>
              <w:adjustRightInd/>
              <w:snapToGrid/>
              <w:spacing w:line="240" w:lineRule="auto"/>
              <w:ind w:firstLine="0" w:firstLineChars="0"/>
              <w:textAlignment w:val="auto"/>
              <w:rPr>
                <w:rFonts w:hint="default" w:ascii="Times New Roman" w:hAnsi="Times New Roman" w:cs="Times New Roman"/>
                <w:color w:val="FF0000"/>
                <w:sz w:val="22"/>
                <w:szCs w:val="22"/>
                <w:lang w:val="en-US" w:eastAsia="zh-CN"/>
              </w:rPr>
            </w:pPr>
            <w:r>
              <w:rPr>
                <w:rFonts w:hint="eastAsia" w:ascii="Times New Roman" w:hAnsi="Times New Roman" w:cs="Times New Roman"/>
                <w:sz w:val="22"/>
                <w:szCs w:val="22"/>
                <w:lang w:val="en-US" w:eastAsia="zh-CN"/>
              </w:rPr>
              <w:t>CPU≥1颗I5-10400</w:t>
            </w:r>
            <w:r>
              <w:rPr>
                <w:rFonts w:hint="default" w:ascii="Times New Roman" w:hAnsi="Times New Roman" w:cs="Times New Roman"/>
                <w:sz w:val="22"/>
                <w:szCs w:val="22"/>
                <w:lang w:val="en-US" w:eastAsia="zh-CN"/>
              </w:rPr>
              <w:t>，主频</w:t>
            </w:r>
            <w:r>
              <w:rPr>
                <w:rFonts w:hint="eastAsia" w:ascii="Times New Roman" w:hAnsi="Times New Roman" w:cs="Times New Roman"/>
                <w:sz w:val="22"/>
                <w:szCs w:val="22"/>
                <w:lang w:val="en-US" w:eastAsia="zh-CN"/>
              </w:rPr>
              <w:t>≥2.9</w:t>
            </w:r>
            <w:r>
              <w:rPr>
                <w:rFonts w:hint="default" w:ascii="Times New Roman" w:hAnsi="Times New Roman" w:cs="Times New Roman"/>
                <w:sz w:val="22"/>
                <w:szCs w:val="22"/>
                <w:lang w:val="en-US" w:eastAsia="zh-CN"/>
              </w:rPr>
              <w:t>GHz，内存</w:t>
            </w:r>
            <w:r>
              <w:rPr>
                <w:rFonts w:hint="eastAsia" w:ascii="Times New Roman" w:hAnsi="Times New Roman" w:cs="Times New Roman"/>
                <w:sz w:val="22"/>
                <w:szCs w:val="22"/>
                <w:lang w:val="en-US" w:eastAsia="zh-CN"/>
              </w:rPr>
              <w:t>≥16</w:t>
            </w:r>
            <w:r>
              <w:rPr>
                <w:rFonts w:hint="default" w:ascii="Times New Roman" w:hAnsi="Times New Roman" w:cs="Times New Roman"/>
                <w:sz w:val="22"/>
                <w:szCs w:val="22"/>
                <w:lang w:val="en-US" w:eastAsia="zh-CN"/>
              </w:rPr>
              <w:t>G，</w:t>
            </w:r>
            <w:r>
              <w:rPr>
                <w:rFonts w:hint="eastAsia" w:ascii="Times New Roman" w:hAnsi="Times New Roman" w:cs="Times New Roman"/>
                <w:sz w:val="22"/>
                <w:szCs w:val="22"/>
                <w:lang w:val="en-US" w:eastAsia="zh-CN"/>
              </w:rPr>
              <w:t>硬盘容量≥M.2 512G</w:t>
            </w:r>
            <w:r>
              <w:rPr>
                <w:rFonts w:hint="default" w:ascii="Times New Roman" w:hAnsi="Times New Roman" w:cs="Times New Roman"/>
                <w:sz w:val="22"/>
                <w:szCs w:val="22"/>
                <w:lang w:val="en-US" w:eastAsia="zh-CN"/>
              </w:rPr>
              <w:t>，接口</w:t>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lang w:val="en-US" w:eastAsia="zh-CN"/>
              </w:rPr>
              <w:t>个</w:t>
            </w:r>
            <w:r>
              <w:rPr>
                <w:rFonts w:hint="eastAsia" w:ascii="Times New Roman" w:hAnsi="Times New Roman" w:cs="Times New Roman"/>
                <w:sz w:val="22"/>
                <w:szCs w:val="22"/>
                <w:lang w:val="en-US" w:eastAsia="zh-CN"/>
              </w:rPr>
              <w:t>千兆电</w:t>
            </w:r>
            <w:r>
              <w:rPr>
                <w:rFonts w:hint="default" w:ascii="Times New Roman" w:hAnsi="Times New Roman" w:cs="Times New Roman"/>
                <w:sz w:val="22"/>
                <w:szCs w:val="22"/>
                <w:lang w:val="en-US" w:eastAsia="zh-CN"/>
              </w:rPr>
              <w:t>口</w:t>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lang w:val="en-US" w:eastAsia="zh-CN"/>
              </w:rPr>
              <w:t>个</w:t>
            </w:r>
            <w:r>
              <w:rPr>
                <w:rFonts w:hint="eastAsia" w:ascii="Times New Roman" w:hAnsi="Times New Roman" w:cs="Times New Roman"/>
                <w:sz w:val="22"/>
                <w:szCs w:val="22"/>
                <w:lang w:val="en-US" w:eastAsia="zh-CN"/>
              </w:rPr>
              <w:t>VGA</w:t>
            </w:r>
            <w:r>
              <w:rPr>
                <w:rFonts w:hint="default" w:ascii="Times New Roman" w:hAnsi="Times New Roman" w:cs="Times New Roman"/>
                <w:sz w:val="22"/>
                <w:szCs w:val="22"/>
                <w:lang w:val="en-US" w:eastAsia="zh-CN"/>
              </w:rPr>
              <w:t>口</w:t>
            </w:r>
            <w:r>
              <w:rPr>
                <w:rFonts w:hint="eastAsia" w:ascii="Times New Roman" w:hAnsi="Times New Roman" w:cs="Times New Roman"/>
                <w:sz w:val="22"/>
                <w:szCs w:val="22"/>
                <w:lang w:val="en-US" w:eastAsia="zh-CN"/>
              </w:rPr>
              <w:t>、≥1个HDMI口，USB接口：≥4个USB2.0+4个USB3.0</w:t>
            </w:r>
            <w:r>
              <w:rPr>
                <w:rFonts w:hint="default" w:ascii="Times New Roman" w:hAnsi="Times New Roman" w:cs="Times New Roman"/>
                <w:sz w:val="22"/>
                <w:szCs w:val="22"/>
                <w:lang w:val="en-US" w:eastAsia="zh-CN"/>
              </w:rPr>
              <w:t>；</w:t>
            </w:r>
            <w:r>
              <w:rPr>
                <w:rFonts w:hint="eastAsia" w:ascii="Times New Roman" w:hAnsi="Times New Roman" w:cs="Times New Roman"/>
                <w:b w:val="0"/>
                <w:bCs w:val="0"/>
                <w:color w:val="auto"/>
                <w:sz w:val="22"/>
                <w:szCs w:val="22"/>
                <w:lang w:val="en-US" w:eastAsia="zh-CN"/>
              </w:rPr>
              <w:t>提供3年产品质保及软件升级服务。</w:t>
            </w:r>
          </w:p>
          <w:p>
            <w:pPr>
              <w:pStyle w:val="4"/>
              <w:widowControl w:val="0"/>
              <w:numPr>
                <w:ilvl w:val="0"/>
                <w:numId w:val="3"/>
              </w:numPr>
              <w:wordWrap/>
              <w:adjustRightInd/>
              <w:snapToGrid/>
              <w:spacing w:line="240" w:lineRule="auto"/>
              <w:ind w:firstLine="0" w:firstLineChars="0"/>
              <w:textAlignment w:val="auto"/>
              <w:rPr>
                <w:rFonts w:hint="eastAsia" w:ascii="仿宋_GB2312" w:hAnsi="仿宋_GB2312" w:eastAsia="仿宋_GB2312" w:cs="仿宋_GB2312"/>
                <w:sz w:val="24"/>
                <w:szCs w:val="24"/>
              </w:rPr>
            </w:pPr>
            <w:r>
              <w:rPr>
                <w:rFonts w:hint="eastAsia" w:ascii="Times New Roman" w:hAnsi="Times New Roman" w:cs="Times New Roman"/>
                <w:sz w:val="22"/>
                <w:szCs w:val="22"/>
                <w:lang w:val="en-US" w:eastAsia="zh-CN"/>
              </w:rPr>
              <w:t>支持与</w:t>
            </w:r>
            <w:r>
              <w:rPr>
                <w:rFonts w:hint="default" w:ascii="Times New Roman" w:hAnsi="Times New Roman" w:cs="Times New Roman"/>
                <w:sz w:val="22"/>
                <w:szCs w:val="22"/>
                <w:lang w:val="en-US" w:eastAsia="zh-CN"/>
              </w:rPr>
              <w:t>瘦终端统一管理，降低管理难度。</w:t>
            </w:r>
          </w:p>
        </w:tc>
        <w:tc>
          <w:tcPr>
            <w:tcW w:w="862" w:type="dxa"/>
            <w:vAlign w:val="center"/>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3套</w:t>
            </w:r>
          </w:p>
        </w:tc>
      </w:tr>
    </w:tbl>
    <w:p>
      <w:pPr>
        <w:pStyle w:val="10"/>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、合同包（</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20"/>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 w:type="dxa"/>
            <w:vAlign w:val="center"/>
          </w:tcPr>
          <w:p>
            <w:pPr>
              <w:pStyle w:val="10"/>
              <w:spacing w:beforeLines="50"/>
              <w:rPr>
                <w:rFonts w:ascii="仿宋_GB2312" w:hAnsi="仿宋_GB2312" w:cs="仿宋_GB2312"/>
                <w:sz w:val="32"/>
                <w:szCs w:val="32"/>
              </w:rPr>
            </w:pPr>
            <w:r>
              <w:rPr>
                <w:rFonts w:hint="eastAsia" w:ascii="仿宋_GB2312" w:hAnsi="仿宋_GB2312" w:cs="仿宋_GB2312"/>
                <w:sz w:val="28"/>
                <w:szCs w:val="28"/>
              </w:rPr>
              <w:t>序号</w:t>
            </w:r>
          </w:p>
        </w:tc>
        <w:tc>
          <w:tcPr>
            <w:tcW w:w="1420" w:type="dxa"/>
            <w:vAlign w:val="center"/>
          </w:tcPr>
          <w:p>
            <w:pPr>
              <w:pStyle w:val="10"/>
              <w:spacing w:beforeLines="50"/>
              <w:rPr>
                <w:rFonts w:ascii="仿宋_GB2312" w:hAnsi="仿宋_GB2312" w:cs="仿宋_GB2312"/>
                <w:sz w:val="32"/>
                <w:szCs w:val="32"/>
              </w:rPr>
            </w:pPr>
            <w:r>
              <w:rPr>
                <w:rFonts w:hint="eastAsia" w:ascii="仿宋_GB2312" w:hAnsi="仿宋_GB2312" w:cs="仿宋_GB2312"/>
                <w:sz w:val="28"/>
                <w:szCs w:val="28"/>
              </w:rPr>
              <w:t>项目</w:t>
            </w:r>
          </w:p>
        </w:tc>
        <w:tc>
          <w:tcPr>
            <w:tcW w:w="6946" w:type="dxa"/>
            <w:vAlign w:val="center"/>
          </w:tcPr>
          <w:p>
            <w:pPr>
              <w:pStyle w:val="10"/>
              <w:spacing w:beforeLines="50"/>
              <w:rPr>
                <w:rFonts w:ascii="仿宋_GB2312" w:hAnsi="仿宋_GB2312" w:cs="仿宋_GB2312"/>
                <w:sz w:val="32"/>
                <w:szCs w:val="32"/>
              </w:rPr>
            </w:pPr>
            <w:r>
              <w:rPr>
                <w:rFonts w:hint="eastAsia" w:ascii="仿宋_GB2312" w:hAnsi="仿宋_GB2312" w:cs="仿宋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 w:type="dxa"/>
            <w:vAlign w:val="top"/>
          </w:tcPr>
          <w:p>
            <w:pPr>
              <w:pStyle w:val="10"/>
              <w:spacing w:beforeLines="50"/>
              <w:rPr>
                <w:rFonts w:ascii="仿宋_GB2312" w:hAnsi="仿宋_GB2312" w:cs="仿宋_GB2312"/>
                <w:sz w:val="32"/>
                <w:szCs w:val="32"/>
              </w:rPr>
            </w:pPr>
            <w:r>
              <w:rPr>
                <w:rFonts w:hint="eastAsia" w:ascii="仿宋_GB2312" w:hAnsi="仿宋_GB2312" w:cs="仿宋_GB2312"/>
                <w:sz w:val="32"/>
                <w:szCs w:val="32"/>
              </w:rPr>
              <w:t>1</w:t>
            </w:r>
          </w:p>
        </w:tc>
        <w:tc>
          <w:tcPr>
            <w:tcW w:w="1420" w:type="dxa"/>
            <w:vAlign w:val="top"/>
          </w:tcPr>
          <w:p>
            <w:pPr>
              <w:pStyle w:val="10"/>
              <w:spacing w:beforeLines="50"/>
              <w:rPr>
                <w:rFonts w:ascii="仿宋_GB2312" w:hAnsi="仿宋_GB2312" w:cs="仿宋_GB2312"/>
                <w:sz w:val="32"/>
                <w:szCs w:val="32"/>
              </w:rPr>
            </w:pPr>
            <w:r>
              <w:rPr>
                <w:rFonts w:hint="eastAsia" w:ascii="仿宋_GB2312" w:hAnsi="仿宋_GB2312" w:cs="仿宋_GB2312"/>
                <w:sz w:val="32"/>
                <w:szCs w:val="32"/>
              </w:rPr>
              <w:t>网闸</w:t>
            </w:r>
          </w:p>
        </w:tc>
        <w:tc>
          <w:tcPr>
            <w:tcW w:w="6946" w:type="dxa"/>
            <w:vAlign w:val="top"/>
          </w:tcPr>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标准2U机架式设备;内端机9个千兆电口、1个控制口、2个USB接口、2个扩展槽；外端机9个千兆电口、1个控制口、2个USB接口、2个扩展槽；整机可支持≥50个千兆接口;网络吞吐≥1.8Gbps；系统延时&lt; 1ms；MTBF≥50,000小时 ；最大并发连接数:300,000;无用户数限制。</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采用2+1系统架构即由内网单元、外网单元及安全数据交换单元三个物理部件组成；</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设备支持透明、代理、路由、WEB代理工作模式，可设定安全通道的传输方向；（提供功能截图，为防止虚假应标，采购人有权保留测试权利）</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设备内置各类常用应用支持模块，内置的应用至少包含HTTP、SSL、FTP、POP3、SMTP、FTP、SMB、MYSQL、SQL、ORACLE；可根据应用协议的命令、动作、参数进行控制；支持自定义应用，支持应用组，支持根据应用启停日志记录功能；</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支持访问控制，对象包括：源地址、目标地址、应用、时间、并发数等；支持内容关键字、文件类型过滤；支持病毒检测功能；</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内置视频交换功能，支持平台级联和视频点播两种模式；支持海康、华为、华三、大华、公安一所、科达等多个视频厂商；（提供功能截图，为防止虚假应标，采购人有权保留测试权利）</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支持数据库应用代理访问，支持的数据库种类包括ORACLE、SQLSERVER、MYSQL、SYBASE等主流数据库；可根据SQL命令进行控制，如不允许DELETE等；</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设备自身支持数据库应用同步功能，无需另装同步软件；支持ORACLE、SQLSERVER、MYSQL、SYBASE、DB2、POSTGRESQL等多种主流数据库的同步，支持国产达梦数据库、人大金仓数据库的同步；</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设备自身支持文件同步功能，无需另装同步软件；支持单、双向同步；支持文件类型过滤；支持同步备份功能；</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支持设备配置的导入、导出、备份还原功能；支持自动备份功能，会自动备份配置并上传到服务器；</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具有完整的审计日志：系统日志、管理日志、访问日志、攻击日志、内容过滤日志、文件交换日志、数据库交换日志；日志支持SYSLOG外传；</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具有状态监控功能，可以监控内外端的CPU、内存等系统状态；可实时监控网络吞吐量、活动连接等网络状态；可监控工作模式、启用模块、当前策略等运行状态；</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为保障技术的先进性，所投</w:t>
            </w:r>
            <w:r>
              <w:rPr>
                <w:rFonts w:hint="eastAsia" w:ascii="宋体" w:hAnsi="宋体"/>
                <w:color w:val="000000"/>
                <w:sz w:val="24"/>
              </w:rPr>
              <w:t>安全隔离与信息交换系统（网闸）采用一种具有防护结构的网络数据传输装置技术及计算机网络安全隔离装置技术。</w:t>
            </w:r>
            <w:r>
              <w:rPr>
                <w:rFonts w:hint="eastAsia" w:ascii="宋体" w:hAnsi="宋体" w:cs="宋体"/>
                <w:color w:val="000000"/>
                <w:sz w:val="24"/>
                <w:lang w:eastAsia="zh-CN"/>
              </w:rPr>
              <w:t>我院</w:t>
            </w:r>
            <w:r>
              <w:rPr>
                <w:rFonts w:hint="eastAsia" w:ascii="宋体" w:hAnsi="宋体" w:cs="宋体"/>
                <w:color w:val="000000"/>
                <w:sz w:val="24"/>
              </w:rPr>
              <w:t>有权要求中标的报价人在中标后3个工作日内提供</w:t>
            </w:r>
            <w:r>
              <w:rPr>
                <w:rFonts w:hint="eastAsia" w:ascii="宋体" w:hAnsi="宋体"/>
                <w:color w:val="000000"/>
                <w:sz w:val="24"/>
              </w:rPr>
              <w:t>相关技术认证证书明材料</w:t>
            </w:r>
            <w:r>
              <w:rPr>
                <w:rFonts w:hint="eastAsia" w:ascii="宋体" w:hAnsi="宋体" w:cs="宋体"/>
                <w:color w:val="000000"/>
                <w:sz w:val="24"/>
              </w:rPr>
              <w:t>，若中标人无法满足要求，则</w:t>
            </w:r>
            <w:r>
              <w:rPr>
                <w:rFonts w:hint="eastAsia" w:ascii="宋体" w:hAnsi="宋体" w:cs="宋体"/>
                <w:color w:val="000000"/>
                <w:sz w:val="24"/>
                <w:lang w:eastAsia="zh-CN"/>
              </w:rPr>
              <w:t>我院</w:t>
            </w:r>
            <w:r>
              <w:rPr>
                <w:rFonts w:hint="eastAsia" w:ascii="宋体" w:hAnsi="宋体" w:cs="宋体"/>
                <w:color w:val="000000"/>
                <w:sz w:val="24"/>
              </w:rPr>
              <w:t>有权取消中标人的中选资格。</w:t>
            </w:r>
          </w:p>
          <w:p>
            <w:pPr>
              <w:pStyle w:val="16"/>
              <w:widowControl/>
              <w:numPr>
                <w:ilvl w:val="0"/>
                <w:numId w:val="4"/>
              </w:numPr>
              <w:adjustRightInd w:val="0"/>
              <w:snapToGrid w:val="0"/>
              <w:ind w:firstLineChars="0"/>
              <w:rPr>
                <w:rFonts w:ascii="宋体" w:hAnsi="宋体" w:cs="宋体"/>
                <w:color w:val="000000"/>
                <w:sz w:val="24"/>
              </w:rPr>
            </w:pPr>
            <w:r>
              <w:rPr>
                <w:rFonts w:hint="eastAsia" w:ascii="宋体" w:hAnsi="宋体" w:cs="宋体"/>
                <w:color w:val="000000"/>
                <w:sz w:val="24"/>
              </w:rPr>
              <w:t>为保障产品质量、安全性及应急</w:t>
            </w:r>
            <w:r>
              <w:rPr>
                <w:rFonts w:hint="eastAsia" w:ascii="宋体" w:hAnsi="宋体"/>
                <w:color w:val="000000"/>
                <w:sz w:val="24"/>
              </w:rPr>
              <w:t>响应</w:t>
            </w:r>
            <w:r>
              <w:rPr>
                <w:rFonts w:hint="eastAsia" w:ascii="宋体" w:hAnsi="宋体" w:cs="宋体"/>
                <w:color w:val="000000"/>
                <w:sz w:val="24"/>
              </w:rPr>
              <w:t>效率，所投</w:t>
            </w:r>
            <w:r>
              <w:rPr>
                <w:rFonts w:hint="eastAsia" w:ascii="宋体" w:hAnsi="宋体"/>
                <w:color w:val="000000"/>
                <w:sz w:val="24"/>
              </w:rPr>
              <w:t>安全隔离与信息交换系统（网闸）</w:t>
            </w:r>
            <w:r>
              <w:rPr>
                <w:rFonts w:hint="eastAsia" w:ascii="宋体" w:hAnsi="宋体" w:cs="宋体"/>
                <w:color w:val="000000"/>
                <w:sz w:val="24"/>
              </w:rPr>
              <w:t>设备厂商具备供应链安全管理体系认证(ISO28000）、隐私信息管理体系（ISO 27701）资质、商品售后服务评价认证（七星级及以上）、省级（或以上）公安部门网络安全事件应急处置安全服务(含试点)单位证书及省级（或以上）网络与信息安全信息通报中心支撑单位证书。</w:t>
            </w:r>
            <w:r>
              <w:rPr>
                <w:rFonts w:hint="eastAsia" w:ascii="宋体" w:hAnsi="宋体" w:cs="宋体"/>
                <w:color w:val="000000"/>
                <w:sz w:val="24"/>
                <w:lang w:eastAsia="zh-CN"/>
              </w:rPr>
              <w:t>我院</w:t>
            </w:r>
            <w:r>
              <w:rPr>
                <w:rFonts w:hint="eastAsia" w:ascii="宋体" w:hAnsi="宋体" w:cs="宋体"/>
                <w:color w:val="000000"/>
                <w:sz w:val="24"/>
              </w:rPr>
              <w:t>有权要求中标的报价人在中标后3个工作日内提供相关证书复印件，若中标人无法满足要求，则</w:t>
            </w:r>
            <w:r>
              <w:rPr>
                <w:rFonts w:hint="eastAsia" w:ascii="宋体" w:hAnsi="宋体" w:cs="宋体"/>
                <w:color w:val="000000"/>
                <w:sz w:val="24"/>
                <w:lang w:eastAsia="zh-CN"/>
              </w:rPr>
              <w:t>我院</w:t>
            </w:r>
            <w:r>
              <w:rPr>
                <w:rFonts w:hint="eastAsia" w:ascii="宋体" w:hAnsi="宋体" w:cs="宋体"/>
                <w:color w:val="000000"/>
                <w:sz w:val="24"/>
              </w:rPr>
              <w:t>有权取消中标人的中选资格。</w:t>
            </w:r>
          </w:p>
        </w:tc>
      </w:tr>
    </w:tbl>
    <w:p>
      <w:pPr>
        <w:numPr>
          <w:numId w:val="0"/>
        </w:numPr>
        <w:ind w:leftChars="0"/>
        <w:jc w:val="both"/>
        <w:rPr>
          <w:rFonts w:hint="eastAsia" w:ascii="仿宋_GB2312" w:hAnsi="仿宋_GB2312" w:eastAsia="仿宋_GB2312" w:cs="仿宋_GB2312"/>
          <w:sz w:val="32"/>
          <w:szCs w:val="32"/>
          <w:lang w:val="en-US" w:eastAsia="zh-CN"/>
        </w:rPr>
      </w:pPr>
    </w:p>
    <w:p>
      <w:pPr>
        <w:numPr>
          <w:ilvl w:val="0"/>
          <w:numId w:val="5"/>
        </w:numPr>
        <w:ind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4"/>
        <w:numPr>
          <w:numId w:val="0"/>
        </w:numPr>
        <w:spacing w:before="0" w:beforeAutospacing="0" w:after="0" w:afterAutospacing="0" w:line="480" w:lineRule="atLeast"/>
        <w:ind w:left="0" w:leftChars="0" w:firstLine="64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1、本项目为交钥匙工程，设备安装、系统集成、软件客户化均由</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负责。提供各设备上架调试、系统集成等软硬件安装安装工作，同时结合医院现有设备及应用情况，实施现有及本项目规划、等保安全、系统集成、数据迁移、协助完成医院评审工作包括但不限于三级等保评审、电子病历评审、互联互通评审等各项工作。</w:t>
      </w:r>
    </w:p>
    <w:p>
      <w:pPr>
        <w:pStyle w:val="14"/>
        <w:numPr>
          <w:ilvl w:val="0"/>
          <w:numId w:val="6"/>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r>
        <w:rPr>
          <w:rFonts w:hint="eastAsia" w:ascii="仿宋_GB2312" w:hAnsi="仿宋_GB2312" w:eastAsia="仿宋_GB2312" w:cs="仿宋_GB2312"/>
          <w:sz w:val="32"/>
          <w:szCs w:val="32"/>
        </w:rPr>
        <w:t>在我院网络安全应急、攻防保障中，需提供技术驻点服务，次数不限。</w:t>
      </w:r>
    </w:p>
    <w:p>
      <w:pPr>
        <w:pStyle w:val="14"/>
        <w:numPr>
          <w:ilvl w:val="0"/>
          <w:numId w:val="6"/>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4"/>
        <w:numPr>
          <w:ilvl w:val="0"/>
          <w:numId w:val="6"/>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4"/>
        <w:numPr>
          <w:ilvl w:val="0"/>
          <w:numId w:val="6"/>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0"/>
        <w:widowControl w:val="0"/>
        <w:numPr>
          <w:ilvl w:val="0"/>
          <w:numId w:val="5"/>
        </w:numPr>
        <w:overflowPunct w:val="0"/>
        <w:autoSpaceDE w:val="0"/>
        <w:autoSpaceDN w:val="0"/>
        <w:adjustRightInd w:val="0"/>
        <w:ind w:left="0" w:leftChars="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autoSpaceDN w:val="0"/>
        <w:spacing w:line="560"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numId w:val="0"/>
        </w:numPr>
        <w:wordWrap/>
        <w:snapToGrid/>
        <w:spacing w:before="0" w:after="0" w:line="315" w:lineRule="atLeast"/>
        <w:ind w:left="0" w:leftChars="0" w:right="0" w:firstLine="640" w:firstLineChars="200"/>
        <w:jc w:val="both"/>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报名请携带加盖公章的项目文件回执单、营业执照复印件、公司简介</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sz w:val="32"/>
          <w:szCs w:val="32"/>
          <w:shd w:val="clear" w:color="auto" w:fill="FFFFFF"/>
        </w:rPr>
        <w:t>提供设备彩页、相关三证等</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lang w:eastAsia="zh-CN"/>
        </w:rPr>
        <w:t>。</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提供业绩清单及近3年省内同类项目中标书（若有）</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7、参加调研会的公司应准备PPT材料（含方案介绍、服务及集成能力、应用案例、报价等）、技术参数等材料，每公司讲解时间30分钟（含答疑10分钟）；同时上述材料须交予院方留档（提供U盘留档）。</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hint="eastAsia" w:ascii="仿宋_GB2312" w:hAnsi="仿宋_GB2312" w:eastAsia="仿宋_GB2312" w:cs="仿宋_GB2312"/>
          <w:b/>
          <w:bCs w:val="0"/>
          <w:color w:val="000000"/>
          <w:sz w:val="32"/>
          <w:szCs w:val="32"/>
          <w:shd w:val="clear" w:color="auto" w:fill="FFFFFF"/>
        </w:rPr>
      </w:pPr>
    </w:p>
    <w:p>
      <w:pPr>
        <w:shd w:val="solid" w:color="FFFFFF" w:fill="auto"/>
        <w:autoSpaceDN w:val="0"/>
        <w:spacing w:line="420" w:lineRule="atLeast"/>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autoSpaceDN w:val="0"/>
        <w:spacing w:line="42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bl>
    <w:p>
      <w:pPr>
        <w:shd w:val="solid" w:color="FFFFFF" w:fill="auto"/>
        <w:autoSpaceDN w:val="0"/>
        <w:spacing w:line="420" w:lineRule="atLeas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pStyle w:val="10"/>
        <w:rPr>
          <w:rFonts w:hint="eastAsia" w:ascii="仿宋_GB2312" w:hAnsi="仿宋_GB2312" w:eastAsia="仿宋_GB2312" w:cs="仿宋_GB2312"/>
          <w:b w:val="0"/>
          <w:bCs/>
          <w:sz w:val="32"/>
          <w:szCs w:val="32"/>
          <w:shd w:val="clear" w:color="auto" w:fill="FFFFFF"/>
        </w:rPr>
      </w:pPr>
    </w:p>
    <w:p>
      <w:pPr>
        <w:pStyle w:val="1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59536179">
    <w:nsid w:val="86ADC933"/>
    <w:multiLevelType w:val="singleLevel"/>
    <w:tmpl w:val="86ADC933"/>
    <w:lvl w:ilvl="0" w:tentative="1">
      <w:start w:val="1"/>
      <w:numFmt w:val="decimal"/>
      <w:suff w:val="nothing"/>
      <w:lvlText w:val="%1、"/>
      <w:lvlJc w:val="left"/>
    </w:lvl>
  </w:abstractNum>
  <w:abstractNum w:abstractNumId="1909342566">
    <w:nsid w:val="71CE4166"/>
    <w:multiLevelType w:val="multilevel"/>
    <w:tmpl w:val="71CE4166"/>
    <w:lvl w:ilvl="0" w:tentative="1">
      <w:start w:val="1"/>
      <w:numFmt w:val="decimal"/>
      <w:lvlText w:val="%1."/>
      <w:lvlJc w:val="left"/>
      <w:pPr>
        <w:ind w:left="420" w:hanging="420"/>
      </w:pPr>
      <w:rPr>
        <w:color w:val="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30928040">
    <w:nsid w:val="FC2ED6A8"/>
    <w:multiLevelType w:val="singleLevel"/>
    <w:tmpl w:val="FC2ED6A8"/>
    <w:lvl w:ilvl="0" w:tentative="1">
      <w:start w:val="1"/>
      <w:numFmt w:val="decimal"/>
      <w:suff w:val="nothing"/>
      <w:lvlText w:val="%1、"/>
      <w:lvlJc w:val="left"/>
    </w:lvl>
  </w:abstractNum>
  <w:abstractNum w:abstractNumId="2485930963">
    <w:nsid w:val="942C4BD3"/>
    <w:multiLevelType w:val="singleLevel"/>
    <w:tmpl w:val="942C4BD3"/>
    <w:lvl w:ilvl="0" w:tentative="1">
      <w:start w:val="1"/>
      <w:numFmt w:val="decimal"/>
      <w:suff w:val="nothing"/>
      <w:lvlText w:val="%1、"/>
      <w:lvlJc w:val="left"/>
      <w:rPr>
        <w:rFonts w:hint="default"/>
        <w:color w:val="auto"/>
      </w:rPr>
    </w:lvl>
  </w:abstractNum>
  <w:abstractNum w:abstractNumId="1675063653">
    <w:nsid w:val="63D77165"/>
    <w:multiLevelType w:val="singleLevel"/>
    <w:tmpl w:val="63D77165"/>
    <w:lvl w:ilvl="0" w:tentative="1">
      <w:start w:val="2"/>
      <w:numFmt w:val="decimal"/>
      <w:suff w:val="nothing"/>
      <w:lvlText w:val="%1、"/>
      <w:lvlJc w:val="left"/>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num w:numId="1">
    <w:abstractNumId w:val="2259536179"/>
  </w:num>
  <w:num w:numId="2">
    <w:abstractNumId w:val="4230928040"/>
  </w:num>
  <w:num w:numId="3">
    <w:abstractNumId w:val="2485930963"/>
  </w:num>
  <w:num w:numId="4">
    <w:abstractNumId w:val="1909342566"/>
    <w:lvlOverride w:ilvl="0">
      <w:startOverride w:val="1"/>
    </w:lvlOverride>
  </w:num>
  <w:num w:numId="5">
    <w:abstractNumId w:val="1398085122"/>
  </w:num>
  <w:num w:numId="6">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M2MWZkZWJlN2FhODBmYjJjMTEyMzRjZDQwMzEyOGY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8">
    <w:name w:val="Default Paragraph Font"/>
    <w:semiHidden/>
    <w:qFormat/>
    <w:uiPriority w:val="0"/>
  </w:style>
  <w:style w:type="paragraph" w:styleId="4">
    <w:name w:val="Normal Indent"/>
    <w:basedOn w:val="1"/>
    <w:unhideWhenUsed/>
    <w:qFormat/>
    <w:uiPriority w:val="0"/>
    <w:pPr>
      <w:ind w:firstLine="420" w:firstLineChars="200"/>
    </w:pPr>
  </w:style>
  <w:style w:type="paragraph" w:styleId="5">
    <w:name w:val="Body Text"/>
    <w:basedOn w:val="1"/>
    <w:next w:val="1"/>
    <w:unhideWhenUsed/>
    <w:qFormat/>
    <w:uiPriority w:val="99"/>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9">
    <w:name w:val="Strong"/>
    <w:qFormat/>
    <w:uiPriority w:val="0"/>
    <w:rPr>
      <w:b/>
    </w:rPr>
  </w:style>
  <w:style w:type="paragraph" w:customStyle="1" w:styleId="10">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1">
    <w:name w:val="Quote"/>
    <w:basedOn w:val="1"/>
    <w:next w:val="1"/>
    <w:qFormat/>
    <w:uiPriority w:val="29"/>
    <w:pPr>
      <w:spacing w:beforeLines="50" w:afterLines="50" w:line="360" w:lineRule="auto"/>
    </w:pPr>
    <w:rPr>
      <w:i/>
      <w:iCs/>
      <w:color w:val="000000"/>
      <w:lang w:val="zh-CN"/>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null3"/>
    <w:hidden/>
    <w:qFormat/>
    <w:uiPriority w:val="0"/>
    <w:rPr>
      <w:rFonts w:hint="eastAsia" w:ascii="Calibri" w:hAnsi="Calibri" w:eastAsia="宋体" w:cs="黑体"/>
      <w:lang w:val="en-US" w:eastAsia="zh-CN" w:bidi="ar-SA"/>
    </w:rPr>
  </w:style>
  <w:style w:type="paragraph" w:customStyle="1" w:styleId="16">
    <w:name w:val="列出段落1"/>
    <w:basedOn w:val="1"/>
    <w:qFormat/>
    <w:uiPriority w:val="34"/>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1849</Words>
  <Characters>2122</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2023-10-12T01:11:39Z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1894C5939F1B47C084FBBB7E58DBA46E_13</vt:lpwstr>
  </property>
</Properties>
</file>