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hint="eastAsia" w:ascii="仿宋_GB2312" w:hAnsi="仿宋_GB2312" w:eastAsia="方正小标宋简体" w:cs="仿宋_GB2312"/>
          <w:b w:val="0"/>
          <w:kern w:val="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福建省肿瘤医院采购调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</w:rPr>
        <w:t>研公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告</w:t>
      </w:r>
    </w:p>
    <w:p>
      <w:pPr>
        <w:widowControl/>
        <w:shd w:val="clear" w:color="auto" w:fill="FFFFFF"/>
        <w:wordWrap/>
        <w:adjustRightInd w:val="0"/>
        <w:snapToGrid w:val="0"/>
        <w:spacing w:beforeLines="50" w:line="59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第一部分 须知前附表</w:t>
      </w:r>
    </w:p>
    <w:tbl>
      <w:tblPr>
        <w:tblpPr w:leftFromText="180" w:rightFromText="180" w:vertAnchor="text" w:horzAnchor="page" w:tblpX="1852" w:tblpY="337"/>
        <w:tblOverlap w:val="never"/>
        <w:tblW w:w="87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主　　　要　　　 内　　　 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项目名称：服务器磁盘阵列等设备采购项目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line="56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调研报名时间：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 xml:space="preserve">2023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至10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shd w:val="clear" w:color="auto" w:fill="FFFFFF"/>
              </w:rPr>
              <w:t>(节假日除外)8：00-12：00或14：00-17：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(北京时间）</w:t>
            </w:r>
          </w:p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调研会时间：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 xml:space="preserve"> 2023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 xml:space="preserve"> 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u w:val="none" w:color="auto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u w:val="none" w:color="auto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u w:val="none" w:color="auto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文件正本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份,副本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份胶装并密封加盖投标人公章。文件未胶装将视为无效。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文件递交处：福建省肿瘤医院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网络技术中心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上述时间、地点如有变动，以单位届时通知为准。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采购报名、采购调研等采购过程中有任何异议，可联系我院监督科室。电话：83660063-8407；83660063-8467。</w:t>
            </w:r>
          </w:p>
        </w:tc>
      </w:tr>
    </w:tbl>
    <w:p>
      <w:pPr>
        <w:widowControl/>
        <w:shd w:val="clear" w:color="auto" w:fill="FFFFFF"/>
        <w:spacing w:line="336" w:lineRule="auto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36" w:lineRule="auto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地　址： 福建省福州市福马路420号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36" w:lineRule="auto"/>
        <w:ind w:left="1260" w:leftChars="0" w:firstLine="420" w:firstLineChars="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福建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省肿瘤医院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科研楼四楼网络技术中心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邮　编： 350014　 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报名联系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电话： 0591-83660063-8822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 xml:space="preserve">联系人：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杜工、金工</w:t>
      </w:r>
    </w:p>
    <w:p>
      <w:pPr>
        <w:pStyle w:val="1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widowControl/>
        <w:shd w:val="clear" w:color="auto" w:fill="FFFFFF"/>
        <w:wordWrap/>
        <w:adjustRightInd w:val="0"/>
        <w:snapToGrid w:val="0"/>
        <w:spacing w:line="240" w:lineRule="auto"/>
        <w:ind w:firstLine="42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第二部分 具体要求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采购内容</w:t>
      </w:r>
    </w:p>
    <w:tbl>
      <w:tblPr>
        <w:tblpPr w:leftFromText="180" w:rightFromText="180" w:vertAnchor="text" w:horzAnchor="page" w:tblpX="1562" w:tblpY="283"/>
        <w:tblOverlap w:val="never"/>
        <w:tblW w:w="9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3178"/>
        <w:gridCol w:w="1590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97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合同包</w:t>
            </w:r>
          </w:p>
        </w:tc>
        <w:tc>
          <w:tcPr>
            <w:tcW w:w="3178" w:type="dxa"/>
            <w:vAlign w:val="center"/>
          </w:tcPr>
          <w:p>
            <w:pPr>
              <w:widowControl/>
              <w:spacing w:afterLines="5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名 称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afterLines="5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spacing w:afterLines="5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预算（万元）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97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一）</w:t>
            </w:r>
          </w:p>
        </w:tc>
        <w:tc>
          <w:tcPr>
            <w:tcW w:w="3178" w:type="dxa"/>
            <w:vAlign w:val="center"/>
          </w:tcPr>
          <w:p>
            <w:pPr>
              <w:numPr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服务器磁盘阵列等设备</w:t>
            </w:r>
          </w:p>
        </w:tc>
        <w:tc>
          <w:tcPr>
            <w:tcW w:w="1590" w:type="dxa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94" w:type="dxa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97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78" w:type="dxa"/>
            <w:vAlign w:val="center"/>
          </w:tcPr>
          <w:p>
            <w:pPr>
              <w:numPr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服务器</w:t>
            </w:r>
          </w:p>
        </w:tc>
        <w:tc>
          <w:tcPr>
            <w:tcW w:w="1590" w:type="dxa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4套</w:t>
            </w:r>
          </w:p>
        </w:tc>
        <w:tc>
          <w:tcPr>
            <w:tcW w:w="1894" w:type="dxa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97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78" w:type="dxa"/>
            <w:vAlign w:val="center"/>
          </w:tcPr>
          <w:p>
            <w:pPr>
              <w:numPr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磁盘阵列存储</w:t>
            </w:r>
          </w:p>
        </w:tc>
        <w:tc>
          <w:tcPr>
            <w:tcW w:w="1590" w:type="dxa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1批</w:t>
            </w:r>
          </w:p>
        </w:tc>
        <w:tc>
          <w:tcPr>
            <w:tcW w:w="1894" w:type="dxa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97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78" w:type="dxa"/>
            <w:vAlign w:val="center"/>
          </w:tcPr>
          <w:p>
            <w:pPr>
              <w:numPr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光纤存储交换机</w:t>
            </w:r>
          </w:p>
        </w:tc>
        <w:tc>
          <w:tcPr>
            <w:tcW w:w="1590" w:type="dxa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2套</w:t>
            </w:r>
          </w:p>
        </w:tc>
        <w:tc>
          <w:tcPr>
            <w:tcW w:w="1894" w:type="dxa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</w:tr>
    </w:tbl>
    <w:p>
      <w:pPr>
        <w:keepNext/>
        <w:widowControl/>
        <w:numPr>
          <w:numId w:val="0"/>
        </w:numPr>
        <w:shd w:val="clear" w:color="auto" w:fill="FFFFFF"/>
        <w:autoSpaceDE w:val="0"/>
        <w:spacing w:before="120" w:after="120"/>
        <w:ind w:leftChars="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技术功能及服务要求</w:t>
      </w:r>
    </w:p>
    <w:p>
      <w:pPr>
        <w:pStyle w:val="1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1、合同包（一）</w:t>
      </w:r>
    </w:p>
    <w:tbl>
      <w:tblPr>
        <w:tblW w:w="9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904"/>
        <w:gridCol w:w="5821"/>
        <w:gridCol w:w="76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58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技术参数要求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品牌名称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pStyle w:val="10"/>
              <w:numPr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4" w:type="dxa"/>
            <w:vAlign w:val="center"/>
          </w:tcPr>
          <w:p>
            <w:pPr>
              <w:numPr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服务器</w:t>
            </w:r>
          </w:p>
        </w:tc>
        <w:tc>
          <w:tcPr>
            <w:tcW w:w="5821" w:type="dxa"/>
            <w:vAlign w:val="center"/>
          </w:tcPr>
          <w:p>
            <w:pPr>
              <w:pStyle w:val="14"/>
              <w:widowControl w:val="0"/>
              <w:numPr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配置≥2U机架式服务器，非OEM产品。配置≥2颗英特尔至强金牌5318Y处理器，单颗CPU≥2.1Ghz，核数≥24核；支持≥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个内存插槽，配置≥1.5T（24*64GB） DDR4内存；支持≥8个2.5寸热插拔硬盘槽位，配置≥2个480GB SSD硬盘；配置≥2块双端口16GB HBA卡，≥4个万兆端口（含4块万兆光模块），≥4千兆电口；配置≥2G缓存raid卡（带掉电保护），≥2个800W电源；配置≥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个热插拔风扇模块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，需整机满配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；为保证可扩展性，支持提供≥8个标准PCIe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.0插槽；提供原厂5年保修服务；</w:t>
            </w:r>
          </w:p>
        </w:tc>
        <w:tc>
          <w:tcPr>
            <w:tcW w:w="766" w:type="dxa"/>
            <w:vAlign w:val="center"/>
          </w:tcPr>
          <w:p>
            <w:pPr>
              <w:pStyle w:val="14"/>
              <w:widowControl w:val="0"/>
              <w:numPr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4套</w:t>
            </w:r>
          </w:p>
        </w:tc>
        <w:tc>
          <w:tcPr>
            <w:tcW w:w="1296" w:type="dxa"/>
            <w:vAlign w:val="center"/>
          </w:tcPr>
          <w:p>
            <w:pPr>
              <w:pStyle w:val="14"/>
              <w:widowControl w:val="0"/>
              <w:numPr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DellEMC、HPE、H3C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pStyle w:val="10"/>
              <w:numPr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4" w:type="dxa"/>
            <w:vAlign w:val="center"/>
          </w:tcPr>
          <w:p>
            <w:pPr>
              <w:numPr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磁盘阵列存储</w:t>
            </w:r>
          </w:p>
        </w:tc>
        <w:tc>
          <w:tcPr>
            <w:tcW w:w="5821" w:type="dxa"/>
            <w:vAlign w:val="top"/>
          </w:tcPr>
          <w:p>
            <w:pPr>
              <w:pStyle w:val="10"/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影像在线存储扩容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：采用统一存储架构，支持SAN及NAS环境。在原主机UnityXT680上扩容配置75块10K SAS盘，硬盘柜3个，单盘容量1.8TB，可用容量≥100TB，配置8个16Gb FC端口；配置双活容量授权许可，接入现有双活架构；随原主机保修服务。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（数量：2套）</w:t>
            </w:r>
          </w:p>
          <w:p>
            <w:pPr>
              <w:pStyle w:val="10"/>
              <w:numPr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0"/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影像归档存储扩容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:采用分布式全对称集群模式横向扩展，在现有影像归档存储Isilon 基础上扩展，组成同一集群并实现统一界面管理；集群内所有节点成员角色平等，没有单独的元数据（索引和管理等之类）服务节点；本次扩容配置NAS节点数量≥1个，总缓存≥64GB，系统支持最大节点数量≥250；配置前端业务万兆网络接口≥2个，后端万兆网络接口≥2个；配置SSD硬盘≥1块，单盘容量≥400GB；配置SATA盘≥15块，单盘容量≥8TB；每节点配置液晶面板进行管理；支持重复数据删除，提高存储效率，支持文件系统审核功能，可提高存储基础架构的安全和控制并满足法规遵从性要求；提供原厂5年7x24的保修服务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（数量：2套）</w:t>
            </w:r>
          </w:p>
          <w:p>
            <w:pPr>
              <w:pStyle w:val="10"/>
              <w:numPr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0"/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CDP全闪存存储：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采用统一存储架构，支持SAN及NAS环境，配置控制器数量≥2 控，控制器高可用；本次需配置CPU总核心数≥48核，控制器采用 Intel CPU，主频≥2.1GHz；存储控制器整机配置物理缓存总量≥384GB，支持配置SSD硬盘作为二级缓存；配置 2.5 寸SSD 3.84TB≥17块，闪存可用容量≥50TB作为容灾日志卷和副本卷。单个硬盘扩展柜要求能容纳的硬盘个数≥ 25 个；存储可扩展≥750块硬盘；配置≥8 个 32GbFC 端口；为VMware 虚拟机的操作和灾难恢复提供持续的数据保护，以便快速恢复到任意时间点。快速轻松地将数据复制到多个站点或环境，包括公有云目标，以实现接近于零的恢复时间目标 (RTO) 和恢复点目标 (RPO)。提供虚拟机级别粒度的保护，与VMware vCenter深度集成，方便虚拟机快速恢复至任意时间点，虚拟机管理员可通过 VMware vCenter 插件设置和管理虚拟机数据保护。配置≥8 个 10Gb 以太网端口，支持 25Gb 以太网端口；配置快照，克隆，远程复制等高级软件许可；构建统一容灾备份资源池，与生产存储配合一起实现生产数据的实时容灾和备份保护，CDP与备份恢复演练服务。提供原厂5年7x24的保修服务。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（数量：1套）</w:t>
            </w:r>
          </w:p>
          <w:p>
            <w:pPr>
              <w:pStyle w:val="10"/>
              <w:numPr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0"/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单机存储：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采用统一存储架构，支持SAN及NAS环境，配置控制器数量≥2 控，控制器高可用；本次需配置CPU总核心数≥32核，控制器采用 Intel CPU，主频≥1.8GHz；存储控制器整机配置物理缓存总量≥192GB，支持配置SSD硬盘作为二级缓存；配置 2.5 寸高性能 1.8TB SAS 10K RPM盘≥ 75块，可用容量≥100TB作为数据备份空间。单个硬盘扩展柜要求能容纳的硬盘个数≥ 25 个；存储可扩展≥750块硬盘；为VMware 虚拟机的操作和灾难恢复提供持续的数据保护，以便快速恢复到任意时间点。快速轻松地将数据复制到多个站点或环境，包括公有云目标，以实现接近于零的恢复时间目标 (RTO) 和恢复点目标 (RPO)。提供虚拟机级别粒度的保护，与VMware vCenter深度集成，方便虚拟机快速恢复至任意时间点，虚拟机管理员可通过 VMware vCenter 插件设置和管理虚拟机数据保护。配置≥8 个 32GbFC 端口；配置≥8 个 10Gb 以太网端口，支持 25Gb 以太网端口；配置快照，克隆，远程复制等高级软件许可；。提供原厂5年7x24的保修服务。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（数量：1套）</w:t>
            </w:r>
          </w:p>
          <w:p>
            <w:pPr>
              <w:pStyle w:val="10"/>
              <w:numPr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0"/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内网虚拟化存储扩容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基于现有的Primera A630全闪存架构的生产存储进行扩容，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增加一个存储扩展柜，扩展柜配置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≥25TB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（可用容量）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SSD硬盘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，同时提供IP SAN和FC SAN服务；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扩容后的整体性能必须与现有性能保持一致，必须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随原主机保修服务。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（数量：2套）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pStyle w:val="10"/>
              <w:numPr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0"/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外网虚拟化存储扩容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DX200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存储双活基础上提供双控磁盘柜≥24个槽位，后端磁盘背板采用最新SAS3.0技术，磁盘驱动器接口12Gb ，配置≥24TB SAS （10*2.4TB 10K 2.5”）SAN/NAS存储容量及许可，支持同时损坏2块硬盘，保证数据不丢失，提供扩容相关套件；通过原有统一存储管理软件及双活管理软件统一管理，含24TB  SAN/NAS管理容量及含24TB 双活集群管理容量，实现两台存储双活冗余，现场实施服务。随原主机保修服务；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（数量：2套）</w:t>
            </w:r>
          </w:p>
        </w:tc>
        <w:tc>
          <w:tcPr>
            <w:tcW w:w="766" w:type="dxa"/>
            <w:vAlign w:val="center"/>
          </w:tcPr>
          <w:p>
            <w:pPr>
              <w:pStyle w:val="10"/>
              <w:numPr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1296" w:type="dxa"/>
            <w:vAlign w:val="center"/>
          </w:tcPr>
          <w:p>
            <w:pPr>
              <w:pStyle w:val="10"/>
              <w:numPr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DellEMC、HPE、H3C、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富士通等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pStyle w:val="10"/>
              <w:numPr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04" w:type="dxa"/>
            <w:vAlign w:val="center"/>
          </w:tcPr>
          <w:p>
            <w:pPr>
              <w:numPr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光纤存储交换机</w:t>
            </w:r>
          </w:p>
        </w:tc>
        <w:tc>
          <w:tcPr>
            <w:tcW w:w="5821" w:type="dxa"/>
            <w:vAlign w:val="top"/>
          </w:tcPr>
          <w:p>
            <w:pPr>
              <w:pStyle w:val="10"/>
              <w:numPr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32GB 48口光纤交换机，配置48口32GB模块和授权许可，支持虚拟机持续的数据保护软件授权许可，提供虚拟机级别粒度的保护，与VMware vCenter深度集成，方便虚拟机快速恢复至任意时间点，虚拟机管理员可通过 VMware vCenter 插件设置和管理虚拟机数据保护。提供原厂5年7x24的保修服务。</w:t>
            </w:r>
          </w:p>
        </w:tc>
        <w:tc>
          <w:tcPr>
            <w:tcW w:w="766" w:type="dxa"/>
            <w:vAlign w:val="center"/>
          </w:tcPr>
          <w:p>
            <w:pPr>
              <w:pStyle w:val="10"/>
              <w:numPr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2套</w:t>
            </w:r>
          </w:p>
        </w:tc>
        <w:tc>
          <w:tcPr>
            <w:tcW w:w="1296" w:type="dxa"/>
            <w:vAlign w:val="center"/>
          </w:tcPr>
          <w:p>
            <w:pPr>
              <w:pStyle w:val="10"/>
              <w:numPr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DellEMC、HPE、H3C、博科等</w:t>
            </w:r>
          </w:p>
        </w:tc>
      </w:tr>
    </w:tbl>
    <w:p>
      <w:pPr>
        <w:numPr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其他要求</w:t>
      </w:r>
    </w:p>
    <w:p>
      <w:pPr>
        <w:widowControl/>
        <w:numPr>
          <w:ilvl w:val="0"/>
          <w:numId w:val="3"/>
        </w:numPr>
        <w:wordWrap/>
        <w:snapToGrid/>
        <w:spacing w:before="0" w:after="0" w:line="315" w:lineRule="atLeas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实施主要工作为：各设备上架调试、系统集成等软硬件安装工作，同时必须结合医院现有设备及应用情况，实施现有及本项目规划、等保安全、系统集成、数据迁移、服务器及虚拟化版本升级统一、虚拟服务器迁移、存储迁移、CAS虚拟化平台搭建与运维、CAS虚拟化平台虚拟服务器迁移、CAS虚拟化平台虚拟服务器备份、协助完成医院评审工作包括但不限于三级等保评审、电子病历评审、互联互通评审等各项工作；</w:t>
      </w:r>
      <w:bookmarkStart w:id="0" w:name="_GoBack"/>
      <w:bookmarkEnd w:id="0"/>
    </w:p>
    <w:p>
      <w:pPr>
        <w:widowControl/>
        <w:numPr>
          <w:ilvl w:val="0"/>
          <w:numId w:val="3"/>
        </w:numPr>
        <w:wordWrap/>
        <w:snapToGrid/>
        <w:spacing w:before="0" w:after="0" w:line="315" w:lineRule="atLeas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必须对所有设备逐项报价，不得缺项。后期招标时将作为一个合同包进行招标。报价格式见附件；</w:t>
      </w:r>
    </w:p>
    <w:p>
      <w:pPr>
        <w:widowControl/>
        <w:numPr>
          <w:numId w:val="0"/>
        </w:numPr>
        <w:wordWrap/>
        <w:snapToGrid/>
        <w:spacing w:before="0" w:after="0" w:line="315" w:lineRule="atLeas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2、本预算价应包含设备价格、实施费用、集成费用及5年保修期内（扩容设备随主机保修）的维修及服务费用等，本预算价为含税开票价格；</w:t>
      </w:r>
    </w:p>
    <w:p>
      <w:pPr>
        <w:pStyle w:val="1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调研说明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报名参加本次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调研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的供应商、厂家需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提供如下相关资料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numPr>
          <w:numId w:val="0"/>
        </w:numPr>
        <w:wordWrap/>
        <w:snapToGrid/>
        <w:spacing w:before="0" w:after="0" w:line="315" w:lineRule="atLeas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报名请携带加盖公章的项目文件回执单、营业执照复印件、公司简介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提供设备彩页、相关三证等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shd w:val="clear" w:color="auto" w:fill="FFFFFF"/>
        <w:wordWrap/>
        <w:snapToGrid/>
        <w:spacing w:before="0" w:after="0" w:line="500" w:lineRule="atLeast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2、参与项目调研供应商代表的个人授权函（需加盖供应商公章）和身份证复印件。</w:t>
      </w:r>
    </w:p>
    <w:p>
      <w:pPr>
        <w:widowControl/>
        <w:shd w:val="clear" w:color="auto" w:fill="FFFFFF"/>
        <w:wordWrap/>
        <w:snapToGrid/>
        <w:spacing w:before="0" w:after="0" w:line="500" w:lineRule="atLeast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4、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提供业绩清单及近3年省内同类项目中标书（若有）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5、本调研会的报价仅做为本项目公开招标的预算限价；不做参与投标的限制条件；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6、上述各参数将做为本项目招标的主要参数，不代表本项目公开招标的最终参数；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7、参加调研会的公司应准备PPT材料（含方案介绍、服务及集成能力、应用案例、报价等）、技术参数等材料，每公司讲解时间30分钟（含答疑10分钟）；同时上述材料须交予院方留档（提供U盘留档）。</w:t>
      </w:r>
    </w:p>
    <w:p>
      <w:pPr>
        <w:pStyle w:val="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hd w:val="solid" w:color="FFFFFF" w:fill="auto"/>
        <w:autoSpaceDN w:val="0"/>
        <w:spacing w:line="420" w:lineRule="atLeast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420" w:lineRule="atLeast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  <w:t>项目文件回执单</w:t>
      </w:r>
    </w:p>
    <w:p>
      <w:pPr>
        <w:shd w:val="solid" w:color="FFFFFF" w:fill="auto"/>
        <w:autoSpaceDN w:val="0"/>
        <w:spacing w:line="420" w:lineRule="atLeas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请有意向参与的公司在项目公示期内携带回执单至福建省肿瘤医院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网络技术中心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报名。</w:t>
      </w:r>
    </w:p>
    <w:tbl>
      <w:tblPr>
        <w:tblW w:w="8154" w:type="dxa"/>
        <w:tblInd w:w="3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651"/>
        <w:gridCol w:w="2115"/>
        <w:gridCol w:w="22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2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品牌及型号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42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公司名称：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 xml:space="preserve">联系人：　 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联系电话：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公司盖章：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10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1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福建省肿瘤医院</w:t>
      </w:r>
    </w:p>
    <w:p>
      <w:pPr>
        <w:pStyle w:val="1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   年  月  日</w:t>
      </w:r>
    </w:p>
    <w:p>
      <w:pPr>
        <w:pStyle w:val="10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10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br w:type="page"/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报价格式</w:t>
      </w:r>
    </w:p>
    <w:tbl>
      <w:tblPr>
        <w:tblW w:w="925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"/>
        <w:gridCol w:w="1583"/>
        <w:gridCol w:w="1050"/>
        <w:gridCol w:w="900"/>
        <w:gridCol w:w="1017"/>
        <w:gridCol w:w="950"/>
        <w:gridCol w:w="983"/>
        <w:gridCol w:w="906"/>
        <w:gridCol w:w="1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设备规格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主要参数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是否满足</w:t>
            </w:r>
          </w:p>
        </w:tc>
        <w:tc>
          <w:tcPr>
            <w:tcW w:w="10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品牌</w:t>
            </w:r>
          </w:p>
        </w:tc>
        <w:tc>
          <w:tcPr>
            <w:tcW w:w="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</w:t>
            </w: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3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工程实施费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3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合计（上述金额为含税开票金额）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="100" w:beforeAutospacing="1" w:after="100" w:afterAutospacing="1" w:line="590" w:lineRule="atLeas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注：表格项目应按主要参数表中的序号、设备规格顺序进行对应报价。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pStyle w:val="10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2240" w:h="15840"/>
      <w:pgMar w:top="1134" w:right="1587" w:bottom="1134" w:left="1587" w:header="720" w:footer="720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Quad Arrow 1025" o:spid="_x0000_s1025" style="position:absolute;left:0;margin-top:0pt;height:12.8pt;width:5.3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98085122">
    <w:nsid w:val="53551602"/>
    <w:multiLevelType w:val="singleLevel"/>
    <w:tmpl w:val="53551602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948718901">
    <w:nsid w:val="74271735"/>
    <w:multiLevelType w:val="singleLevel"/>
    <w:tmpl w:val="74271735"/>
    <w:lvl w:ilvl="0" w:tentative="1">
      <w:start w:val="1"/>
      <w:numFmt w:val="decimal"/>
      <w:suff w:val="nothing"/>
      <w:lvlText w:val="%1、"/>
      <w:lvlJc w:val="left"/>
    </w:lvl>
  </w:abstractNum>
  <w:abstractNum w:abstractNumId="3243651022">
    <w:nsid w:val="C1562FCE"/>
    <w:multiLevelType w:val="singleLevel"/>
    <w:tmpl w:val="C1562FCE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948718901"/>
  </w:num>
  <w:num w:numId="2">
    <w:abstractNumId w:val="1398085122"/>
  </w:num>
  <w:num w:numId="3">
    <w:abstractNumId w:val="32436510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paragraph" w:styleId="4">
    <w:name w:val="Body Text"/>
    <w:basedOn w:val="1"/>
    <w:next w:val="5"/>
    <w:unhideWhenUsed/>
    <w:qFormat/>
    <w:uiPriority w:val="99"/>
    <w:rPr>
      <w:rFonts w:ascii="仿宋_GB2312" w:eastAsia="仿宋_GB2312"/>
      <w:sz w:val="32"/>
    </w:rPr>
  </w:style>
  <w:style w:type="paragraph" w:customStyle="1" w:styleId="5">
    <w:name w:val="Quote"/>
    <w:basedOn w:val="1"/>
    <w:next w:val="1"/>
    <w:qFormat/>
    <w:uiPriority w:val="29"/>
    <w:pPr>
      <w:spacing w:beforeLines="50" w:afterLines="50" w:line="360" w:lineRule="auto"/>
    </w:pPr>
    <w:rPr>
      <w:i/>
      <w:iCs/>
      <w:color w:val="000000"/>
      <w:lang w:val="zh-CN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line="336" w:lineRule="auto"/>
      <w:jc w:val="left"/>
    </w:pPr>
    <w:rPr>
      <w:rFonts w:ascii="宋体" w:hAnsi="宋体"/>
      <w:kern w:val="0"/>
      <w:sz w:val="24"/>
    </w:rPr>
  </w:style>
  <w:style w:type="character" w:styleId="9">
    <w:name w:val="Strong"/>
    <w:qFormat/>
    <w:uiPriority w:val="0"/>
    <w:rPr>
      <w:b/>
    </w:rPr>
  </w:style>
  <w:style w:type="paragraph" w:customStyle="1" w:styleId="10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仿宋_GB2312"/>
      <w:kern w:val="28"/>
      <w:sz w:val="24"/>
      <w:szCs w:val="20"/>
    </w:rPr>
  </w:style>
  <w:style w:type="paragraph" w:customStyle="1" w:styleId="11">
    <w:name w:val="xl3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null3"/>
    <w:hidden/>
    <w:qFormat/>
    <w:uiPriority w:val="0"/>
    <w:rPr>
      <w:rFonts w:hint="eastAsia" w:ascii="Calibri" w:hAnsi="Calibri" w:eastAsia="宋体" w:cs="黑体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1849</Words>
  <Characters>2122</Characters>
  <Lines>0</Lines>
  <Paragraphs>0</Paragraphs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2023-05-30T06:42:00Z</dcterms:created>
  <dc:creator>Admin</dc:creator>
  <cp:lastModifiedBy>Admin</cp:lastModifiedBy>
  <cp:lastPrinted>2023-06-20T07:45:00Z</cp:lastPrinted>
  <dcterms:modified xsi:type="dcterms:W3CDTF">2023-10-10T07:07:30Z</dcterms:modified>
  <dc:title>设备科：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  <property fmtid="{D5CDD505-2E9C-101B-9397-08002B2CF9AE}" pid="3" name="ICV">
    <vt:lpwstr>CD1CBFDCF0B34D54A1323A555A4AB815_12</vt:lpwstr>
  </property>
</Properties>
</file>