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各使用科室服务器存储等设备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auto"/>
                <w:kern w:val="0"/>
                <w:sz w:val="32"/>
                <w:szCs w:val="32"/>
                <w:u w:val="none" w:color="auto"/>
                <w:lang w:val="en-US" w:eastAsia="zh-CN"/>
              </w:rPr>
            </w:pPr>
            <w:r>
              <w:rPr>
                <w:rFonts w:hint="eastAsia" w:ascii="仿宋_GB2312" w:hAnsi="仿宋_GB2312" w:eastAsia="仿宋_GB2312" w:cs="仿宋_GB2312"/>
                <w:color w:val="auto"/>
                <w:kern w:val="0"/>
                <w:sz w:val="32"/>
                <w:szCs w:val="32"/>
              </w:rPr>
              <w:t>调研报名时间：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u w:val="none" w:color="auto"/>
                <w:lang w:val="en-US" w:eastAsia="zh-CN"/>
              </w:rPr>
              <w:t xml:space="preserve">2023 </w:t>
            </w:r>
            <w:r>
              <w:rPr>
                <w:rFonts w:hint="eastAsia" w:ascii="仿宋_GB2312" w:hAnsi="仿宋_GB2312" w:eastAsia="仿宋_GB2312" w:cs="仿宋_GB2312"/>
                <w:color w:val="auto"/>
                <w:kern w:val="0"/>
                <w:sz w:val="32"/>
                <w:szCs w:val="32"/>
                <w:u w:val="none" w:color="auto"/>
              </w:rPr>
              <w:t>年</w:t>
            </w:r>
            <w:r>
              <w:rPr>
                <w:rFonts w:hint="eastAsia" w:ascii="仿宋_GB2312" w:hAnsi="仿宋_GB2312" w:eastAsia="仿宋_GB2312" w:cs="仿宋_GB2312"/>
                <w:color w:val="auto"/>
                <w:kern w:val="0"/>
                <w:sz w:val="32"/>
                <w:szCs w:val="32"/>
                <w:u w:val="none" w:color="auto"/>
                <w:lang w:val="en-US" w:eastAsia="zh-CN"/>
              </w:rPr>
              <w:t>10</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11</w:t>
            </w:r>
            <w:r>
              <w:rPr>
                <w:rFonts w:hint="eastAsia" w:ascii="仿宋_GB2312" w:hAnsi="仿宋_GB2312" w:eastAsia="仿宋_GB2312" w:cs="仿宋_GB2312"/>
                <w:color w:val="auto"/>
                <w:kern w:val="0"/>
                <w:sz w:val="32"/>
                <w:szCs w:val="32"/>
                <w:u w:val="none" w:color="auto"/>
              </w:rPr>
              <w:t>日</w:t>
            </w:r>
            <w:r>
              <w:rPr>
                <w:rFonts w:hint="eastAsia" w:ascii="仿宋_GB2312" w:hAnsi="仿宋_GB2312" w:eastAsia="仿宋_GB2312" w:cs="仿宋_GB2312"/>
                <w:color w:val="auto"/>
                <w:kern w:val="0"/>
                <w:sz w:val="32"/>
                <w:szCs w:val="32"/>
                <w:u w:val="none" w:color="auto"/>
                <w:lang w:val="en-US" w:eastAsia="zh-CN"/>
              </w:rPr>
              <w:t>至10</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17</w:t>
            </w:r>
            <w:r>
              <w:rPr>
                <w:rFonts w:hint="eastAsia" w:ascii="仿宋_GB2312" w:hAnsi="仿宋_GB2312" w:eastAsia="仿宋_GB2312" w:cs="仿宋_GB2312"/>
                <w:color w:val="auto"/>
                <w:kern w:val="0"/>
                <w:sz w:val="32"/>
                <w:szCs w:val="32"/>
                <w:u w:val="none" w:color="auto"/>
              </w:rPr>
              <w:t>日</w:t>
            </w:r>
            <w:r>
              <w:rPr>
                <w:rFonts w:hint="eastAsia" w:ascii="仿宋_GB2312" w:hAnsi="仿宋_GB2312" w:eastAsia="仿宋_GB2312" w:cs="仿宋_GB2312"/>
                <w:color w:val="auto"/>
                <w:kern w:val="0"/>
                <w:sz w:val="32"/>
                <w:szCs w:val="32"/>
                <w:u w:val="none" w:color="auto"/>
                <w:lang w:val="en-US" w:eastAsia="zh-CN"/>
              </w:rPr>
              <w:t xml:space="preserve"> </w:t>
            </w:r>
            <w:r>
              <w:rPr>
                <w:rFonts w:hint="eastAsia" w:ascii="仿宋_GB2312" w:hAnsi="仿宋_GB2312" w:eastAsia="仿宋_GB2312" w:cs="仿宋_GB2312"/>
                <w:color w:val="auto"/>
                <w:spacing w:val="-8"/>
                <w:kern w:val="0"/>
                <w:sz w:val="32"/>
                <w:szCs w:val="32"/>
                <w:u w:val="none" w:color="auto"/>
                <w:shd w:val="clear" w:color="auto" w:fill="FFFFFF"/>
              </w:rPr>
              <w:t>(节假日除外)8：00-12：00或14：00-17：</w:t>
            </w:r>
            <w:r>
              <w:rPr>
                <w:rFonts w:hint="eastAsia" w:ascii="仿宋_GB2312" w:hAnsi="仿宋_GB2312" w:eastAsia="仿宋_GB2312" w:cs="仿宋_GB2312"/>
                <w:color w:val="auto"/>
                <w:spacing w:val="-8"/>
                <w:kern w:val="0"/>
                <w:sz w:val="32"/>
                <w:szCs w:val="32"/>
                <w:u w:val="none" w:color="auto"/>
                <w:shd w:val="clear" w:color="auto" w:fill="FFFFFF"/>
                <w:lang w:val="en-US" w:eastAsia="zh-CN"/>
              </w:rPr>
              <w:t>0</w:t>
            </w:r>
            <w:r>
              <w:rPr>
                <w:rFonts w:hint="eastAsia" w:ascii="仿宋_GB2312" w:hAnsi="仿宋_GB2312" w:eastAsia="仿宋_GB2312" w:cs="仿宋_GB2312"/>
                <w:color w:val="auto"/>
                <w:spacing w:val="-8"/>
                <w:kern w:val="0"/>
                <w:sz w:val="32"/>
                <w:szCs w:val="32"/>
                <w:u w:val="none" w:color="auto"/>
                <w:shd w:val="clear" w:color="auto" w:fill="FFFFFF"/>
              </w:rPr>
              <w:t>0</w:t>
            </w:r>
            <w:r>
              <w:rPr>
                <w:rFonts w:hint="eastAsia" w:ascii="仿宋_GB2312" w:hAnsi="仿宋_GB2312" w:eastAsia="仿宋_GB2312" w:cs="仿宋_GB2312"/>
                <w:color w:val="auto"/>
                <w:spacing w:val="-8"/>
                <w:kern w:val="0"/>
                <w:sz w:val="32"/>
                <w:szCs w:val="32"/>
                <w:u w:val="none" w:color="auto"/>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auto"/>
                <w:kern w:val="0"/>
                <w:sz w:val="32"/>
                <w:szCs w:val="32"/>
                <w:u w:val="none" w:color="auto"/>
              </w:rPr>
              <w:t>调研会时间：</w:t>
            </w:r>
            <w:r>
              <w:rPr>
                <w:rFonts w:hint="eastAsia" w:ascii="仿宋_GB2312" w:hAnsi="仿宋_GB2312" w:eastAsia="仿宋_GB2312" w:cs="仿宋_GB2312"/>
                <w:color w:val="auto"/>
                <w:kern w:val="0"/>
                <w:sz w:val="32"/>
                <w:szCs w:val="32"/>
                <w:u w:val="none" w:color="auto"/>
                <w:lang w:val="en-US" w:eastAsia="zh-CN"/>
              </w:rPr>
              <w:t xml:space="preserve"> 2023 </w:t>
            </w:r>
            <w:r>
              <w:rPr>
                <w:rFonts w:hint="eastAsia" w:ascii="仿宋_GB2312" w:hAnsi="仿宋_GB2312" w:eastAsia="仿宋_GB2312" w:cs="仿宋_GB2312"/>
                <w:color w:val="auto"/>
                <w:kern w:val="0"/>
                <w:sz w:val="32"/>
                <w:szCs w:val="32"/>
                <w:u w:val="none" w:color="auto"/>
              </w:rPr>
              <w:t>年</w:t>
            </w:r>
            <w:r>
              <w:rPr>
                <w:rFonts w:hint="eastAsia" w:ascii="仿宋_GB2312" w:hAnsi="仿宋_GB2312" w:eastAsia="仿宋_GB2312" w:cs="仿宋_GB2312"/>
                <w:color w:val="auto"/>
                <w:kern w:val="0"/>
                <w:sz w:val="32"/>
                <w:szCs w:val="32"/>
                <w:u w:val="none" w:color="auto"/>
                <w:lang w:val="en-US" w:eastAsia="zh-CN"/>
              </w:rPr>
              <w:t>10</w:t>
            </w:r>
            <w:r>
              <w:rPr>
                <w:rFonts w:hint="eastAsia" w:ascii="仿宋_GB2312" w:hAnsi="仿宋_GB2312" w:eastAsia="仿宋_GB2312" w:cs="仿宋_GB2312"/>
                <w:color w:val="auto"/>
                <w:kern w:val="0"/>
                <w:sz w:val="32"/>
                <w:szCs w:val="32"/>
                <w:u w:val="none" w:color="auto"/>
              </w:rPr>
              <w:t>月</w:t>
            </w:r>
            <w:r>
              <w:rPr>
                <w:rFonts w:hint="eastAsia" w:ascii="仿宋_GB2312" w:hAnsi="仿宋_GB2312" w:eastAsia="仿宋_GB2312" w:cs="仿宋_GB2312"/>
                <w:color w:val="auto"/>
                <w:kern w:val="0"/>
                <w:sz w:val="32"/>
                <w:szCs w:val="32"/>
                <w:u w:val="none" w:color="auto"/>
                <w:lang w:val="en-US" w:eastAsia="zh-CN"/>
              </w:rPr>
              <w:t>20</w:t>
            </w:r>
            <w:r>
              <w:rPr>
                <w:rFonts w:hint="eastAsia" w:ascii="仿宋_GB2312" w:hAnsi="仿宋_GB2312" w:eastAsia="仿宋_GB2312" w:cs="仿宋_GB2312"/>
                <w:color w:val="auto"/>
                <w:kern w:val="0"/>
                <w:sz w:val="32"/>
                <w:szCs w:val="32"/>
                <w:u w:val="none" w:color="auto"/>
              </w:rPr>
              <w:t>日</w:t>
            </w:r>
            <w:r>
              <w:rPr>
                <w:rFonts w:hint="eastAsia" w:ascii="仿宋_GB2312" w:hAnsi="仿宋_GB2312" w:eastAsia="仿宋_GB2312" w:cs="仿宋_GB2312"/>
                <w:color w:val="auto"/>
                <w:kern w:val="0"/>
                <w:sz w:val="32"/>
                <w:szCs w:val="32"/>
                <w:u w:val="none" w:color="auto"/>
                <w:lang w:val="en-US" w:eastAsia="zh-CN"/>
              </w:rPr>
              <w:t xml:space="preserve"> 10</w:t>
            </w:r>
            <w:r>
              <w:rPr>
                <w:rFonts w:hint="eastAsia" w:ascii="仿宋_GB2312" w:hAnsi="仿宋_GB2312" w:eastAsia="仿宋_GB2312" w:cs="仿宋_GB2312"/>
                <w:color w:val="auto"/>
                <w:spacing w:val="-8"/>
                <w:kern w:val="0"/>
                <w:sz w:val="32"/>
                <w:szCs w:val="32"/>
                <w:u w:val="none" w:color="auto"/>
                <w:shd w:val="clear" w:color="auto" w:fill="FFFFFF"/>
              </w:rPr>
              <w:t>：</w:t>
            </w:r>
            <w:r>
              <w:rPr>
                <w:rFonts w:hint="eastAsia" w:ascii="仿宋_GB2312" w:hAnsi="仿宋_GB2312" w:eastAsia="仿宋_GB2312" w:cs="仿宋_GB2312"/>
                <w:color w:val="auto"/>
                <w:spacing w:val="-8"/>
                <w:kern w:val="0"/>
                <w:sz w:val="32"/>
                <w:szCs w:val="32"/>
                <w:u w:val="none" w:color="auto"/>
                <w:shd w:val="clear" w:color="auto" w:fill="FFFFFF"/>
                <w:lang w:val="en-US" w:eastAsia="zh-CN"/>
              </w:rPr>
              <w:t>0</w:t>
            </w:r>
            <w:r>
              <w:rPr>
                <w:rFonts w:hint="eastAsia" w:ascii="仿宋_GB2312" w:hAnsi="仿宋_GB2312" w:eastAsia="仿宋_GB2312" w:cs="仿宋_GB2312"/>
                <w:color w:val="auto"/>
                <w:spacing w:val="-8"/>
                <w:kern w:val="0"/>
                <w:sz w:val="32"/>
                <w:szCs w:val="32"/>
                <w:u w:val="none" w:color="auto"/>
                <w:shd w:val="clear" w:color="auto" w:fill="FFFFFF"/>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杜工、金工</w:t>
      </w:r>
    </w:p>
    <w:p>
      <w:pPr>
        <w:pStyle w:val="1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line="240" w:lineRule="auto"/>
        <w:ind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702" w:tblpY="283"/>
        <w:tblOverlap w:val="never"/>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3979"/>
        <w:gridCol w:w="121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979"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218"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725"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b w:val="0"/>
                <w:bCs w:val="0"/>
                <w:color w:val="000000"/>
                <w:kern w:val="0"/>
                <w:sz w:val="28"/>
                <w:szCs w:val="28"/>
                <w:lang w:val="en-US" w:eastAsia="zh-CN"/>
              </w:rPr>
            </w:pPr>
          </w:p>
        </w:tc>
        <w:tc>
          <w:tcPr>
            <w:tcW w:w="3979" w:type="dxa"/>
            <w:vAlign w:val="center"/>
          </w:tcPr>
          <w:p>
            <w:pPr>
              <w:widowControl/>
              <w:spacing w:afterLines="5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color w:val="000000"/>
                <w:kern w:val="0"/>
                <w:sz w:val="32"/>
                <w:szCs w:val="32"/>
              </w:rPr>
              <w:t>服务器存储等设备</w:t>
            </w:r>
          </w:p>
        </w:tc>
        <w:tc>
          <w:tcPr>
            <w:tcW w:w="1218" w:type="dxa"/>
            <w:vAlign w:val="center"/>
          </w:tcPr>
          <w:p>
            <w:pPr>
              <w:widowControl/>
              <w:spacing w:afterLines="50"/>
              <w:jc w:val="both"/>
              <w:rPr>
                <w:rFonts w:hint="eastAsia" w:ascii="仿宋_GB2312" w:hAnsi="仿宋_GB2312" w:eastAsia="仿宋_GB2312" w:cs="仿宋_GB2312"/>
                <w:b w:val="0"/>
                <w:bCs w:val="0"/>
                <w:color w:val="000000"/>
                <w:kern w:val="0"/>
                <w:sz w:val="28"/>
                <w:szCs w:val="28"/>
              </w:rPr>
            </w:pPr>
          </w:p>
        </w:tc>
        <w:tc>
          <w:tcPr>
            <w:tcW w:w="1725" w:type="dxa"/>
            <w:vAlign w:val="center"/>
          </w:tcPr>
          <w:p>
            <w:pPr>
              <w:widowControl/>
              <w:spacing w:afterLines="5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1</w:t>
            </w:r>
          </w:p>
        </w:tc>
        <w:tc>
          <w:tcPr>
            <w:tcW w:w="3979"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rPr>
            </w:pPr>
            <w:r>
              <w:rPr>
                <w:rStyle w:val="15"/>
                <w:rFonts w:hAnsi="宋体"/>
                <w:lang w:val="en-US" w:eastAsia="zh-CN"/>
              </w:rPr>
              <w:t>服务器</w:t>
            </w:r>
            <w:r>
              <w:rPr>
                <w:rFonts w:hint="eastAsia" w:ascii="仿宋_GB2312" w:hAnsi="仿宋_GB2312" w:eastAsia="仿宋_GB2312" w:cs="仿宋_GB2312"/>
                <w:b w:val="0"/>
                <w:bCs w:val="0"/>
                <w:color w:val="000000"/>
                <w:kern w:val="0"/>
                <w:sz w:val="32"/>
                <w:szCs w:val="32"/>
                <w:lang w:val="en-US" w:eastAsia="zh-CN"/>
              </w:rPr>
              <w:t>1</w:t>
            </w:r>
          </w:p>
        </w:tc>
        <w:tc>
          <w:tcPr>
            <w:tcW w:w="1218" w:type="dxa"/>
            <w:vAlign w:val="center"/>
          </w:tcPr>
          <w:p>
            <w:pPr>
              <w:autoSpaceDN w:val="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725" w:type="dxa"/>
            <w:vAlign w:val="center"/>
          </w:tcPr>
          <w:p>
            <w:pPr>
              <w:widowControl/>
              <w:spacing w:afterLines="5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3979" w:type="dxa"/>
            <w:vAlign w:val="center"/>
          </w:tcPr>
          <w:p>
            <w:pPr>
              <w:numPr>
                <w:numId w:val="0"/>
              </w:numPr>
              <w:tabs>
                <w:tab w:val="left" w:pos="892"/>
              </w:tabs>
              <w:jc w:val="both"/>
              <w:rPr>
                <w:rFonts w:hint="eastAsia" w:ascii="仿宋_GB2312" w:hAnsi="仿宋_GB2312" w:eastAsia="仿宋_GB2312" w:cs="仿宋_GB2312"/>
                <w:b w:val="0"/>
                <w:bCs w:val="0"/>
                <w:color w:val="000000"/>
                <w:kern w:val="0"/>
                <w:sz w:val="32"/>
                <w:szCs w:val="32"/>
                <w:lang w:val="en-US" w:eastAsia="zh-CN"/>
              </w:rPr>
            </w:pPr>
            <w:r>
              <w:rPr>
                <w:rStyle w:val="15"/>
                <w:rFonts w:hAnsi="宋体"/>
                <w:lang w:val="en-US" w:eastAsia="zh-CN"/>
              </w:rPr>
              <w:t>服务器</w:t>
            </w:r>
            <w:r>
              <w:rPr>
                <w:rStyle w:val="15"/>
                <w:rFonts w:hint="eastAsia" w:hAnsi="宋体"/>
                <w:lang w:val="en-US" w:eastAsia="zh-CN"/>
              </w:rPr>
              <w:t>2</w:t>
            </w:r>
          </w:p>
        </w:tc>
        <w:tc>
          <w:tcPr>
            <w:tcW w:w="1218" w:type="dxa"/>
            <w:vAlign w:val="center"/>
          </w:tcPr>
          <w:p>
            <w:pPr>
              <w:autoSpaceDN w:val="0"/>
              <w:ind w:firstLine="320" w:firstLineChars="10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1</w:t>
            </w:r>
          </w:p>
        </w:tc>
        <w:tc>
          <w:tcPr>
            <w:tcW w:w="1725" w:type="dxa"/>
            <w:vAlign w:val="center"/>
          </w:tcPr>
          <w:p>
            <w:pPr>
              <w:widowControl/>
              <w:spacing w:afterLines="50"/>
              <w:jc w:val="both"/>
              <w:rPr>
                <w:rFonts w:hint="eastAsia" w:ascii="仿宋_GB2312" w:hAnsi="仿宋_GB2312" w:eastAsia="仿宋_GB2312" w:cs="仿宋_GB2312"/>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3979" w:type="dxa"/>
            <w:vAlign w:val="center"/>
          </w:tcPr>
          <w:p>
            <w:pPr>
              <w:numPr>
                <w:numId w:val="0"/>
              </w:numPr>
              <w:ind w:left="0" w:leftChars="0" w:firstLine="0" w:firstLineChars="0"/>
              <w:jc w:val="both"/>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磁盘阵列存储</w:t>
            </w:r>
          </w:p>
        </w:tc>
        <w:tc>
          <w:tcPr>
            <w:tcW w:w="1218" w:type="dxa"/>
            <w:vAlign w:val="center"/>
          </w:tcPr>
          <w:p>
            <w:pPr>
              <w:autoSpaceDN w:val="0"/>
              <w:ind w:firstLine="320" w:firstLineChars="10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w:t>
            </w:r>
          </w:p>
        </w:tc>
        <w:tc>
          <w:tcPr>
            <w:tcW w:w="1725" w:type="dxa"/>
            <w:vAlign w:val="center"/>
          </w:tcPr>
          <w:p>
            <w:pPr>
              <w:widowControl/>
              <w:spacing w:afterLines="50"/>
              <w:jc w:val="both"/>
              <w:rPr>
                <w:rFonts w:hint="eastAsia" w:ascii="仿宋_GB2312" w:hAnsi="仿宋_GB2312" w:eastAsia="仿宋_GB2312" w:cs="仿宋_GB2312"/>
                <w:color w:val="00000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46" w:type="dxa"/>
            <w:vAlign w:val="center"/>
          </w:tcPr>
          <w:p>
            <w:pPr>
              <w:widowControl/>
              <w:spacing w:afterLines="5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3979" w:type="dxa"/>
            <w:vAlign w:val="center"/>
          </w:tcPr>
          <w:p>
            <w:pPr>
              <w:numPr>
                <w:numId w:val="0"/>
              </w:numPr>
              <w:ind w:left="0" w:leftChars="0" w:firstLine="0" w:firstLineChars="0"/>
              <w:jc w:val="both"/>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交换机</w:t>
            </w:r>
          </w:p>
        </w:tc>
        <w:tc>
          <w:tcPr>
            <w:tcW w:w="1218" w:type="dxa"/>
            <w:vAlign w:val="center"/>
          </w:tcPr>
          <w:p>
            <w:pPr>
              <w:autoSpaceDN w:val="0"/>
              <w:ind w:firstLine="320" w:firstLineChars="10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w:t>
            </w:r>
          </w:p>
        </w:tc>
        <w:tc>
          <w:tcPr>
            <w:tcW w:w="1725" w:type="dxa"/>
            <w:vAlign w:val="center"/>
          </w:tcPr>
          <w:p>
            <w:pPr>
              <w:autoSpaceDN w:val="0"/>
              <w:jc w:val="both"/>
              <w:textAlignment w:val="center"/>
              <w:rPr>
                <w:rFonts w:hint="eastAsia" w:ascii="仿宋_GB2312" w:hAnsi="仿宋_GB2312" w:eastAsia="仿宋_GB2312" w:cs="仿宋_GB2312"/>
                <w:b w:val="0"/>
                <w:i w:val="0"/>
                <w:color w:val="000000"/>
                <w:sz w:val="32"/>
                <w:szCs w:val="32"/>
                <w:u w:val="none"/>
                <w:lang w:val="en-US" w:eastAsia="zh-CN"/>
              </w:rPr>
            </w:pPr>
          </w:p>
        </w:tc>
      </w:tr>
    </w:tbl>
    <w:p>
      <w:pPr>
        <w:pStyle w:val="10"/>
        <w:rPr>
          <w:rFonts w:hint="eastAsia"/>
        </w:rPr>
      </w:pPr>
    </w:p>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W w:w="10530" w:type="dxa"/>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1142"/>
        <w:gridCol w:w="8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9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i w:val="0"/>
                <w:iCs w:val="0"/>
                <w:color w:val="000000"/>
                <w:sz w:val="28"/>
                <w:szCs w:val="28"/>
                <w:u w:val="none"/>
              </w:rPr>
            </w:pPr>
            <w:r>
              <w:rPr>
                <w:rStyle w:val="14"/>
                <w:rFonts w:hAnsi="宋体"/>
                <w:lang w:val="en-US" w:eastAsia="zh-CN"/>
              </w:rPr>
              <w:t>序号</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Style w:val="14"/>
                <w:rFonts w:hAnsi="宋体"/>
                <w:lang w:val="en-US" w:eastAsia="zh-CN"/>
              </w:rPr>
              <w:t>项目</w:t>
            </w:r>
          </w:p>
        </w:tc>
        <w:tc>
          <w:tcPr>
            <w:tcW w:w="845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Style w:val="14"/>
                <w:rFonts w:hAnsi="宋体"/>
                <w:lang w:val="en-US" w:eastAsia="zh-CN"/>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atLeast"/>
        </w:trPr>
        <w:tc>
          <w:tcPr>
            <w:tcW w:w="9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1</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32"/>
                <w:szCs w:val="32"/>
                <w:u w:val="none"/>
              </w:rPr>
            </w:pPr>
            <w:r>
              <w:rPr>
                <w:rStyle w:val="15"/>
                <w:rFonts w:hAnsi="宋体"/>
                <w:lang w:val="en-US" w:eastAsia="zh-CN"/>
              </w:rPr>
              <w:t>服务器</w:t>
            </w:r>
            <w:r>
              <w:rPr>
                <w:rFonts w:hint="eastAsia" w:ascii="仿宋_GB2312" w:hAnsi="仿宋_GB2312" w:eastAsia="仿宋_GB2312" w:cs="仿宋_GB2312"/>
                <w:b w:val="0"/>
                <w:bCs w:val="0"/>
                <w:color w:val="000000"/>
                <w:kern w:val="0"/>
                <w:sz w:val="32"/>
                <w:szCs w:val="32"/>
                <w:lang w:val="en-US" w:eastAsia="zh-CN"/>
              </w:rPr>
              <w:t>1</w:t>
            </w:r>
          </w:p>
        </w:tc>
        <w:tc>
          <w:tcPr>
            <w:tcW w:w="8453"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1、信创CPU,2颗≥32核;≥2.2G；</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2、内存:≥1T(64G/条)；</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3、硬盘:闪存盘；</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4、CPU国产CAS虚拟化授权2个；</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5、支持应急诊断功能，当内存、CPU、PCIE卡故障时，能够检测到故障部件，将故障部件隔离；</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6、支持软硬件一体化嵌入式管理系统，支持通过单台服务器的管理页面对多台服务器进行运维管理，简化运维；支持以3D海洋图上显示服务器的温度传感信息和温度告警；</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7、虚拟化软件支持一键存储清理，用于同步前台数据库与后台虚拟机与存储卷的关系，以及扫描和清理空闲的存储卷；</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8、虚拟化软件支持一键资源分析功能，分析集群、主机、虚拟机资源配置与近一个月的使用情况；</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9、虚拟化软件支持一键资源导出用于导出云资源内的主机、虚拟机、集群信息；一键虚机还原用于还原虚拟机磁盘状态到创建虚拟机还原点时的状态。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3" w:hRule="atLeast"/>
        </w:trPr>
        <w:tc>
          <w:tcPr>
            <w:tcW w:w="9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2</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32"/>
                <w:szCs w:val="32"/>
                <w:u w:val="none"/>
              </w:rPr>
            </w:pPr>
            <w:r>
              <w:rPr>
                <w:rStyle w:val="15"/>
                <w:rFonts w:hAnsi="宋体"/>
                <w:lang w:val="en-US" w:eastAsia="zh-CN"/>
              </w:rPr>
              <w:t>服务器</w:t>
            </w:r>
            <w:r>
              <w:rPr>
                <w:rFonts w:hint="eastAsia" w:ascii="仿宋_GB2312" w:hAnsi="仿宋_GB2312" w:eastAsia="仿宋_GB2312" w:cs="仿宋_GB2312"/>
                <w:b w:val="0"/>
                <w:bCs w:val="0"/>
                <w:color w:val="000000"/>
                <w:kern w:val="0"/>
                <w:sz w:val="32"/>
                <w:szCs w:val="32"/>
                <w:lang w:val="en-US" w:eastAsia="zh-CN"/>
              </w:rPr>
              <w:t>2</w:t>
            </w:r>
          </w:p>
        </w:tc>
        <w:tc>
          <w:tcPr>
            <w:tcW w:w="8453"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1、信创CPU,2颗，≥32核；≥2.7G；</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2、内存:≥1T(64G/条)；</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3、硬盘:闪存盘；</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4、GPU卡:NvidiaA30；</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5、CPU国产CAS虚拟化授权2个;</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6、GPU国产CAS虚拟化授权2个;</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7、支持应急诊断功能，当内存、CPU、PCIE卡故障时，能够检测到故障部件，将故障部件隔离；</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8、支持软硬件一体化嵌入式管理系统，支持通过单台服务器的管理页面对多台服务器进行运维管理，简化运维；支持以3D海洋图上显示服务器的温度传感信息和温度告警；</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9、虚拟化软件支持一键存储清理，用于同步前台数据库与后台虚拟机与存储卷的关系，以及扫描和清理空闲的存储卷；</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10、虚拟化软件支持一键资源分析功能，分析集群、主机、虚拟机资源配置与近一个月的使用情况；</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11、虚拟化软件支持一键资源导出用于导出云资源内的主机、虚拟机、集群信息；一键虚机还原用于还原虚拟机磁盘状态到创建虚拟机还原点时的状态。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5" w:hRule="atLeast"/>
        </w:trPr>
        <w:tc>
          <w:tcPr>
            <w:tcW w:w="9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3</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32"/>
                <w:szCs w:val="32"/>
                <w:u w:val="none"/>
              </w:rPr>
            </w:pPr>
            <w:r>
              <w:rPr>
                <w:rStyle w:val="15"/>
                <w:rFonts w:hAnsi="宋体"/>
                <w:lang w:val="en-US" w:eastAsia="zh-CN"/>
              </w:rPr>
              <w:t>磁盘阵列存储</w:t>
            </w:r>
          </w:p>
        </w:tc>
        <w:tc>
          <w:tcPr>
            <w:tcW w:w="8453" w:type="dxa"/>
            <w:tcBorders>
              <w:top w:val="single" w:color="000000" w:sz="8" w:space="0"/>
              <w:left w:val="single" w:color="000000" w:sz="8" w:space="0"/>
              <w:bottom w:val="nil"/>
              <w:right w:val="single" w:color="000000" w:sz="8" w:space="0"/>
            </w:tcBorders>
            <w:vAlign w:val="center"/>
          </w:tcPr>
          <w:p>
            <w:pPr>
              <w:widowControl/>
              <w:numPr>
                <w:ilvl w:val="0"/>
                <w:numId w:val="1"/>
              </w:numPr>
              <w:jc w:val="left"/>
              <w:textAlignment w:val="center"/>
              <w:rPr>
                <w:rFonts w:hint="default" w:ascii="仿宋_GB2312" w:hAnsi="宋体" w:eastAsia="仿宋_GB2312" w:cs="仿宋_GB2312"/>
                <w:i w:val="0"/>
                <w:iCs w:val="0"/>
                <w:color w:val="000000"/>
                <w:kern w:val="0"/>
                <w:sz w:val="28"/>
                <w:szCs w:val="28"/>
                <w:u w:val="none"/>
                <w:lang w:val="en-US" w:eastAsia="zh-CN"/>
              </w:rPr>
            </w:pPr>
            <w:r>
              <w:rPr>
                <w:rFonts w:hint="default" w:ascii="仿宋_GB2312" w:hAnsi="宋体" w:eastAsia="仿宋_GB2312" w:cs="仿宋_GB2312"/>
                <w:i w:val="0"/>
                <w:iCs w:val="0"/>
                <w:color w:val="000000"/>
                <w:kern w:val="0"/>
                <w:sz w:val="28"/>
                <w:szCs w:val="28"/>
                <w:u w:val="none"/>
                <w:lang w:val="en-US" w:eastAsia="zh-CN"/>
              </w:rPr>
              <w:t>全闪存储国产品牌:可用容量≥20T；</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2、HDD存储国产品牌:可用容量≥60T；</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3、国产知名品牌，原厂商对分布式存储系统具有完全自主知识产权；</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4、存储系统中任何一个存储节点出现故障，不影响数据的正常访问；</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5、配置220TB物理容量的分布式软件系统授权许可（license无功能控制或限制）；</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6、支持 iSCSI多路径自动发现（ALUA）及访问控制；</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7、支持主流的NFS、FTP、WebDav等协议，同一份数据实现不同协议共享访问；</w:t>
            </w:r>
          </w:p>
          <w:p>
            <w:pPr>
              <w:pStyle w:val="10"/>
              <w:numPr>
                <w:numId w:val="0"/>
              </w:numPr>
              <w:rPr>
                <w:rFonts w:hint="default" w:ascii="仿宋_GB2312" w:hAnsi="宋体" w:eastAsia="仿宋_GB2312" w:cs="仿宋_GB2312"/>
                <w:i w:val="0"/>
                <w:iCs w:val="0"/>
                <w:color w:val="000000"/>
                <w:kern w:val="0"/>
                <w:sz w:val="28"/>
                <w:szCs w:val="28"/>
                <w:u w:val="none"/>
                <w:lang w:val="en-US" w:eastAsia="zh-CN"/>
              </w:rPr>
            </w:pPr>
            <w:r>
              <w:rPr>
                <w:rFonts w:hint="default" w:ascii="仿宋_GB2312" w:hAnsi="宋体" w:eastAsia="仿宋_GB2312" w:cs="仿宋_GB2312"/>
                <w:i w:val="0"/>
                <w:iCs w:val="0"/>
                <w:color w:val="000000"/>
                <w:kern w:val="0"/>
                <w:sz w:val="28"/>
                <w:szCs w:val="28"/>
                <w:u w:val="none"/>
                <w:lang w:val="en-US" w:eastAsia="zh-CN"/>
              </w:rPr>
              <w:t>8、单节点支持FTP并发连接数不低于2000个；</w:t>
            </w:r>
          </w:p>
          <w:p>
            <w:pPr>
              <w:pStyle w:val="10"/>
              <w:numPr>
                <w:numId w:val="0"/>
              </w:numPr>
              <w:rPr>
                <w:rFonts w:hint="default" w:ascii="仿宋_GB2312" w:hAnsi="宋体" w:eastAsia="仿宋_GB2312" w:cs="仿宋_GB2312"/>
                <w:i w:val="0"/>
                <w:iCs w:val="0"/>
                <w:color w:val="000000"/>
                <w:kern w:val="0"/>
                <w:sz w:val="28"/>
                <w:szCs w:val="28"/>
                <w:u w:val="none"/>
                <w:lang w:val="en-US" w:eastAsia="zh-CN"/>
              </w:rPr>
            </w:pPr>
            <w:r>
              <w:rPr>
                <w:rFonts w:hint="default" w:ascii="仿宋_GB2312" w:hAnsi="宋体" w:eastAsia="仿宋_GB2312" w:cs="仿宋_GB2312"/>
                <w:i w:val="0"/>
                <w:iCs w:val="0"/>
                <w:color w:val="000000"/>
                <w:kern w:val="0"/>
                <w:sz w:val="28"/>
                <w:szCs w:val="28"/>
                <w:u w:val="none"/>
                <w:lang w:val="en-US" w:eastAsia="zh-CN"/>
              </w:rPr>
              <w:t>9、对所有文件协议和接口都支持小文件合并优化功能，在web管理页面可针对指定目录选择是否开启此功能；</w:t>
            </w:r>
          </w:p>
          <w:p>
            <w:pPr>
              <w:pStyle w:val="10"/>
              <w:numPr>
                <w:numId w:val="0"/>
              </w:numPr>
              <w:rPr>
                <w:rFonts w:hint="default" w:ascii="仿宋_GB2312" w:hAnsi="宋体" w:eastAsia="仿宋_GB2312" w:cs="仿宋_GB2312"/>
                <w:i w:val="0"/>
                <w:iCs w:val="0"/>
                <w:color w:val="000000"/>
                <w:kern w:val="0"/>
                <w:sz w:val="28"/>
                <w:szCs w:val="28"/>
                <w:u w:val="none"/>
                <w:lang w:val="en-US" w:eastAsia="zh-CN"/>
              </w:rPr>
            </w:pPr>
            <w:r>
              <w:rPr>
                <w:rFonts w:hint="default" w:ascii="仿宋_GB2312" w:hAnsi="宋体" w:eastAsia="仿宋_GB2312" w:cs="仿宋_GB2312"/>
                <w:i w:val="0"/>
                <w:iCs w:val="0"/>
                <w:color w:val="000000"/>
                <w:kern w:val="0"/>
                <w:sz w:val="28"/>
                <w:szCs w:val="28"/>
                <w:u w:val="none"/>
                <w:lang w:val="en-US" w:eastAsia="zh-CN"/>
              </w:rPr>
              <w:t>10、提供WORM功能，可按照目录选择是否开启WORM功能；</w:t>
            </w:r>
          </w:p>
          <w:p>
            <w:pPr>
              <w:pStyle w:val="10"/>
              <w:numPr>
                <w:numId w:val="0"/>
              </w:numPr>
              <w:rPr>
                <w:rFonts w:hint="default" w:ascii="仿宋_GB2312" w:hAnsi="宋体" w:eastAsia="仿宋_GB2312" w:cs="仿宋_GB2312"/>
                <w:i w:val="0"/>
                <w:iCs w:val="0"/>
                <w:color w:val="000000"/>
                <w:kern w:val="0"/>
                <w:sz w:val="28"/>
                <w:szCs w:val="28"/>
                <w:u w:val="none"/>
                <w:lang w:val="en-US" w:eastAsia="zh-CN"/>
              </w:rPr>
            </w:pPr>
            <w:r>
              <w:rPr>
                <w:rFonts w:hint="eastAsia" w:ascii="仿宋_GB2312" w:hAnsi="宋体" w:cs="仿宋_GB2312"/>
                <w:i w:val="0"/>
                <w:iCs w:val="0"/>
                <w:color w:val="000000"/>
                <w:kern w:val="0"/>
                <w:sz w:val="28"/>
                <w:szCs w:val="28"/>
                <w:u w:val="none"/>
                <w:lang w:val="en-US" w:eastAsia="zh-CN"/>
              </w:rPr>
              <w:t>11、每节点可扩展HDD存储容量</w:t>
            </w:r>
            <w:r>
              <w:rPr>
                <w:rFonts w:hint="default" w:ascii="仿宋_GB2312" w:hAnsi="宋体" w:eastAsia="仿宋_GB2312" w:cs="仿宋_GB2312"/>
                <w:i w:val="0"/>
                <w:iCs w:val="0"/>
                <w:color w:val="000000"/>
                <w:kern w:val="0"/>
                <w:sz w:val="28"/>
                <w:szCs w:val="28"/>
                <w:u w:val="none"/>
                <w:lang w:val="en-US" w:eastAsia="zh-CN"/>
              </w:rPr>
              <w:t>≥</w:t>
            </w:r>
            <w:r>
              <w:rPr>
                <w:rFonts w:hint="eastAsia" w:ascii="仿宋_GB2312" w:hAnsi="宋体" w:cs="仿宋_GB2312"/>
                <w:i w:val="0"/>
                <w:iCs w:val="0"/>
                <w:color w:val="000000"/>
                <w:kern w:val="0"/>
                <w:sz w:val="28"/>
                <w:szCs w:val="28"/>
                <w:u w:val="none"/>
                <w:lang w:val="en-US" w:eastAsia="zh-CN"/>
              </w:rPr>
              <w:t>14TB；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9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4</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仿宋_GB2312" w:hAnsi="宋体" w:eastAsia="仿宋_GB2312" w:cs="仿宋_GB2312"/>
                <w:i w:val="0"/>
                <w:iCs w:val="0"/>
                <w:color w:val="000000"/>
                <w:sz w:val="32"/>
                <w:szCs w:val="32"/>
                <w:u w:val="none"/>
              </w:rPr>
            </w:pPr>
            <w:r>
              <w:rPr>
                <w:rStyle w:val="15"/>
                <w:rFonts w:hAnsi="宋体"/>
                <w:lang w:val="en-US" w:eastAsia="zh-CN"/>
              </w:rPr>
              <w:t>交换机</w:t>
            </w:r>
          </w:p>
        </w:tc>
        <w:tc>
          <w:tcPr>
            <w:tcW w:w="8453" w:type="dxa"/>
            <w:tcBorders>
              <w:top w:val="single" w:color="000000" w:sz="8" w:space="0"/>
              <w:left w:val="single" w:color="000000" w:sz="8" w:space="0"/>
              <w:bottom w:val="single" w:color="000000" w:sz="8" w:space="0"/>
              <w:right w:val="single" w:color="000000" w:sz="8" w:space="0"/>
            </w:tcBorders>
            <w:vAlign w:val="center"/>
          </w:tcPr>
          <w:p>
            <w:pPr>
              <w:widowControl/>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1、SFP+光口≥24个；</w:t>
            </w:r>
            <w:r>
              <w:rPr>
                <w:rFonts w:hint="default" w:ascii="仿宋_GB2312" w:hAnsi="宋体" w:eastAsia="仿宋_GB2312" w:cs="仿宋_GB2312"/>
                <w:i w:val="0"/>
                <w:iCs w:val="0"/>
                <w:color w:val="000000"/>
                <w:kern w:val="0"/>
                <w:sz w:val="28"/>
                <w:szCs w:val="28"/>
                <w:u w:val="none"/>
                <w:lang w:val="en-US" w:eastAsia="zh-CN"/>
              </w:rPr>
              <w:br/>
            </w:r>
            <w:r>
              <w:rPr>
                <w:rFonts w:hint="default" w:ascii="仿宋_GB2312" w:hAnsi="宋体" w:eastAsia="仿宋_GB2312" w:cs="仿宋_GB2312"/>
                <w:i w:val="0"/>
                <w:iCs w:val="0"/>
                <w:color w:val="000000"/>
                <w:kern w:val="0"/>
                <w:sz w:val="28"/>
                <w:szCs w:val="28"/>
                <w:u w:val="none"/>
                <w:lang w:val="en-US" w:eastAsia="zh-CN"/>
              </w:rPr>
              <w:t>2、光模块≥4个；</w:t>
            </w:r>
          </w:p>
        </w:tc>
      </w:tr>
    </w:tbl>
    <w:p>
      <w:pPr>
        <w:numPr>
          <w:numId w:val="0"/>
        </w:numPr>
        <w:ind w:leftChars="0"/>
        <w:jc w:val="both"/>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numPr>
          <w:ilvl w:val="0"/>
          <w:numId w:val="2"/>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部署的</w:t>
      </w:r>
      <w:r>
        <w:rPr>
          <w:rFonts w:hint="eastAsia" w:ascii="仿宋_GB2312" w:hAnsi="仿宋_GB2312" w:eastAsia="仿宋_GB2312" w:cs="仿宋_GB2312"/>
          <w:color w:val="auto"/>
          <w:sz w:val="32"/>
          <w:szCs w:val="32"/>
        </w:rPr>
        <w:t>存储</w:t>
      </w:r>
      <w:r>
        <w:rPr>
          <w:rFonts w:hint="eastAsia" w:ascii="仿宋_GB2312" w:hAnsi="仿宋_GB2312" w:eastAsia="仿宋_GB2312" w:cs="仿宋_GB2312"/>
          <w:color w:val="auto"/>
          <w:sz w:val="32"/>
          <w:szCs w:val="32"/>
          <w:lang w:val="en-US" w:eastAsia="zh-CN"/>
        </w:rPr>
        <w:t>及虚拟化</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需要不少于80T存储空间并需要考虑后期扩容情况。</w:t>
      </w:r>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根据医院</w:t>
      </w:r>
      <w:r>
        <w:rPr>
          <w:rFonts w:hint="eastAsia" w:ascii="仿宋_GB2312" w:hAnsi="仿宋_GB2312" w:eastAsia="仿宋_GB2312" w:cs="仿宋_GB2312"/>
          <w:color w:val="auto"/>
          <w:sz w:val="32"/>
          <w:szCs w:val="32"/>
        </w:rPr>
        <w:t>存储数据特性，并响应国家建设安全可控信息系统的政策；方案</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选用国产自研存储设备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在保证影像数据的高性能、高可用体验访问的同时，还要满足影像数据今后持久保存的高扩展性要求，并支撑系统实现安全、高效的在线、近线和离线数据的全生命周期分级存储和管理。</w:t>
      </w:r>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采购服务器均部署虚拟化，硬件设备需满足国产化产品，软件平台也许要满足国产化虚拟化平台，两节点虚拟化用于运行肿瘤相关数据分析业务及肿瘤生物样本库业务，业务数据存放在分布式存储上，以保障数据的高性能、高可用。</w:t>
      </w:r>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本项目系统安装调试并经验收合格后，应对采购方的相关</w:t>
      </w:r>
      <w:r>
        <w:rPr>
          <w:rFonts w:hint="eastAsia" w:ascii="仿宋_GB2312" w:hAnsi="仿宋_GB2312" w:eastAsia="仿宋_GB2312" w:cs="仿宋_GB2312"/>
          <w:color w:val="auto"/>
          <w:sz w:val="32"/>
          <w:szCs w:val="32"/>
          <w:lang w:val="en-US" w:eastAsia="zh-CN"/>
        </w:rPr>
        <w:t>人员提供关于虚拟化平台技术及存储技术和操作方面的培训。</w:t>
      </w:r>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本项目实施主要工作为：各设备上架调试、系统集成等软硬件安装工作，同时必须结合医院现有设备及应用情况，实施现有及本项目规划、等保安全、系统集成、数据迁移、服务器及虚拟化版本升级统一、虚拟服务器迁移、存储迁移、CAS虚拟化平台搭建与运维、CAS虚拟化平台虚拟服务器迁移、CAS虚拟化平台虚拟服务器备份、协助完成医院评审工作包括但不限于三级等保评审、电子病历评审、互联互通评审等各项工作；</w:t>
      </w:r>
      <w:bookmarkEnd w:id="0"/>
    </w:p>
    <w:p>
      <w:pPr>
        <w:pStyle w:val="13"/>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本预算价应包含设备价格、实施费用、集成费用及3年保修期内的维修及服务费用等，本预算价为含税开票价格；</w:t>
      </w:r>
    </w:p>
    <w:p>
      <w:pPr>
        <w:pStyle w:val="10"/>
        <w:widowControl w:val="0"/>
        <w:numPr>
          <w:ilvl w:val="0"/>
          <w:numId w:val="2"/>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提供业绩清单及近3年省内同类项目中标书（若有）</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7、参加调研会的公司应准备PPT材料（含方案介绍、服务及集成能力、应用案例、报价等）、技术参数等材料，每公司讲解时间30分钟（含答疑10分钟）；同时上述材料须交予院方留档（提供U盘留档）。</w:t>
      </w: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10"/>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92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1990"/>
        <w:gridCol w:w="149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序号</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项目名称</w:t>
            </w:r>
          </w:p>
        </w:tc>
        <w:tc>
          <w:tcPr>
            <w:tcW w:w="14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数量</w:t>
            </w:r>
          </w:p>
        </w:tc>
        <w:tc>
          <w:tcPr>
            <w:tcW w:w="460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1</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c>
          <w:tcPr>
            <w:tcW w:w="14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p>
        </w:tc>
        <w:tc>
          <w:tcPr>
            <w:tcW w:w="460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2</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c>
          <w:tcPr>
            <w:tcW w:w="14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p>
        </w:tc>
        <w:tc>
          <w:tcPr>
            <w:tcW w:w="460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3</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c>
          <w:tcPr>
            <w:tcW w:w="14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p>
        </w:tc>
        <w:tc>
          <w:tcPr>
            <w:tcW w:w="460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7" w:hRule="atLeast"/>
        </w:trPr>
        <w:tc>
          <w:tcPr>
            <w:tcW w:w="11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4</w:t>
            </w:r>
          </w:p>
        </w:tc>
        <w:tc>
          <w:tcPr>
            <w:tcW w:w="199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c>
          <w:tcPr>
            <w:tcW w:w="149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hint="default" w:ascii="仿宋_GB2312" w:hAnsi="宋体" w:eastAsia="仿宋_GB2312" w:cs="仿宋_GB2312"/>
                <w:i w:val="0"/>
                <w:iCs w:val="0"/>
                <w:color w:val="000000"/>
                <w:sz w:val="28"/>
                <w:szCs w:val="28"/>
                <w:u w:val="none"/>
              </w:rPr>
            </w:pPr>
          </w:p>
        </w:tc>
        <w:tc>
          <w:tcPr>
            <w:tcW w:w="4600"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hint="default" w:ascii="仿宋_GB2312" w:hAnsi="宋体" w:eastAsia="仿宋_GB2312" w:cs="仿宋_GB2312"/>
                <w:i w:val="0"/>
                <w:iCs w:val="0"/>
                <w:color w:val="000000"/>
                <w:sz w:val="28"/>
                <w:szCs w:val="28"/>
                <w:u w:val="none"/>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eastAsia="仿宋_GB2312" w:cs="仿宋_GB2312"/>
          <w:b w:val="0"/>
          <w:bCs/>
          <w:sz w:val="32"/>
          <w:szCs w:val="32"/>
          <w:shd w:val="clear" w:color="auto" w:fill="FFFFFF"/>
        </w:rPr>
      </w:pPr>
    </w:p>
    <w:p>
      <w:pPr>
        <w:pStyle w:val="1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3307416">
    <w:nsid w:val="00327798"/>
    <w:multiLevelType w:val="singleLevel"/>
    <w:tmpl w:val="00327798"/>
    <w:lvl w:ilvl="0" w:tentative="1">
      <w:start w:val="1"/>
      <w:numFmt w:val="decimal"/>
      <w:suff w:val="nothing"/>
      <w:lvlText w:val="%1、"/>
      <w:lvlJc w:val="left"/>
    </w:lvl>
  </w:abstractNum>
  <w:abstractNum w:abstractNumId="1434977655">
    <w:nsid w:val="55880577"/>
    <w:multiLevelType w:val="singleLevel"/>
    <w:tmpl w:val="55880577"/>
    <w:lvl w:ilvl="0" w:tentative="1">
      <w:start w:val="1"/>
      <w:numFmt w:val="decimal"/>
      <w:suff w:val="nothing"/>
      <w:lvlText w:val="%1、"/>
      <w:lvlJc w:val="left"/>
    </w:lvl>
  </w:abstractNum>
  <w:num w:numId="1">
    <w:abstractNumId w:val="3307416"/>
  </w:num>
  <w:num w:numId="2">
    <w:abstractNumId w:val="1398085122"/>
  </w:num>
  <w:num w:numId="3">
    <w:abstractNumId w:val="14349776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8">
    <w:name w:val="Default Paragraph Font"/>
    <w:semiHidden/>
    <w:qFormat/>
    <w:uiPriority w:val="0"/>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9">
    <w:name w:val="Strong"/>
    <w:qFormat/>
    <w:uiPriority w:val="0"/>
    <w:rPr>
      <w:b/>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2">
    <w:name w:val="List Paragraph"/>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font11"/>
    <w:basedOn w:val="8"/>
    <w:qFormat/>
    <w:uiPriority w:val="0"/>
    <w:rPr>
      <w:rFonts w:hint="default" w:ascii="仿宋_GB2312" w:eastAsia="仿宋_GB2312" w:cs="仿宋_GB2312"/>
      <w:color w:val="000000"/>
      <w:sz w:val="28"/>
      <w:szCs w:val="28"/>
      <w:u w:val="none"/>
    </w:rPr>
  </w:style>
  <w:style w:type="character" w:customStyle="1" w:styleId="15">
    <w:name w:val="font21"/>
    <w:basedOn w:val="8"/>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1849</Words>
  <Characters>2122</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2023-10-10T07:09:42Z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