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0" w:rsidRDefault="00EB376A">
      <w:pPr>
        <w:pStyle w:val="1"/>
        <w:jc w:val="center"/>
        <w:rPr>
          <w:rFonts w:ascii="仿宋_GB2312" w:eastAsia="方正小标宋简体" w:hAnsi="仿宋_GB2312" w:cs="仿宋_GB2312"/>
          <w:b w:val="0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kern w:val="2"/>
          <w:szCs w:val="44"/>
        </w:rPr>
        <w:t>福建省肿瘤医院采购</w:t>
      </w:r>
      <w:r>
        <w:rPr>
          <w:rFonts w:ascii="方正小标宋简体" w:eastAsia="方正小标宋简体" w:hAnsi="方正小标宋简体" w:cs="方正小标宋简体" w:hint="eastAsia"/>
          <w:b w:val="0"/>
          <w:kern w:val="2"/>
          <w:szCs w:val="44"/>
        </w:rPr>
        <w:t>调研公</w:t>
      </w:r>
      <w:r>
        <w:rPr>
          <w:rFonts w:ascii="方正小标宋简体" w:eastAsia="方正小标宋简体" w:hAnsi="方正小标宋简体" w:cs="方正小标宋简体" w:hint="eastAsia"/>
          <w:b w:val="0"/>
          <w:kern w:val="2"/>
          <w:szCs w:val="44"/>
        </w:rPr>
        <w:t>告</w:t>
      </w:r>
    </w:p>
    <w:p w:rsidR="00C77340" w:rsidRDefault="00EB376A" w:rsidP="001845DE">
      <w:pPr>
        <w:widowControl/>
        <w:shd w:val="clear" w:color="auto" w:fill="FFFFFF"/>
        <w:adjustRightInd w:val="0"/>
        <w:snapToGrid w:val="0"/>
        <w:spacing w:beforeLines="50" w:before="158"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第一部分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7781"/>
      </w:tblGrid>
      <w:tr w:rsidR="00C77340">
        <w:trPr>
          <w:trHeight w:val="54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pStyle w:val="a5"/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主　　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要　　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内　　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容</w:t>
            </w:r>
          </w:p>
        </w:tc>
      </w:tr>
      <w:tr w:rsidR="00C77340">
        <w:trPr>
          <w:trHeight w:val="90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C77340">
        <w:trPr>
          <w:trHeight w:val="1444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pacing w:before="150"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2023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节假日除外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)8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00-12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或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00-17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北京时间）</w:t>
            </w:r>
          </w:p>
          <w:p w:rsidR="00C77340" w:rsidRDefault="00EB376A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2023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C77340">
        <w:trPr>
          <w:trHeight w:val="685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文件正本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single"/>
              </w:rPr>
              <w:t>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副本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u w:val="single"/>
              </w:rPr>
              <w:t>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份胶装并密封加盖投标人公章。文件未胶装将视为无效。</w:t>
            </w:r>
          </w:p>
        </w:tc>
      </w:tr>
      <w:tr w:rsidR="00C77340">
        <w:trPr>
          <w:trHeight w:val="631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网络技术中心</w:t>
            </w:r>
          </w:p>
        </w:tc>
      </w:tr>
      <w:tr w:rsidR="00C77340">
        <w:trPr>
          <w:trHeight w:val="631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 w:rsidR="00C77340">
        <w:trPr>
          <w:trHeight w:val="1090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pacing w:line="31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83660063-8407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83660063-8467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 w:rsidR="00C77340" w:rsidRDefault="00C77340">
      <w:pPr>
        <w:widowControl/>
        <w:shd w:val="clear" w:color="auto" w:fill="FFFFFF"/>
        <w:spacing w:line="336" w:lineRule="auto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 w:rsidR="00C77340" w:rsidRDefault="00EB376A">
      <w:pPr>
        <w:widowControl/>
        <w:shd w:val="clear" w:color="auto" w:fill="FFFFFF"/>
        <w:spacing w:line="336" w:lineRule="auto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地　址：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福建省福州市福马路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420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C77340" w:rsidRDefault="00EB376A">
      <w:pPr>
        <w:widowControl/>
        <w:shd w:val="clear" w:color="auto" w:fill="FFFFFF"/>
        <w:spacing w:line="336" w:lineRule="auto"/>
        <w:ind w:left="1260" w:firstLine="4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福建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科研楼四楼网络技术中心</w:t>
      </w:r>
    </w:p>
    <w:p w:rsidR="00C77340" w:rsidRDefault="00EB376A">
      <w:pPr>
        <w:widowControl/>
        <w:shd w:val="clear" w:color="auto" w:fill="FFFFFF"/>
        <w:spacing w:line="440" w:lineRule="atLeas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邮　编：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350014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　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</w:p>
    <w:p w:rsidR="00C77340" w:rsidRDefault="00EB376A">
      <w:pPr>
        <w:widowControl/>
        <w:shd w:val="clear" w:color="auto" w:fill="FFFFFF"/>
        <w:spacing w:line="440" w:lineRule="atLeas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报名联系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电话：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0591-83660063-8822</w:t>
      </w:r>
    </w:p>
    <w:p w:rsidR="00C77340" w:rsidRDefault="00EB376A">
      <w:pPr>
        <w:widowControl/>
        <w:shd w:val="clear" w:color="auto" w:fill="FFFFFF"/>
        <w:spacing w:line="440" w:lineRule="atLeas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金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工</w:t>
      </w:r>
    </w:p>
    <w:p w:rsidR="00C77340" w:rsidRDefault="00EB376A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br w:type="page"/>
      </w:r>
    </w:p>
    <w:p w:rsidR="00C77340" w:rsidRDefault="00EB376A">
      <w:pPr>
        <w:widowControl/>
        <w:shd w:val="clear" w:color="auto" w:fill="FFFFFF"/>
        <w:adjustRightInd w:val="0"/>
        <w:snapToGrid w:val="0"/>
        <w:ind w:firstLine="420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lastRenderedPageBreak/>
        <w:t>第二部分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>具体要求</w:t>
      </w:r>
    </w:p>
    <w:p w:rsidR="00C77340" w:rsidRDefault="00EB376A">
      <w:pPr>
        <w:widowControl/>
        <w:shd w:val="clear" w:color="auto" w:fill="FFFFFF"/>
        <w:spacing w:line="440" w:lineRule="atLeas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3178"/>
        <w:gridCol w:w="1590"/>
        <w:gridCol w:w="1894"/>
      </w:tblGrid>
      <w:tr w:rsidR="00C77340">
        <w:trPr>
          <w:trHeight w:hRule="exact" w:val="454"/>
        </w:trPr>
        <w:tc>
          <w:tcPr>
            <w:tcW w:w="2697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3178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590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 w:rsidR="00C77340" w:rsidTr="001845DE">
        <w:trPr>
          <w:trHeight w:hRule="exact" w:val="825"/>
        </w:trPr>
        <w:tc>
          <w:tcPr>
            <w:tcW w:w="2697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一）</w:t>
            </w:r>
          </w:p>
        </w:tc>
        <w:tc>
          <w:tcPr>
            <w:tcW w:w="3178" w:type="dxa"/>
            <w:vAlign w:val="center"/>
          </w:tcPr>
          <w:p w:rsidR="00C77340" w:rsidRDefault="00EB376A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1845DE">
              <w:rPr>
                <w:rFonts w:ascii="仿宋" w:eastAsia="仿宋" w:hAnsi="仿宋" w:cs="仿宋" w:hint="eastAsia"/>
                <w:kern w:val="0"/>
                <w:sz w:val="24"/>
              </w:rPr>
              <w:t>移动护理及护理文书系统升级项目</w:t>
            </w:r>
          </w:p>
        </w:tc>
        <w:tc>
          <w:tcPr>
            <w:tcW w:w="1590" w:type="dxa"/>
            <w:vAlign w:val="center"/>
          </w:tcPr>
          <w:p w:rsidR="00C77340" w:rsidRDefault="00EB376A">
            <w:pPr>
              <w:autoSpaceDN w:val="0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="001845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4" w:type="dxa"/>
            <w:vAlign w:val="center"/>
          </w:tcPr>
          <w:p w:rsidR="00C77340" w:rsidRDefault="00EB376A">
            <w:pPr>
              <w:autoSpaceDN w:val="0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="001845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200</w:t>
            </w:r>
          </w:p>
        </w:tc>
      </w:tr>
      <w:tr w:rsidR="00C77340">
        <w:trPr>
          <w:trHeight w:hRule="exact" w:val="454"/>
        </w:trPr>
        <w:tc>
          <w:tcPr>
            <w:tcW w:w="2697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178" w:type="dxa"/>
            <w:vAlign w:val="center"/>
          </w:tcPr>
          <w:p w:rsidR="00C77340" w:rsidRDefault="00C77340">
            <w:pP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77340" w:rsidRDefault="00C77340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C77340" w:rsidRDefault="00C77340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7340">
        <w:trPr>
          <w:trHeight w:hRule="exact" w:val="454"/>
        </w:trPr>
        <w:tc>
          <w:tcPr>
            <w:tcW w:w="2697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3178" w:type="dxa"/>
            <w:vAlign w:val="center"/>
          </w:tcPr>
          <w:p w:rsidR="00C77340" w:rsidRDefault="00C77340">
            <w:pP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77340" w:rsidRDefault="00C77340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C77340" w:rsidRDefault="00C77340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77340">
        <w:trPr>
          <w:trHeight w:hRule="exact" w:val="454"/>
        </w:trPr>
        <w:tc>
          <w:tcPr>
            <w:tcW w:w="2697" w:type="dxa"/>
            <w:vAlign w:val="center"/>
          </w:tcPr>
          <w:p w:rsidR="00C77340" w:rsidRDefault="00EB376A" w:rsidP="001845DE">
            <w:pPr>
              <w:widowControl/>
              <w:spacing w:afterLines="50" w:after="15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178" w:type="dxa"/>
            <w:vAlign w:val="center"/>
          </w:tcPr>
          <w:p w:rsidR="00C77340" w:rsidRDefault="00C77340">
            <w:pP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77340" w:rsidRDefault="00C77340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C77340" w:rsidRDefault="00C77340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C77340" w:rsidRDefault="00EB376A">
      <w:pPr>
        <w:keepNext/>
        <w:widowControl/>
        <w:shd w:val="clear" w:color="auto" w:fill="FFFFFF"/>
        <w:autoSpaceDE w:val="0"/>
        <w:spacing w:before="120" w:after="12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 w:rsidR="00C77340" w:rsidRDefault="00EB376A">
      <w:pPr>
        <w:pStyle w:val="Flietex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、合同包（一）</w:t>
      </w:r>
    </w:p>
    <w:tbl>
      <w:tblPr>
        <w:tblW w:w="942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6426"/>
        <w:gridCol w:w="1867"/>
      </w:tblGrid>
      <w:tr w:rsidR="00C77340" w:rsidTr="001845DE">
        <w:trPr>
          <w:trHeight w:hRule="exact" w:val="454"/>
        </w:trPr>
        <w:tc>
          <w:tcPr>
            <w:tcW w:w="1127" w:type="dxa"/>
            <w:vAlign w:val="center"/>
          </w:tcPr>
          <w:p w:rsidR="00C77340" w:rsidRDefault="00EB37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6426" w:type="dxa"/>
            <w:vAlign w:val="center"/>
          </w:tcPr>
          <w:p w:rsidR="00C77340" w:rsidRDefault="00EB37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1867" w:type="dxa"/>
            <w:vAlign w:val="center"/>
          </w:tcPr>
          <w:p w:rsidR="00C77340" w:rsidRDefault="00EB37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技术参数要求</w:t>
            </w: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移动护理系统【移动护士工作站和护理文书系统（升级）】</w:t>
            </w:r>
          </w:p>
        </w:tc>
        <w:tc>
          <w:tcPr>
            <w:tcW w:w="1867" w:type="dxa"/>
            <w:vAlign w:val="center"/>
          </w:tcPr>
          <w:p w:rsidR="001845DE" w:rsidRP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845DE">
              <w:t>详见</w:t>
            </w:r>
            <w:r w:rsidRPr="001845DE">
              <w:rPr>
                <w:rFonts w:hint="eastAsia"/>
              </w:rPr>
              <w:t>1.1</w:t>
            </w: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护理质量管理系统（升级）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护理敏感指标系统（新增）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护士站公告系统（升级）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6" w:type="dxa"/>
            <w:vAlign w:val="center"/>
          </w:tcPr>
          <w:p w:rsidR="001845DE" w:rsidRDefault="004E2C53" w:rsidP="00C4008A">
            <w:pPr>
              <w:spacing w:before="60" w:after="60"/>
              <w:jc w:val="center"/>
            </w:pPr>
            <w:r w:rsidRPr="004E2C53">
              <w:rPr>
                <w:rFonts w:hint="eastAsia"/>
              </w:rPr>
              <w:t>护理看板信息系统</w:t>
            </w:r>
            <w:r>
              <w:rPr>
                <w:rFonts w:hint="eastAsia"/>
              </w:rPr>
              <w:t>【新增一个病区智能交互大屏实施费（含</w:t>
            </w:r>
            <w:r w:rsidR="001845DE">
              <w:rPr>
                <w:rFonts w:hint="eastAsia"/>
              </w:rPr>
              <w:t>大屏）】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互联</w:t>
            </w:r>
            <w:proofErr w:type="gramStart"/>
            <w:r>
              <w:rPr>
                <w:rFonts w:hint="eastAsia"/>
              </w:rPr>
              <w:t>互通四</w:t>
            </w:r>
            <w:proofErr w:type="gramEnd"/>
            <w:r>
              <w:rPr>
                <w:rFonts w:hint="eastAsia"/>
              </w:rPr>
              <w:t>甲、五乙评审改造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电子病历五级评审改造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45DE" w:rsidTr="001845DE">
        <w:trPr>
          <w:trHeight w:hRule="exact" w:val="454"/>
        </w:trPr>
        <w:tc>
          <w:tcPr>
            <w:tcW w:w="1127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426" w:type="dxa"/>
            <w:vAlign w:val="center"/>
          </w:tcPr>
          <w:p w:rsidR="001845DE" w:rsidRDefault="001845DE" w:rsidP="00C4008A">
            <w:pPr>
              <w:spacing w:before="60" w:after="60"/>
              <w:jc w:val="center"/>
            </w:pPr>
            <w:r>
              <w:rPr>
                <w:rFonts w:hint="eastAsia"/>
              </w:rPr>
              <w:t>电子病历六级评审改造</w:t>
            </w:r>
          </w:p>
        </w:tc>
        <w:tc>
          <w:tcPr>
            <w:tcW w:w="1867" w:type="dxa"/>
            <w:vAlign w:val="center"/>
          </w:tcPr>
          <w:p w:rsidR="001845DE" w:rsidRDefault="001845D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845DE" w:rsidRPr="001845DE" w:rsidRDefault="001845DE" w:rsidP="001845DE">
      <w:pPr>
        <w:pStyle w:val="Flietext"/>
        <w:rPr>
          <w:rFonts w:ascii="仿宋_GB2312" w:hAnsi="仿宋_GB2312" w:cs="仿宋_GB2312"/>
          <w:b/>
          <w:szCs w:val="24"/>
        </w:rPr>
      </w:pPr>
      <w:r w:rsidRPr="001845DE">
        <w:rPr>
          <w:rFonts w:ascii="仿宋_GB2312" w:hAnsi="仿宋_GB2312" w:cs="仿宋_GB2312" w:hint="eastAsia"/>
          <w:b/>
          <w:szCs w:val="24"/>
        </w:rPr>
        <w:t>1.1</w:t>
      </w:r>
      <w:r w:rsidRPr="001845DE">
        <w:rPr>
          <w:rFonts w:ascii="仿宋_GB2312" w:hAnsi="仿宋_GB2312" w:cs="仿宋_GB2312" w:hint="eastAsia"/>
          <w:b/>
          <w:szCs w:val="24"/>
        </w:rPr>
        <w:t>移动护理系统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752"/>
      </w:tblGrid>
      <w:tr w:rsidR="001845DE" w:rsidTr="00C4008A">
        <w:trPr>
          <w:trHeight w:val="461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kern w:val="0"/>
                <w:szCs w:val="20"/>
              </w:rPr>
              <w:t>功能模块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kern w:val="0"/>
                <w:szCs w:val="20"/>
              </w:rPr>
              <w:t>功能要求</w:t>
            </w:r>
          </w:p>
        </w:tc>
      </w:tr>
      <w:tr w:rsidR="001845DE" w:rsidTr="00C4008A">
        <w:trPr>
          <w:trHeight w:val="461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腕带管理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支持腕带打印、床头卡打印、腕带绑定等功能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病区管理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支持病人过敏信息查询、手术安排查询、病人统计、病区统计、护士工号打印等功能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病人管理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支持病人列表、病人信息、病人简卡、病人分组管理、病人流转核对、病人流转管理、病人流转查询、转科病人查询等功能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患者交接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支持普通患者、危重患者、血透患者、急诊患者、介入治疗、新生儿、手术患者等转运交接记录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健康教育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支持健康教育字典维护，实现床旁宣教，并生成健康宣教记录单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护理等级巡视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支持通过扫描病人腕带、床头牌或瓶贴等形式完成护理等级巡视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出院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支持对患者进行出院项目进行评估，并提供出院病人查询功能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生命体征管理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支持体温单、全科体征、体征采集智能提示、体征规则配置等功能，并进行体征数据校验，提供脉搏秒表、智能提醒、智能体征键盘等功能以及实现智能体征监测设备对接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医嘱管理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医嘱查询、医嘱拆分、瓶签打印、医嘱执行、医嘱执行记录、医嘱执行巡视、高危药品执行提示、配置药品过期提示、执行超时提示、PDA扫描率、PDA安全卫士、全科临时医嘱、全科长期医嘱、输液观察记录单、医嘱注射记录单、医嘱输液记录单、打印输液</w:t>
            </w:r>
            <w:proofErr w:type="gramStart"/>
            <w:r>
              <w:rPr>
                <w:rFonts w:ascii="宋体" w:hAnsi="宋体" w:hint="eastAsia"/>
              </w:rPr>
              <w:t>巡视卡</w:t>
            </w:r>
            <w:proofErr w:type="gramEnd"/>
            <w:r>
              <w:rPr>
                <w:rFonts w:ascii="宋体" w:hAnsi="宋体" w:hint="eastAsia"/>
              </w:rPr>
              <w:t>等功，实现医嘱全流程管理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入院评估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支持完成患者入院评估单</w:t>
            </w:r>
          </w:p>
        </w:tc>
      </w:tr>
      <w:tr w:rsidR="001845DE" w:rsidTr="00C4008A">
        <w:trPr>
          <w:trHeight w:val="376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风险评估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跌倒坠床、压疮、疼痛、滑脱、自理能力、中心导管拔管表、吞咽功能障碍评定、误吸/窒息风险、心理评估、深静脉血栓、Ramsay镇静评分、GCS评估、烫伤风险、简易智力状态检查（MMSE）、营养评估、呼吸机评估、气管插管患者评估、留置导尿</w:t>
            </w:r>
            <w:proofErr w:type="gramStart"/>
            <w:r>
              <w:rPr>
                <w:rFonts w:ascii="宋体" w:hAnsi="宋体" w:hint="eastAsia"/>
              </w:rPr>
              <w:t>管患者</w:t>
            </w:r>
            <w:proofErr w:type="gramEnd"/>
            <w:r>
              <w:rPr>
                <w:rFonts w:ascii="宋体" w:hAnsi="宋体" w:hint="eastAsia"/>
              </w:rPr>
              <w:t>评估、临终患者病情评估、MEWS评估等各类评估单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记录单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支持病人护理记录单、专科护理记录单、危重护理记录单、血糖结果登记表、保护性约束观察巡视记录单、深静脉导管置入术后维护单、吸氧记录卡、喂养记录单等表单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结果报告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支持查看病人检查、检验结果，支持异常指标提示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护理任务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支持护理计划、护士待做、床旁便签等功能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护理会诊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支持针对会诊流程和所需要会诊的患者，记录护理会诊信息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交班报告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支持按班次时间段统计项目，交班描述可引用病人诊疗信息，最后按医院格式生成交班报告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设置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支持用户切换权限内病区，支持用户只查看自己关注的病人，提供</w:t>
            </w:r>
            <w:r>
              <w:rPr>
                <w:rFonts w:ascii="宋体" w:hAnsi="宋体" w:hint="eastAsia"/>
                <w:szCs w:val="21"/>
              </w:rPr>
              <w:t>界面设置功能，用户可查看版本信息，支持屏幕锁定功能及系统升级提醒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智能登陆 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支持扫描</w:t>
            </w:r>
            <w:proofErr w:type="gramStart"/>
            <w:r>
              <w:rPr>
                <w:rFonts w:ascii="宋体" w:hAnsi="宋体" w:hint="eastAsia"/>
              </w:rPr>
              <w:t>用户工牌二维码</w:t>
            </w:r>
            <w:proofErr w:type="gramEnd"/>
            <w:r>
              <w:rPr>
                <w:rFonts w:ascii="宋体" w:hAnsi="宋体" w:hint="eastAsia"/>
              </w:rPr>
              <w:t>自动登录系统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闭环管理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</w:t>
            </w:r>
            <w:proofErr w:type="gramStart"/>
            <w:r>
              <w:rPr>
                <w:rFonts w:ascii="宋体" w:hAnsi="宋体" w:hint="eastAsia"/>
              </w:rPr>
              <w:t>静配中心</w:t>
            </w:r>
            <w:proofErr w:type="gramEnd"/>
            <w:r>
              <w:rPr>
                <w:rFonts w:ascii="宋体" w:hAnsi="宋体" w:hint="eastAsia"/>
              </w:rPr>
              <w:t>配药输液执行、输液医嘱闭环、针剂用药医嘱闭环、口服药闭环、护理医嘱执行、皮试医嘱闭环、输血备血闭环、患者转运交接闭环、标本采集闭换、护理病历闭环等闭环管理业务</w:t>
            </w:r>
          </w:p>
        </w:tc>
      </w:tr>
      <w:tr w:rsidR="001845DE" w:rsidTr="00C4008A">
        <w:trPr>
          <w:trHeight w:val="454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文件归档</w:t>
            </w:r>
          </w:p>
        </w:tc>
        <w:tc>
          <w:tcPr>
            <w:tcW w:w="7752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支持护理表单归档操作</w:t>
            </w:r>
          </w:p>
        </w:tc>
      </w:tr>
    </w:tbl>
    <w:p w:rsidR="001845DE" w:rsidRPr="001845DE" w:rsidRDefault="001845DE" w:rsidP="001845DE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1.2</w:t>
      </w:r>
      <w:r w:rsidRPr="001845DE">
        <w:rPr>
          <w:rFonts w:ascii="仿宋_GB2312" w:hAnsi="仿宋_GB2312" w:cs="仿宋_GB2312" w:hint="eastAsia"/>
          <w:b/>
          <w:szCs w:val="24"/>
        </w:rPr>
        <w:t>护理质量管理系统</w:t>
      </w:r>
    </w:p>
    <w:tbl>
      <w:tblPr>
        <w:tblpPr w:leftFromText="4536" w:rightFromText="4536" w:bottomFromText="284" w:vertAnchor="text" w:tblpXSpec="center" w:tblpY="1"/>
        <w:tblOverlap w:val="never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56"/>
      </w:tblGrid>
      <w:tr w:rsidR="001845DE" w:rsidTr="00C4008A">
        <w:trPr>
          <w:trHeight w:val="369"/>
        </w:trPr>
        <w:tc>
          <w:tcPr>
            <w:tcW w:w="1526" w:type="dxa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功能模块</w:t>
            </w:r>
          </w:p>
        </w:tc>
        <w:tc>
          <w:tcPr>
            <w:tcW w:w="7756" w:type="dxa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功能要求</w:t>
            </w:r>
          </w:p>
        </w:tc>
      </w:tr>
      <w:tr w:rsidR="001845DE" w:rsidTr="00C4008A">
        <w:trPr>
          <w:trHeight w:val="369"/>
        </w:trPr>
        <w:tc>
          <w:tcPr>
            <w:tcW w:w="1526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人员档案</w:t>
            </w:r>
          </w:p>
        </w:tc>
        <w:tc>
          <w:tcPr>
            <w:tcW w:w="7756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支持我的信息、基本信息维护、人员管理、人员信息审核、人员调配、人员查询与</w:t>
            </w:r>
            <w:r>
              <w:rPr>
                <w:rFonts w:ascii="宋体" w:hAnsi="宋体" w:hint="eastAsia"/>
              </w:rPr>
              <w:lastRenderedPageBreak/>
              <w:t>统计、人员信息批量录入、批量导入等功能</w:t>
            </w:r>
          </w:p>
        </w:tc>
      </w:tr>
      <w:tr w:rsidR="001845DE" w:rsidTr="00C4008A">
        <w:tc>
          <w:tcPr>
            <w:tcW w:w="1526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排班管理</w:t>
            </w:r>
          </w:p>
        </w:tc>
        <w:tc>
          <w:tcPr>
            <w:tcW w:w="7756" w:type="dxa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支持初始值设置、公休假初始值设置、班次设置、排班人员管理、排班记录、查询与统计、请假管理等功能</w:t>
            </w:r>
          </w:p>
        </w:tc>
      </w:tr>
      <w:tr w:rsidR="001845DE" w:rsidTr="00C4008A">
        <w:tc>
          <w:tcPr>
            <w:tcW w:w="1526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质量检查</w:t>
            </w:r>
          </w:p>
        </w:tc>
        <w:tc>
          <w:tcPr>
            <w:tcW w:w="7756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/>
              </w:rPr>
              <w:t>支持模板组设置、模板设置、质控人员设置、任务分配、质量检查、持续改进、分析与跟踪、任务进度查看、查询与统计、综合原因分析与追踪等功能</w:t>
            </w:r>
          </w:p>
        </w:tc>
      </w:tr>
      <w:tr w:rsidR="001845DE" w:rsidTr="00C4008A">
        <w:tc>
          <w:tcPr>
            <w:tcW w:w="1526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上报事件</w:t>
            </w:r>
          </w:p>
        </w:tc>
        <w:tc>
          <w:tcPr>
            <w:tcW w:w="7756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/>
              </w:rPr>
              <w:t>支持上报填单、上报审批、上报查询、上报统计与分析、鱼骨图设置等功能</w:t>
            </w:r>
          </w:p>
        </w:tc>
      </w:tr>
      <w:tr w:rsidR="001845DE" w:rsidTr="00C4008A">
        <w:tc>
          <w:tcPr>
            <w:tcW w:w="1526" w:type="dxa"/>
            <w:vAlign w:val="center"/>
          </w:tcPr>
          <w:p w:rsidR="001845DE" w:rsidRDefault="001845DE" w:rsidP="00C4008A">
            <w:pPr>
              <w:spacing w:before="81" w:after="81"/>
              <w:jc w:val="center"/>
            </w:pPr>
            <w:r>
              <w:rPr>
                <w:rFonts w:ascii="宋体" w:hAnsi="宋体" w:cs="宋体" w:hint="eastAsia"/>
              </w:rPr>
              <w:t>护士长手</w:t>
            </w:r>
            <w:r>
              <w:rPr>
                <w:rFonts w:hint="eastAsia"/>
              </w:rPr>
              <w:t>册</w:t>
            </w:r>
          </w:p>
        </w:tc>
        <w:tc>
          <w:tcPr>
            <w:tcW w:w="7756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板块设置、手册维护、工作计划、工作总结、科室大事件、护理业务查房记录、护理创新项目记录、公休座谈记录、护士安全/质量分析表、护士长晨会提问记录、护理部年计划、护理部年总结、护理部月计划、护理部月总结、护理部业务查房记录等功能</w:t>
            </w:r>
          </w:p>
        </w:tc>
      </w:tr>
      <w:tr w:rsidR="001845DE" w:rsidTr="00C4008A">
        <w:tc>
          <w:tcPr>
            <w:tcW w:w="1526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系统配置</w:t>
            </w:r>
          </w:p>
        </w:tc>
        <w:tc>
          <w:tcPr>
            <w:tcW w:w="7756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支持菜单管理、部门维护、角色管理、用户管理、参与检查维护、用户组管理、流程设置、表单设置、系统字典、常用批复设置、表单类型设置、系统参数等功能</w:t>
            </w:r>
          </w:p>
        </w:tc>
      </w:tr>
    </w:tbl>
    <w:p w:rsidR="001845DE" w:rsidRPr="001845DE" w:rsidRDefault="001845DE" w:rsidP="001845DE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1.3</w:t>
      </w:r>
      <w:r w:rsidRPr="001845DE">
        <w:rPr>
          <w:rFonts w:ascii="仿宋_GB2312" w:hAnsi="仿宋_GB2312" w:cs="仿宋_GB2312" w:hint="eastAsia"/>
          <w:b/>
          <w:szCs w:val="24"/>
        </w:rPr>
        <w:t>护理敏感指标系统</w:t>
      </w:r>
    </w:p>
    <w:tbl>
      <w:tblPr>
        <w:tblpPr w:leftFromText="4536" w:rightFromText="4536" w:bottomFromText="284" w:vertAnchor="text" w:tblpXSpec="center" w:tblpY="1"/>
        <w:tblOverlap w:val="never"/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752"/>
      </w:tblGrid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功能模块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功能要求</w:t>
            </w:r>
          </w:p>
        </w:tc>
      </w:tr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指标变量设置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对指标计算中所需的变量进行设置，可对变量进行增删</w:t>
            </w:r>
            <w:proofErr w:type="gramStart"/>
            <w:r>
              <w:rPr>
                <w:rFonts w:hint="eastAsia"/>
                <w:kern w:val="0"/>
                <w:szCs w:val="20"/>
              </w:rPr>
              <w:t>改查及</w:t>
            </w:r>
            <w:proofErr w:type="gramEnd"/>
            <w:r>
              <w:rPr>
                <w:rFonts w:hint="eastAsia"/>
                <w:kern w:val="0"/>
                <w:szCs w:val="20"/>
              </w:rPr>
              <w:t>备注定义等维护操作</w:t>
            </w:r>
          </w:p>
        </w:tc>
      </w:tr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指标设置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对国家规定的全部护理敏感质量指标的计算公式进行定义，使用指标设置中的变量对指标进行分析，可对指标进行阈值设置、修改、新增等维护管理</w:t>
            </w:r>
          </w:p>
        </w:tc>
      </w:tr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通用指标填报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根据设定的数据填报周期类别（如，月、季度、年），自动提取对应周期内的通用指标填报数据，亦可对提取的数据进行编辑修改，然后进行保存或存档操作</w:t>
            </w:r>
          </w:p>
        </w:tc>
      </w:tr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ICU</w:t>
            </w:r>
            <w:r>
              <w:rPr>
                <w:rFonts w:hint="eastAsia"/>
                <w:kern w:val="0"/>
                <w:szCs w:val="20"/>
              </w:rPr>
              <w:t>指标填报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可针对</w:t>
            </w:r>
            <w:r>
              <w:rPr>
                <w:rFonts w:hint="eastAsia"/>
                <w:kern w:val="0"/>
                <w:szCs w:val="20"/>
              </w:rPr>
              <w:t>ICU</w:t>
            </w:r>
            <w:r>
              <w:rPr>
                <w:rFonts w:hint="eastAsia"/>
                <w:kern w:val="0"/>
                <w:szCs w:val="20"/>
              </w:rPr>
              <w:t>科室特有指标进行填报管理。</w:t>
            </w:r>
          </w:p>
        </w:tc>
      </w:tr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指标分析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根据填报的数据和对应指标的计算公式，对</w:t>
            </w:r>
            <w:proofErr w:type="gramStart"/>
            <w:r>
              <w:rPr>
                <w:rFonts w:hint="eastAsia"/>
                <w:kern w:val="0"/>
                <w:szCs w:val="20"/>
              </w:rPr>
              <w:t>床护比</w:t>
            </w:r>
            <w:proofErr w:type="gramEnd"/>
            <w:r>
              <w:rPr>
                <w:rFonts w:hint="eastAsia"/>
                <w:kern w:val="0"/>
                <w:szCs w:val="20"/>
              </w:rPr>
              <w:t>、护患比、每住院患者</w:t>
            </w:r>
            <w:r>
              <w:rPr>
                <w:rFonts w:hint="eastAsia"/>
                <w:kern w:val="0"/>
                <w:szCs w:val="20"/>
              </w:rPr>
              <w:t>24</w:t>
            </w:r>
            <w:r>
              <w:rPr>
                <w:rFonts w:hint="eastAsia"/>
                <w:kern w:val="0"/>
                <w:szCs w:val="20"/>
              </w:rPr>
              <w:t>小时平均护理时数、不同级别护士的配置、护士离职率、住院患者跌倒发生率、院内压</w:t>
            </w:r>
            <w:proofErr w:type="gramStart"/>
            <w:r>
              <w:rPr>
                <w:rFonts w:hint="eastAsia"/>
                <w:kern w:val="0"/>
                <w:szCs w:val="20"/>
              </w:rPr>
              <w:t>疮</w:t>
            </w:r>
            <w:proofErr w:type="gramEnd"/>
            <w:r>
              <w:rPr>
                <w:rFonts w:hint="eastAsia"/>
                <w:kern w:val="0"/>
                <w:szCs w:val="20"/>
              </w:rPr>
              <w:t>发生率、住院患者身体约束率、插管患者非计划拔管发生率、</w:t>
            </w:r>
            <w:r>
              <w:rPr>
                <w:rFonts w:hint="eastAsia"/>
                <w:kern w:val="0"/>
                <w:szCs w:val="20"/>
              </w:rPr>
              <w:t>ICU</w:t>
            </w:r>
            <w:r>
              <w:rPr>
                <w:rFonts w:hint="eastAsia"/>
                <w:kern w:val="0"/>
                <w:szCs w:val="20"/>
              </w:rPr>
              <w:t>导尿</w:t>
            </w:r>
            <w:proofErr w:type="gramStart"/>
            <w:r>
              <w:rPr>
                <w:rFonts w:hint="eastAsia"/>
                <w:kern w:val="0"/>
                <w:szCs w:val="20"/>
              </w:rPr>
              <w:t>管相关</w:t>
            </w:r>
            <w:proofErr w:type="gramEnd"/>
            <w:r>
              <w:rPr>
                <w:rFonts w:hint="eastAsia"/>
                <w:kern w:val="0"/>
                <w:szCs w:val="20"/>
              </w:rPr>
              <w:t>尿路感染发生率、</w:t>
            </w:r>
            <w:r>
              <w:rPr>
                <w:rFonts w:hint="eastAsia"/>
                <w:kern w:val="0"/>
                <w:szCs w:val="20"/>
              </w:rPr>
              <w:t>ICU</w:t>
            </w:r>
            <w:r>
              <w:rPr>
                <w:rFonts w:hint="eastAsia"/>
                <w:kern w:val="0"/>
                <w:szCs w:val="20"/>
              </w:rPr>
              <w:t>中心导管相关血流感染发生率、</w:t>
            </w:r>
            <w:r>
              <w:rPr>
                <w:rFonts w:hint="eastAsia"/>
                <w:kern w:val="0"/>
                <w:szCs w:val="20"/>
              </w:rPr>
              <w:t>ICU</w:t>
            </w:r>
            <w:r>
              <w:rPr>
                <w:rFonts w:hint="eastAsia"/>
                <w:kern w:val="0"/>
                <w:szCs w:val="20"/>
              </w:rPr>
              <w:t>呼吸机相关性肺炎发生率等指标进行分析，支持柱状图、趋势图、饼图、表格等多种统计方式展示分析结果</w:t>
            </w:r>
          </w:p>
        </w:tc>
      </w:tr>
      <w:tr w:rsidR="001845DE" w:rsidTr="00C4008A">
        <w:trPr>
          <w:jc w:val="center"/>
        </w:trPr>
        <w:tc>
          <w:tcPr>
            <w:tcW w:w="1530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系统配置</w:t>
            </w:r>
          </w:p>
        </w:tc>
        <w:tc>
          <w:tcPr>
            <w:tcW w:w="7752" w:type="dxa"/>
            <w:vAlign w:val="center"/>
          </w:tcPr>
          <w:p w:rsidR="001845DE" w:rsidRDefault="001845DE" w:rsidP="00C4008A"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支持菜单管理、部门维护、角色管理、用户管理、系统参数、任务调度等功能</w:t>
            </w:r>
          </w:p>
        </w:tc>
      </w:tr>
    </w:tbl>
    <w:p w:rsidR="001845DE" w:rsidRPr="001845DE" w:rsidRDefault="001845DE" w:rsidP="001845DE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1.4</w:t>
      </w:r>
      <w:r w:rsidRPr="001845DE">
        <w:rPr>
          <w:rFonts w:ascii="仿宋_GB2312" w:hAnsi="仿宋_GB2312" w:cs="仿宋_GB2312" w:hint="eastAsia"/>
          <w:b/>
          <w:szCs w:val="24"/>
        </w:rPr>
        <w:t>护士站公告系统</w:t>
      </w:r>
    </w:p>
    <w:tbl>
      <w:tblPr>
        <w:tblpPr w:leftFromText="4536" w:rightFromText="4536" w:bottomFromText="284" w:vertAnchor="text" w:tblpXSpec="center" w:tblpY="1"/>
        <w:tblOverlap w:val="never"/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7627"/>
      </w:tblGrid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功能模块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功能要求</w:t>
            </w:r>
          </w:p>
        </w:tc>
      </w:tr>
      <w:tr w:rsidR="001845DE" w:rsidTr="00C4008A">
        <w:trPr>
          <w:trHeight w:val="1119"/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患者一览卡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60" w:after="60"/>
            </w:pPr>
            <w:r>
              <w:rPr>
                <w:rFonts w:hint="eastAsia"/>
              </w:rPr>
              <w:t>支持以卡片形式展示患者的关键信息，包含床号、姓名、护理等级、入院诊断（支持隐藏）、入院天数、过敏，高危标识、欠费、手术信息、主管护士和主治医生等</w:t>
            </w:r>
          </w:p>
          <w:p w:rsidR="001845DE" w:rsidRDefault="001845DE" w:rsidP="00C4008A"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/>
              </w:rPr>
              <w:t>支持分类展示病区病人情况：在院患者、入院多天、特级（紫色）、一级（红色）、二级（绿色）、三级（黄色）、病危、病重、空床（支持对空床进行备注说明，方便病区了解空床原因和空床安排）、过敏、今日生日等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照护</w:t>
            </w:r>
            <w:r>
              <w:rPr>
                <w:rFonts w:ascii="宋体" w:hAnsi="宋体"/>
              </w:rPr>
              <w:t>标识展示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通过深度对接</w:t>
            </w:r>
            <w:r>
              <w:rPr>
                <w:rFonts w:ascii="宋体" w:hAnsi="宋体"/>
              </w:rPr>
              <w:t>HIS</w:t>
            </w:r>
            <w:r>
              <w:rPr>
                <w:rFonts w:ascii="宋体" w:hAnsi="宋体" w:hint="eastAsia"/>
              </w:rPr>
              <w:t>系统，动态展示患者的护理标识，如患者的护理等级、病情状态、过敏信息、饮食类型等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手动护理任务管理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  <w:lang w:bidi="en-US"/>
              </w:rPr>
            </w:pPr>
            <w:r>
              <w:rPr>
                <w:rFonts w:ascii="宋体" w:hAnsi="宋体" w:hint="eastAsia"/>
              </w:rPr>
              <w:t>支持手动新增护理任务（如护理监测或处理类任务），有效满足信息匹配规则之外的特殊情形；也支持手动标记护理任务完成进度或取消任务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智能备忘管理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  <w:lang w:bidi="en-US"/>
              </w:rPr>
            </w:pPr>
            <w:r>
              <w:rPr>
                <w:rFonts w:ascii="宋体" w:hAnsi="宋体" w:hint="eastAsia"/>
              </w:rPr>
              <w:t>支持备忘事项的有效期设定和患者绑定，以实现有效期到期、患者转科或出院等情况时，备忘事项能智能消除（也支持手动消除），也支持重要备忘事项的置</w:t>
            </w:r>
            <w:proofErr w:type="gramStart"/>
            <w:r>
              <w:rPr>
                <w:rFonts w:ascii="宋体" w:hAnsi="宋体" w:hint="eastAsia"/>
              </w:rPr>
              <w:t>顶显示</w:t>
            </w:r>
            <w:proofErr w:type="gramEnd"/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任务标签动态显示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支持动态显示各类护理任务标签（智能隐藏没有任务的标签），以便医护人员高效获取信息；也支持用户快速配置（激活或隐藏）各类护理任务标签，也支持快速调整标签的显示顺序。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患者分类与辅助交班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根据患者的实际情况，对患者进行快速分类，方便护理人员快速定位某类患者，如特级护理患者、病危患者、病重患者、我的关注患者等，方便护理病区交班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患者生日</w:t>
            </w:r>
            <w:r>
              <w:rPr>
                <w:rFonts w:ascii="宋体" w:hAnsi="宋体" w:hint="eastAsia"/>
              </w:rPr>
              <w:t>展示及</w:t>
            </w:r>
            <w:r>
              <w:rPr>
                <w:rFonts w:ascii="宋体" w:hAnsi="宋体"/>
              </w:rPr>
              <w:t>提醒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81" w:after="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实时智能展示并提醒住院患者近期生日情况，给予患者及时、个性化的祝福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入院周年</w:t>
            </w:r>
            <w:r>
              <w:rPr>
                <w:rFonts w:ascii="Times" w:hAnsi="Times" w:hint="eastAsia"/>
              </w:rPr>
              <w:t>纪念</w:t>
            </w:r>
            <w:proofErr w:type="gramStart"/>
            <w:r>
              <w:rPr>
                <w:rFonts w:ascii="Times" w:hAnsi="Times" w:hint="eastAsia"/>
              </w:rPr>
              <w:t>日展示</w:t>
            </w:r>
            <w:proofErr w:type="gramEnd"/>
            <w:r>
              <w:rPr>
                <w:rFonts w:ascii="Times" w:hAnsi="Times" w:hint="eastAsia"/>
              </w:rPr>
              <w:t>及提醒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/>
              </w:rPr>
              <w:t>支持</w:t>
            </w:r>
            <w:r>
              <w:rPr>
                <w:rFonts w:ascii="Times" w:hAnsi="Times" w:hint="eastAsia"/>
              </w:rPr>
              <w:t>根据系统中的护理人员信息，</w:t>
            </w:r>
            <w:r>
              <w:rPr>
                <w:rFonts w:ascii="Times" w:hAnsi="Times"/>
              </w:rPr>
              <w:t>实时智能提醒</w:t>
            </w:r>
            <w:r>
              <w:rPr>
                <w:rFonts w:ascii="Times" w:hAnsi="Times" w:hint="eastAsia"/>
              </w:rPr>
              <w:t>护理</w:t>
            </w:r>
            <w:r>
              <w:rPr>
                <w:rFonts w:ascii="Times" w:hAnsi="Times"/>
              </w:rPr>
              <w:t>人员入院周年纪念日</w:t>
            </w:r>
          </w:p>
        </w:tc>
      </w:tr>
      <w:tr w:rsidR="001845DE" w:rsidTr="00C4008A">
        <w:trPr>
          <w:jc w:val="center"/>
        </w:trPr>
        <w:tc>
          <w:tcPr>
            <w:tcW w:w="1655" w:type="dxa"/>
            <w:vAlign w:val="center"/>
          </w:tcPr>
          <w:p w:rsidR="001845DE" w:rsidRDefault="001845DE" w:rsidP="00C4008A"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系统设置</w:t>
            </w:r>
          </w:p>
        </w:tc>
        <w:tc>
          <w:tcPr>
            <w:tcW w:w="7627" w:type="dxa"/>
            <w:vAlign w:val="center"/>
          </w:tcPr>
          <w:p w:rsidR="001845DE" w:rsidRDefault="001845DE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卡片大小显示设置：设置患者病区概览大小；</w:t>
            </w:r>
          </w:p>
          <w:p w:rsidR="001845DE" w:rsidRDefault="001845DE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护理等级样式设置：设置护理等级样式及颜色；</w:t>
            </w:r>
          </w:p>
          <w:p w:rsidR="001845DE" w:rsidRDefault="001845DE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床位卡片排列：</w:t>
            </w:r>
            <w:proofErr w:type="gramStart"/>
            <w:r>
              <w:rPr>
                <w:rFonts w:ascii="宋体" w:hAnsi="宋体" w:hint="eastAsia"/>
              </w:rPr>
              <w:t>设置按床号</w:t>
            </w:r>
            <w:proofErr w:type="gramEnd"/>
            <w:r>
              <w:rPr>
                <w:rFonts w:ascii="宋体" w:hAnsi="宋体" w:hint="eastAsia"/>
              </w:rPr>
              <w:t>排序或按入院时间；</w:t>
            </w:r>
          </w:p>
          <w:p w:rsidR="001845DE" w:rsidRDefault="001845DE" w:rsidP="00C4008A">
            <w:pPr>
              <w:spacing w:before="60" w:after="60"/>
              <w:rPr>
                <w:rFonts w:ascii="Times" w:hAnsi="Times"/>
              </w:rPr>
            </w:pPr>
            <w:r>
              <w:rPr>
                <w:rFonts w:ascii="宋体" w:hAnsi="宋体" w:hint="eastAsia"/>
              </w:rPr>
              <w:t>隐私设置：设置患者姓名、患者性别等隐私信息特殊设置。</w:t>
            </w:r>
          </w:p>
        </w:tc>
      </w:tr>
    </w:tbl>
    <w:p w:rsidR="004E2C53" w:rsidRPr="004E2C53" w:rsidRDefault="001845DE" w:rsidP="004E2C53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1.5</w:t>
      </w:r>
      <w:r w:rsidR="004E2C53" w:rsidRPr="004E2C53">
        <w:rPr>
          <w:rFonts w:ascii="仿宋_GB2312" w:hAnsi="仿宋_GB2312" w:cs="仿宋_GB2312" w:hint="eastAsia"/>
          <w:b/>
          <w:szCs w:val="24"/>
        </w:rPr>
        <w:t>护理看板信息系统</w:t>
      </w:r>
    </w:p>
    <w:tbl>
      <w:tblPr>
        <w:tblpPr w:leftFromText="4536" w:rightFromText="4536" w:bottomFromText="284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7627"/>
      </w:tblGrid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功能模块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功能要求</w:t>
            </w:r>
          </w:p>
        </w:tc>
      </w:tr>
      <w:tr w:rsidR="004E2C53" w:rsidTr="00C4008A">
        <w:trPr>
          <w:trHeight w:val="1119"/>
        </w:trPr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患者一览卡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</w:pPr>
            <w:r>
              <w:rPr>
                <w:rFonts w:hint="eastAsia"/>
              </w:rPr>
              <w:t>支持以卡片形式展示患者的关键信息，包含床号、姓名、护理等级、入院诊断（支持隐藏）、入院天数、过敏，高危标识、欠费、手术信息、主管护士和主治医生等</w:t>
            </w:r>
          </w:p>
          <w:p w:rsidR="004E2C53" w:rsidRDefault="004E2C53" w:rsidP="00C4008A"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/>
              </w:rPr>
              <w:t>支持分类展示病区病人情况：在院患者、入院多天、特级（紫色）、一级（红色）、二级（绿色）、三级（黄色）、病危、病重、空床（支持对空床进行备注说明，方便病区了解空床原因和空床安排）、过敏、今日生日等</w:t>
            </w:r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照护</w:t>
            </w:r>
            <w:r>
              <w:rPr>
                <w:rFonts w:ascii="宋体" w:hAnsi="宋体"/>
              </w:rPr>
              <w:t>标识展示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通过深度对接</w:t>
            </w:r>
            <w:r>
              <w:rPr>
                <w:rFonts w:ascii="宋体" w:hAnsi="宋体"/>
              </w:rPr>
              <w:t>HIS</w:t>
            </w:r>
            <w:r>
              <w:rPr>
                <w:rFonts w:ascii="宋体" w:hAnsi="宋体" w:hint="eastAsia"/>
              </w:rPr>
              <w:t>系统，动态展示患者的护理标识，如患者的护理等级、病情状态、过敏信息、饮食类型等</w:t>
            </w:r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手动护理任务管理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宋体" w:hAnsi="宋体"/>
                <w:lang w:bidi="en-US"/>
              </w:rPr>
            </w:pPr>
            <w:r>
              <w:rPr>
                <w:rFonts w:ascii="宋体" w:hAnsi="宋体" w:hint="eastAsia"/>
              </w:rPr>
              <w:t>支持手动新增护理任务（如护理监测或处理类任务），有效满足信息匹配规则之外的特殊情形；也支持手动标记护理任务完成进度或取消任务</w:t>
            </w:r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智能备忘管理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宋体" w:hAnsi="宋体"/>
                <w:lang w:bidi="en-US"/>
              </w:rPr>
            </w:pPr>
            <w:r>
              <w:rPr>
                <w:rFonts w:ascii="宋体" w:hAnsi="宋体" w:hint="eastAsia"/>
              </w:rPr>
              <w:t>支持备忘事项的有效期设定和患者绑定，以实现有效期到期、患者转科或出院等情况时，备忘事项能智能消除（也支持手动消除），也支持重要备忘事项的置</w:t>
            </w:r>
            <w:proofErr w:type="gramStart"/>
            <w:r>
              <w:rPr>
                <w:rFonts w:ascii="宋体" w:hAnsi="宋体" w:hint="eastAsia"/>
              </w:rPr>
              <w:t>顶显示</w:t>
            </w:r>
            <w:proofErr w:type="gramEnd"/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任务标签动态显示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支持动态显示各类护理任务标签（智能隐藏没有任务的标签），以便医护人员高效获取信息；也支持用户快速配置（激活或隐藏）各类护理任务标签，也支持快速调整标签的显示顺序。</w:t>
            </w:r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患者分类与辅助交班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根据患者的实际情况，对患者进行快速分类，方便护理人员快速定位某类患者，如特级护理患者、病危患者、病重患者、我的关注患者等，方便护理病区交班</w:t>
            </w:r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入院周年</w:t>
            </w:r>
            <w:r>
              <w:rPr>
                <w:rFonts w:ascii="Times" w:hAnsi="Times" w:hint="eastAsia"/>
              </w:rPr>
              <w:t>纪念</w:t>
            </w:r>
            <w:proofErr w:type="gramStart"/>
            <w:r>
              <w:rPr>
                <w:rFonts w:ascii="Times" w:hAnsi="Times" w:hint="eastAsia"/>
              </w:rPr>
              <w:t>日展示</w:t>
            </w:r>
            <w:proofErr w:type="gramEnd"/>
            <w:r>
              <w:rPr>
                <w:rFonts w:ascii="Times" w:hAnsi="Times" w:hint="eastAsia"/>
              </w:rPr>
              <w:t>及提醒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/>
              </w:rPr>
              <w:t>支持</w:t>
            </w:r>
            <w:r>
              <w:rPr>
                <w:rFonts w:ascii="Times" w:hAnsi="Times" w:hint="eastAsia"/>
              </w:rPr>
              <w:t>根据系统中的护理人员信息，</w:t>
            </w:r>
            <w:r>
              <w:rPr>
                <w:rFonts w:ascii="Times" w:hAnsi="Times"/>
              </w:rPr>
              <w:t>实时智能提醒</w:t>
            </w:r>
            <w:r>
              <w:rPr>
                <w:rFonts w:ascii="Times" w:hAnsi="Times" w:hint="eastAsia"/>
              </w:rPr>
              <w:t>护理</w:t>
            </w:r>
            <w:r>
              <w:rPr>
                <w:rFonts w:ascii="Times" w:hAnsi="Times"/>
              </w:rPr>
              <w:t>人员入院周年纪念日</w:t>
            </w:r>
          </w:p>
        </w:tc>
      </w:tr>
      <w:tr w:rsidR="004E2C53" w:rsidTr="00C4008A">
        <w:tc>
          <w:tcPr>
            <w:tcW w:w="1704" w:type="dxa"/>
            <w:vAlign w:val="center"/>
          </w:tcPr>
          <w:p w:rsidR="004E2C53" w:rsidRDefault="004E2C53" w:rsidP="00C4008A"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系统设置</w:t>
            </w:r>
          </w:p>
        </w:tc>
        <w:tc>
          <w:tcPr>
            <w:tcW w:w="7902" w:type="dxa"/>
            <w:vAlign w:val="center"/>
          </w:tcPr>
          <w:p w:rsidR="004E2C53" w:rsidRDefault="004E2C53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卡片大小显示设置：设置患者病区概览大小；</w:t>
            </w:r>
          </w:p>
          <w:p w:rsidR="004E2C53" w:rsidRDefault="004E2C53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护理等级样式设置：设置护理等级样式及颜色；</w:t>
            </w:r>
          </w:p>
          <w:p w:rsidR="004E2C53" w:rsidRDefault="004E2C53" w:rsidP="00C4008A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床位卡片排列：</w:t>
            </w:r>
            <w:proofErr w:type="gramStart"/>
            <w:r>
              <w:rPr>
                <w:rFonts w:ascii="宋体" w:hAnsi="宋体" w:hint="eastAsia"/>
              </w:rPr>
              <w:t>设置按床号</w:t>
            </w:r>
            <w:proofErr w:type="gramEnd"/>
            <w:r>
              <w:rPr>
                <w:rFonts w:ascii="宋体" w:hAnsi="宋体" w:hint="eastAsia"/>
              </w:rPr>
              <w:t>排序或按入院时间；</w:t>
            </w:r>
          </w:p>
          <w:p w:rsidR="004E2C53" w:rsidRDefault="004E2C53" w:rsidP="00C4008A">
            <w:pPr>
              <w:spacing w:before="60" w:after="60"/>
              <w:rPr>
                <w:rFonts w:ascii="Times" w:hAnsi="Times"/>
              </w:rPr>
            </w:pPr>
            <w:r>
              <w:rPr>
                <w:rFonts w:ascii="宋体" w:hAnsi="宋体" w:hint="eastAsia"/>
              </w:rPr>
              <w:t>隐私设置：设置患者姓名、患者性别等隐私信息特殊设置。</w:t>
            </w:r>
          </w:p>
        </w:tc>
      </w:tr>
    </w:tbl>
    <w:p w:rsidR="001845DE" w:rsidRPr="001845DE" w:rsidRDefault="004E2C53" w:rsidP="001845DE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1.6</w:t>
      </w:r>
      <w:r w:rsidR="001845DE" w:rsidRPr="001845DE">
        <w:rPr>
          <w:rFonts w:ascii="仿宋_GB2312" w:hAnsi="仿宋_GB2312" w:cs="仿宋_GB2312"/>
          <w:b/>
          <w:szCs w:val="24"/>
        </w:rPr>
        <w:t>互联</w:t>
      </w:r>
      <w:proofErr w:type="gramStart"/>
      <w:r w:rsidR="001845DE" w:rsidRPr="001845DE">
        <w:rPr>
          <w:rFonts w:ascii="仿宋_GB2312" w:hAnsi="仿宋_GB2312" w:cs="仿宋_GB2312"/>
          <w:b/>
          <w:szCs w:val="24"/>
        </w:rPr>
        <w:t>互通四</w:t>
      </w:r>
      <w:proofErr w:type="gramEnd"/>
      <w:r w:rsidR="001845DE" w:rsidRPr="001845DE">
        <w:rPr>
          <w:rFonts w:ascii="仿宋_GB2312" w:hAnsi="仿宋_GB2312" w:cs="仿宋_GB2312"/>
          <w:b/>
          <w:szCs w:val="24"/>
        </w:rPr>
        <w:t>甲</w:t>
      </w:r>
      <w:r w:rsidR="001845DE" w:rsidRPr="001845DE">
        <w:rPr>
          <w:rFonts w:ascii="仿宋_GB2312" w:hAnsi="仿宋_GB2312" w:cs="仿宋_GB2312" w:hint="eastAsia"/>
          <w:b/>
          <w:szCs w:val="24"/>
        </w:rPr>
        <w:t>、五乙</w:t>
      </w:r>
      <w:r w:rsidR="001845DE" w:rsidRPr="001845DE">
        <w:rPr>
          <w:rFonts w:ascii="仿宋_GB2312" w:hAnsi="仿宋_GB2312" w:cs="仿宋_GB2312"/>
          <w:b/>
          <w:szCs w:val="24"/>
        </w:rPr>
        <w:t>改造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6"/>
        <w:gridCol w:w="7579"/>
      </w:tblGrid>
      <w:tr w:rsidR="001845DE" w:rsidTr="00C4008A">
        <w:trPr>
          <w:trHeight w:val="308"/>
        </w:trPr>
        <w:tc>
          <w:tcPr>
            <w:tcW w:w="1686" w:type="dxa"/>
            <w:shd w:val="clear" w:color="auto" w:fill="FFFFFF"/>
          </w:tcPr>
          <w:p w:rsidR="001845DE" w:rsidRDefault="001845DE" w:rsidP="00C4008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</w:rPr>
              <w:t>功能模块</w:t>
            </w:r>
          </w:p>
        </w:tc>
        <w:tc>
          <w:tcPr>
            <w:tcW w:w="7579" w:type="dxa"/>
            <w:shd w:val="clear" w:color="auto" w:fill="FFFFFF"/>
            <w:vAlign w:val="center"/>
          </w:tcPr>
          <w:p w:rsidR="001845DE" w:rsidRDefault="001845DE" w:rsidP="00C4008A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</w:rPr>
              <w:t>功能要求</w:t>
            </w:r>
          </w:p>
        </w:tc>
      </w:tr>
      <w:tr w:rsidR="001845DE" w:rsidTr="00C4008A">
        <w:trPr>
          <w:trHeight w:val="536"/>
        </w:trPr>
        <w:tc>
          <w:tcPr>
            <w:tcW w:w="1686" w:type="dxa"/>
            <w:shd w:val="clear" w:color="auto" w:fill="FFFFFF"/>
            <w:vAlign w:val="center"/>
          </w:tcPr>
          <w:p w:rsidR="001845DE" w:rsidRDefault="001845DE" w:rsidP="00C4008A">
            <w:pPr>
              <w:pStyle w:val="20"/>
              <w:widowControl/>
              <w:spacing w:line="30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护理记录单</w:t>
            </w:r>
          </w:p>
        </w:tc>
        <w:tc>
          <w:tcPr>
            <w:tcW w:w="7579" w:type="dxa"/>
            <w:shd w:val="clear" w:color="auto" w:fill="FFFFFF"/>
            <w:vAlign w:val="center"/>
          </w:tcPr>
          <w:p w:rsidR="001845DE" w:rsidRDefault="001845DE" w:rsidP="00C4008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支持一般护理记录、病重（病危）护理记录</w:t>
            </w:r>
          </w:p>
        </w:tc>
      </w:tr>
      <w:tr w:rsidR="001845DE" w:rsidTr="00C4008A">
        <w:trPr>
          <w:trHeight w:val="500"/>
        </w:trPr>
        <w:tc>
          <w:tcPr>
            <w:tcW w:w="1686" w:type="dxa"/>
            <w:shd w:val="clear" w:color="auto" w:fill="FFFFFF"/>
            <w:vAlign w:val="center"/>
          </w:tcPr>
          <w:p w:rsidR="001845DE" w:rsidRDefault="001845DE" w:rsidP="00C4008A">
            <w:pPr>
              <w:pStyle w:val="20"/>
              <w:widowControl/>
              <w:spacing w:line="30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生命体征测量</w:t>
            </w:r>
          </w:p>
        </w:tc>
        <w:tc>
          <w:tcPr>
            <w:tcW w:w="7579" w:type="dxa"/>
            <w:shd w:val="clear" w:color="auto" w:fill="FFFFFF"/>
            <w:vAlign w:val="center"/>
          </w:tcPr>
          <w:p w:rsidR="001845DE" w:rsidRDefault="001845DE" w:rsidP="00C4008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支持生命体征测量记录、出入量记录</w:t>
            </w:r>
          </w:p>
        </w:tc>
      </w:tr>
      <w:tr w:rsidR="001845DE" w:rsidTr="00C4008A">
        <w:trPr>
          <w:trHeight w:val="524"/>
        </w:trPr>
        <w:tc>
          <w:tcPr>
            <w:tcW w:w="1686" w:type="dxa"/>
            <w:shd w:val="clear" w:color="auto" w:fill="FFFFFF"/>
            <w:vAlign w:val="center"/>
          </w:tcPr>
          <w:p w:rsidR="001845DE" w:rsidRDefault="001845DE" w:rsidP="00C4008A">
            <w:pPr>
              <w:pStyle w:val="20"/>
              <w:widowControl/>
              <w:spacing w:line="30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出入院评估</w:t>
            </w:r>
          </w:p>
        </w:tc>
        <w:tc>
          <w:tcPr>
            <w:tcW w:w="7579" w:type="dxa"/>
            <w:shd w:val="clear" w:color="auto" w:fill="FFFFFF"/>
            <w:vAlign w:val="center"/>
          </w:tcPr>
          <w:p w:rsidR="001845DE" w:rsidRDefault="001845DE" w:rsidP="00C4008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支持入院评估、出院评估与指导</w:t>
            </w:r>
          </w:p>
        </w:tc>
      </w:tr>
      <w:tr w:rsidR="001845DE" w:rsidTr="00C4008A">
        <w:trPr>
          <w:trHeight w:val="488"/>
        </w:trPr>
        <w:tc>
          <w:tcPr>
            <w:tcW w:w="1686" w:type="dxa"/>
            <w:shd w:val="clear" w:color="auto" w:fill="FFFFFF"/>
            <w:vAlign w:val="center"/>
          </w:tcPr>
          <w:p w:rsidR="001845DE" w:rsidRDefault="001845DE" w:rsidP="00C4008A">
            <w:pPr>
              <w:pStyle w:val="20"/>
              <w:widowControl/>
              <w:spacing w:line="30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护理计划</w:t>
            </w:r>
          </w:p>
        </w:tc>
        <w:tc>
          <w:tcPr>
            <w:tcW w:w="7579" w:type="dxa"/>
            <w:shd w:val="clear" w:color="auto" w:fill="FFFFFF"/>
            <w:vAlign w:val="center"/>
          </w:tcPr>
          <w:p w:rsidR="001845DE" w:rsidRDefault="001845DE" w:rsidP="00C4008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支持护理计划</w:t>
            </w:r>
          </w:p>
        </w:tc>
      </w:tr>
    </w:tbl>
    <w:p w:rsidR="001845DE" w:rsidRPr="001845DE" w:rsidRDefault="001845DE" w:rsidP="001845DE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</w:t>
      </w:r>
      <w:r w:rsidR="004E2C53">
        <w:rPr>
          <w:rFonts w:ascii="仿宋_GB2312" w:hAnsi="仿宋_GB2312" w:cs="仿宋_GB2312" w:hint="eastAsia"/>
          <w:b/>
          <w:szCs w:val="24"/>
        </w:rPr>
        <w:t>7</w:t>
      </w:r>
      <w:r w:rsidRPr="001845DE">
        <w:rPr>
          <w:rFonts w:ascii="仿宋_GB2312" w:hAnsi="仿宋_GB2312" w:cs="仿宋_GB2312" w:hint="eastAsia"/>
          <w:b/>
          <w:szCs w:val="24"/>
        </w:rPr>
        <w:t>电子病历五级功能改造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14"/>
      </w:tblGrid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功能模块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ind w:firstLine="42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</w:t>
            </w:r>
            <w:r>
              <w:rPr>
                <w:b/>
                <w:color w:val="000000"/>
              </w:rPr>
              <w:t>要求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病人列表：支持通过床</w:t>
            </w:r>
            <w:proofErr w:type="gramStart"/>
            <w:r>
              <w:rPr>
                <w:rFonts w:hint="eastAsia"/>
                <w:color w:val="000000"/>
              </w:rPr>
              <w:t>号背景</w:t>
            </w:r>
            <w:proofErr w:type="gramEnd"/>
            <w:r>
              <w:rPr>
                <w:rFonts w:hint="eastAsia"/>
                <w:color w:val="000000"/>
              </w:rPr>
              <w:t>颜色区分不同护理级别：特级护理以红色标记、一级护理以黄色标记、二级护理以绿色标记、三级护理以灰色标记。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评估管理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支持完成对新入患者进行的入院护理评估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医嘱管理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</w:t>
            </w:r>
            <w:r>
              <w:rPr>
                <w:color w:val="000000"/>
              </w:rPr>
              <w:t>医嘱查询</w:t>
            </w:r>
            <w:r>
              <w:rPr>
                <w:rFonts w:hint="eastAsia"/>
                <w:color w:val="000000"/>
              </w:rPr>
              <w:t>、医嘱执行闭环、标本采集闭环、输血管理闭环、全科临时医嘱、全科长期医嘱、医嘱执行查询、医嘱执行结果回写、医嘱变更信息提醒等功能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记录管理</w:t>
            </w:r>
          </w:p>
        </w:tc>
        <w:tc>
          <w:tcPr>
            <w:tcW w:w="7614" w:type="dxa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支持一般护理记录单以及危重病人护理记录单功能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护理计划</w:t>
            </w:r>
          </w:p>
        </w:tc>
        <w:tc>
          <w:tcPr>
            <w:tcW w:w="7614" w:type="dxa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支持护理问题、相关因素、预期目标、达成时间、护理措施、新增护理问题、护理评价、护理记录以及护理计划打印等功能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报告查看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支持病人检查、检验结果查询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1845DE" w:rsidTr="00C4008A">
        <w:trPr>
          <w:jc w:val="center"/>
        </w:trPr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系统交互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支持数据通过院内信息平台实现统一管理，可通过一体化视图集中展现供其他各信息系统调用</w:t>
            </w:r>
          </w:p>
        </w:tc>
      </w:tr>
    </w:tbl>
    <w:p w:rsidR="001845DE" w:rsidRPr="001845DE" w:rsidRDefault="001845DE" w:rsidP="001845DE">
      <w:pPr>
        <w:pStyle w:val="Flietext"/>
        <w:rPr>
          <w:rFonts w:ascii="仿宋_GB2312" w:hAnsi="仿宋_GB2312" w:cs="仿宋_GB2312"/>
          <w:b/>
          <w:szCs w:val="24"/>
        </w:rPr>
      </w:pPr>
      <w:r>
        <w:rPr>
          <w:rFonts w:ascii="仿宋_GB2312" w:hAnsi="仿宋_GB2312" w:cs="仿宋_GB2312" w:hint="eastAsia"/>
          <w:b/>
          <w:szCs w:val="24"/>
        </w:rPr>
        <w:t>1.</w:t>
      </w:r>
      <w:r w:rsidR="004E2C53">
        <w:rPr>
          <w:rFonts w:ascii="仿宋_GB2312" w:hAnsi="仿宋_GB2312" w:cs="仿宋_GB2312" w:hint="eastAsia"/>
          <w:b/>
          <w:szCs w:val="24"/>
        </w:rPr>
        <w:t>8</w:t>
      </w:r>
      <w:bookmarkStart w:id="0" w:name="_GoBack"/>
      <w:bookmarkEnd w:id="0"/>
      <w:r w:rsidRPr="001845DE">
        <w:rPr>
          <w:rFonts w:ascii="仿宋_GB2312" w:hAnsi="仿宋_GB2312" w:cs="仿宋_GB2312" w:hint="eastAsia"/>
          <w:b/>
          <w:szCs w:val="24"/>
        </w:rPr>
        <w:t>电子病历六级功能改造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14"/>
      </w:tblGrid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功能模块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ind w:firstLine="42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</w:t>
            </w:r>
            <w:r>
              <w:rPr>
                <w:b/>
                <w:color w:val="000000"/>
              </w:rPr>
              <w:t>要求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病人列表：支持通过床</w:t>
            </w:r>
            <w:proofErr w:type="gramStart"/>
            <w:r>
              <w:rPr>
                <w:rFonts w:hint="eastAsia"/>
                <w:color w:val="000000"/>
              </w:rPr>
              <w:t>号背景</w:t>
            </w:r>
            <w:proofErr w:type="gramEnd"/>
            <w:r>
              <w:rPr>
                <w:rFonts w:hint="eastAsia"/>
                <w:color w:val="000000"/>
              </w:rPr>
              <w:t>颜色区分不同护理级别：特级护理以红色标记、一</w:t>
            </w:r>
            <w:r>
              <w:rPr>
                <w:rFonts w:hint="eastAsia"/>
                <w:color w:val="000000"/>
              </w:rPr>
              <w:lastRenderedPageBreak/>
              <w:t>级护理以黄色标记、二级护理以绿色标记、三级护理以灰色标记。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评估管理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支持入院评估、</w:t>
            </w:r>
            <w:r>
              <w:rPr>
                <w:rFonts w:hint="eastAsia"/>
                <w:color w:val="000000"/>
              </w:rPr>
              <w:t>MEWS</w:t>
            </w:r>
            <w:r>
              <w:rPr>
                <w:rFonts w:hint="eastAsia"/>
                <w:color w:val="000000"/>
              </w:rPr>
              <w:t>评分、</w:t>
            </w:r>
            <w:r>
              <w:rPr>
                <w:rFonts w:hint="eastAsia"/>
                <w:color w:val="000000"/>
              </w:rPr>
              <w:t>VTE</w:t>
            </w:r>
            <w:r>
              <w:rPr>
                <w:rFonts w:hint="eastAsia"/>
                <w:color w:val="000000"/>
              </w:rPr>
              <w:t>评分功能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医嘱管理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</w:t>
            </w:r>
            <w:r>
              <w:rPr>
                <w:color w:val="000000"/>
              </w:rPr>
              <w:t>医嘱查询</w:t>
            </w:r>
            <w:r>
              <w:rPr>
                <w:rFonts w:hint="eastAsia"/>
                <w:color w:val="000000"/>
              </w:rPr>
              <w:t>、医嘱执行、全科临时医嘱、全科长期医嘱、医嘱执行记录查询、医嘱执行结果回写、医嘱变更信息提醒、高风险医嘱执行等功能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闭环管理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支持输液医嘱闭环、口服药医嘱闭环、输血备血闭环、皮试医嘱闭环、护理医嘱执行闭环、标本采集闭环等闭环管理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记录管理</w:t>
            </w:r>
          </w:p>
        </w:tc>
        <w:tc>
          <w:tcPr>
            <w:tcW w:w="7614" w:type="dxa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支持一般护理记录单以及危重病人护理记录单功能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护理计划</w:t>
            </w:r>
          </w:p>
        </w:tc>
        <w:tc>
          <w:tcPr>
            <w:tcW w:w="7614" w:type="dxa"/>
          </w:tcPr>
          <w:p w:rsidR="001845DE" w:rsidRDefault="001845DE" w:rsidP="00C4008A"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支持护理问题、相关因素、预期目标、达成时间、护理措施、新增护理问题、护理评价、护理记录以及护理计划打印等功能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智能联动护理计划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支持在体温过高、压疮高危、跌倒高危、自理能力高危等状态下，系统联动提示，并进入护理计划，根据提示完成相关因素、预期目标、达成时间、护理措施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报告查看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支持病人检查、检验结果查询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1845DE" w:rsidTr="00C4008A">
        <w:tc>
          <w:tcPr>
            <w:tcW w:w="1668" w:type="dxa"/>
            <w:vAlign w:val="center"/>
          </w:tcPr>
          <w:p w:rsidR="001845DE" w:rsidRDefault="001845DE" w:rsidP="00C4008A"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系统交互</w:t>
            </w:r>
          </w:p>
        </w:tc>
        <w:tc>
          <w:tcPr>
            <w:tcW w:w="7614" w:type="dxa"/>
            <w:vAlign w:val="center"/>
          </w:tcPr>
          <w:p w:rsidR="001845DE" w:rsidRDefault="001845DE" w:rsidP="00C4008A">
            <w:pPr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支持数据通过院内信息平台实现统一管理，可通过一体化视图集中展现供其他各信息系统调用；</w:t>
            </w:r>
          </w:p>
        </w:tc>
      </w:tr>
    </w:tbl>
    <w:p w:rsidR="001845DE" w:rsidRDefault="001845DE" w:rsidP="001845DE">
      <w:pPr>
        <w:rPr>
          <w:shd w:val="clear" w:color="auto" w:fill="FFFFFF"/>
        </w:rPr>
      </w:pPr>
    </w:p>
    <w:p w:rsidR="001845DE" w:rsidRPr="001845DE" w:rsidRDefault="001845DE" w:rsidP="001845DE">
      <w:pPr>
        <w:pStyle w:val="Flietext"/>
        <w:spacing w:beforeLines="50" w:before="158"/>
        <w:rPr>
          <w:rFonts w:ascii="仿宋_GB2312" w:hAnsi="仿宋_GB2312" w:cs="仿宋_GB2312" w:hint="eastAsia"/>
          <w:sz w:val="32"/>
          <w:szCs w:val="32"/>
        </w:rPr>
      </w:pPr>
    </w:p>
    <w:p w:rsidR="00C77340" w:rsidRDefault="00EB376A" w:rsidP="001845DE">
      <w:pPr>
        <w:pStyle w:val="Flietext"/>
        <w:spacing w:beforeLines="50" w:before="15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、合同包（二）</w:t>
      </w:r>
    </w:p>
    <w:tbl>
      <w:tblPr>
        <w:tblW w:w="940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310"/>
        <w:gridCol w:w="5983"/>
      </w:tblGrid>
      <w:tr w:rsidR="00C77340">
        <w:trPr>
          <w:trHeight w:hRule="exact" w:val="454"/>
        </w:trPr>
        <w:tc>
          <w:tcPr>
            <w:tcW w:w="1112" w:type="dxa"/>
            <w:vAlign w:val="center"/>
          </w:tcPr>
          <w:p w:rsidR="00C77340" w:rsidRDefault="00EB37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 w:rsidR="00C77340" w:rsidRDefault="00EB37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5983" w:type="dxa"/>
            <w:vAlign w:val="center"/>
          </w:tcPr>
          <w:p w:rsidR="00C77340" w:rsidRDefault="00EB37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技术参数要求</w:t>
            </w:r>
          </w:p>
        </w:tc>
      </w:tr>
      <w:tr w:rsidR="00C77340">
        <w:trPr>
          <w:trHeight w:hRule="exact" w:val="454"/>
        </w:trPr>
        <w:tc>
          <w:tcPr>
            <w:tcW w:w="1112" w:type="dxa"/>
            <w:vAlign w:val="center"/>
          </w:tcPr>
          <w:p w:rsidR="00C77340" w:rsidRDefault="00C7734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C77340" w:rsidRDefault="00C7734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83" w:type="dxa"/>
            <w:vAlign w:val="center"/>
          </w:tcPr>
          <w:p w:rsidR="00C77340" w:rsidRDefault="00C7734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7340">
        <w:trPr>
          <w:trHeight w:hRule="exact" w:val="454"/>
        </w:trPr>
        <w:tc>
          <w:tcPr>
            <w:tcW w:w="1112" w:type="dxa"/>
            <w:vAlign w:val="center"/>
          </w:tcPr>
          <w:p w:rsidR="00C77340" w:rsidRDefault="00C7734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C77340" w:rsidRDefault="00C7734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83" w:type="dxa"/>
            <w:vAlign w:val="center"/>
          </w:tcPr>
          <w:p w:rsidR="00C77340" w:rsidRDefault="00C7734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77340" w:rsidRDefault="00C77340">
      <w:pPr>
        <w:rPr>
          <w:rFonts w:ascii="仿宋_GB2312" w:eastAsia="仿宋_GB2312" w:hAnsi="仿宋_GB2312" w:cs="仿宋_GB2312"/>
          <w:sz w:val="32"/>
          <w:szCs w:val="32"/>
        </w:rPr>
      </w:pPr>
    </w:p>
    <w:p w:rsidR="00C77340" w:rsidRDefault="00EB376A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其他要求</w:t>
      </w:r>
    </w:p>
    <w:p w:rsidR="00C77340" w:rsidRDefault="00EB376A" w:rsidP="001845DE">
      <w:pPr>
        <w:pStyle w:val="p0"/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、应结合我院实际医疗及管理需要，对系统进行客户化修改，包括但不限于结合医院实际管理需求；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根据国家《医院信息系统功能规范》第十二条以及国家信息化建设审计要求，至少必须提供数据字典、数据结构与流程、操作使用手册、系统维护手册。必须提供完整的总体设计报告、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需求分析说明书、概要设计说明书、详细设计说明书、数据字典、数据结构与流程、测试报告、操作使用手册、系统维护手册。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本项目为交钥匙工程，本项目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与各业务系统及设备的数据接口由中标人自行负责。本项目涉及院内现有各业务系统接口的，采购人不再向中标人支付接口费用。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本项目系统应提</w:t>
      </w:r>
      <w:r>
        <w:rPr>
          <w:rFonts w:ascii="仿宋_GB2312" w:eastAsia="仿宋_GB2312" w:hAnsi="仿宋_GB2312" w:cs="仿宋_GB2312" w:hint="eastAsia"/>
          <w:sz w:val="32"/>
          <w:szCs w:val="32"/>
        </w:rPr>
        <w:t>供与医院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HIS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，电子病历、危急值平台、报告平台、麻醉耗材、患者</w:t>
      </w:r>
      <w:r>
        <w:rPr>
          <w:rFonts w:ascii="仿宋_GB2312" w:eastAsia="仿宋_GB2312" w:hAnsi="仿宋_GB2312" w:cs="仿宋_GB2312" w:hint="eastAsia"/>
          <w:sz w:val="32"/>
          <w:szCs w:val="32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HIS360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CDR360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）等系统无缝集成接口，符合电子病历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级、医院的互联互通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级、智慧医院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级的建设要求，上述各评级不涉及本系统的功能可以按本次招标内容为准。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具备与集成平台通过统一的数据接口，实现浏览各检查报告具备通过系统集成平台按照国家、院内、院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级数据集标准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进行数据交换。具备多模式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下数据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交换接口的切换管理，诸如：集成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平台出现故障时，可切换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成应用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系统服务接口模式或数据表模式，集成平台恢复时，可重新切换成集成平台。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三年内免费实施政</w:t>
      </w:r>
      <w:r>
        <w:rPr>
          <w:rFonts w:ascii="仿宋_GB2312" w:eastAsia="仿宋_GB2312" w:hAnsi="仿宋_GB2312" w:cs="仿宋_GB2312" w:hint="eastAsia"/>
          <w:sz w:val="32"/>
          <w:szCs w:val="32"/>
        </w:rPr>
        <w:t>策性国家、省市各平台的数据接口、数据上传等服务及免费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实施国密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改造、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信创国产化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，包括但不限于：福建省卫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健委居民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健康综合服务平台、福建省检查检验结果互联互通互认平台、福建省卫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健委多码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融合项目等，产生相应指标，推送至医疗平台接口中（涉及其他系统，应与其他系统配合实施）。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本项目所有的工作流程节点（诸如：工作环节名称、患者</w:t>
      </w:r>
      <w:r>
        <w:rPr>
          <w:rFonts w:ascii="仿宋_GB2312" w:eastAsia="仿宋_GB2312" w:hAnsi="仿宋_GB2312" w:cs="仿宋_GB2312" w:hint="eastAsia"/>
          <w:sz w:val="32"/>
          <w:szCs w:val="32"/>
        </w:rPr>
        <w:t>ID</w:t>
      </w:r>
      <w:r>
        <w:rPr>
          <w:rFonts w:ascii="仿宋_GB2312" w:eastAsia="仿宋_GB2312" w:hAnsi="仿宋_GB2312" w:cs="仿宋_GB2312" w:hint="eastAsia"/>
          <w:sz w:val="32"/>
          <w:szCs w:val="32"/>
        </w:rPr>
        <w:t>、操作人、操作时间等）必须发送至全院工作流程管理平台进行接收、存储；本项目所涉及的影像文件（照片、图像等），则必须与全院统一影像数据中台实现交互，全部由全院统一影像数据中台进行管理（接收、存储</w:t>
      </w:r>
      <w:r>
        <w:rPr>
          <w:rFonts w:ascii="仿宋_GB2312" w:eastAsia="仿宋_GB2312" w:hAnsi="仿宋_GB2312" w:cs="仿宋_GB2312" w:hint="eastAsia"/>
          <w:sz w:val="32"/>
          <w:szCs w:val="32"/>
        </w:rPr>
        <w:t>、调阅等），原则上本项目服务器及应用系统不保存所涉及的影像文件（照片、图像等）；各具体接口技术方案待实施时由采购人提供。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本项目系统需符合《信息安全技术网络安全等级保护基本要求》</w:t>
      </w:r>
      <w:r>
        <w:rPr>
          <w:rFonts w:ascii="仿宋_GB2312" w:eastAsia="仿宋_GB2312" w:hAnsi="仿宋_GB2312" w:cs="仿宋_GB2312" w:hint="eastAsia"/>
          <w:sz w:val="32"/>
          <w:szCs w:val="32"/>
        </w:rPr>
        <w:t>GB/T22239-2019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（三级）要求（下文简称：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三级等保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三级等保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评审中协助完成本系统评审工作。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与医院现有</w:t>
      </w:r>
      <w:r>
        <w:rPr>
          <w:rFonts w:ascii="仿宋_GB2312" w:eastAsia="仿宋_GB2312" w:hAnsi="仿宋_GB2312" w:cs="仿宋_GB2312" w:hint="eastAsia"/>
          <w:sz w:val="32"/>
          <w:szCs w:val="32"/>
        </w:rPr>
        <w:t>CA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数字签名功能实现对接，满足医院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各法规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若需接入医院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APP(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实现院外移动端查询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，则中标人应提供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H5</w:t>
      </w:r>
      <w:r>
        <w:rPr>
          <w:rFonts w:ascii="仿宋_GB2312" w:eastAsia="仿宋_GB2312" w:hAnsi="仿宋_GB2312" w:cs="仿宋_GB2312" w:hint="eastAsia"/>
          <w:sz w:val="32"/>
          <w:szCs w:val="32"/>
        </w:rPr>
        <w:t>接口，并支付相应接口费用（不超过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是否需接入医院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以项目验收时采购人需求为</w:t>
      </w:r>
      <w:r>
        <w:rPr>
          <w:rFonts w:ascii="仿宋_GB2312" w:eastAsia="仿宋_GB2312" w:hAnsi="仿宋_GB2312" w:cs="仿宋_GB2312" w:hint="eastAsia"/>
          <w:sz w:val="32"/>
          <w:szCs w:val="32"/>
        </w:rPr>
        <w:t>准。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在本项目系统软件使用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及维保有效期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内，本项目软件在每个使用科室使用的终端数量不受限制，数据不得加密，不得使用加密狗、打印加密、功能加密等任何软件使用约束。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本项目软件部分按总价进行报价，不能以安装工作站数量进行报价。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本项目系统需完成旧系统中的历史数据导入，旧系统中非自动产生的数据（如手工输入值等），在新系统中可不体现或以默认值体现。若有涉及接口费用，由中标方负责，采购人不再向中标人支付接口费用。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本项目软件版面色彩、风格等应按医院要求设计制作；软件标题只能出现医院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sz w:val="32"/>
          <w:szCs w:val="32"/>
        </w:rPr>
        <w:t>及系统名称，不能出现公司名称，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公司名称允许在帮助（</w:t>
      </w:r>
      <w:r>
        <w:rPr>
          <w:rFonts w:ascii="仿宋_GB2312" w:eastAsia="仿宋_GB2312" w:hAnsi="仿宋_GB2312" w:cs="仿宋_GB2312" w:hint="eastAsia"/>
          <w:sz w:val="32"/>
          <w:szCs w:val="32"/>
        </w:rPr>
        <w:t>help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）的关于（</w:t>
      </w:r>
      <w:r>
        <w:rPr>
          <w:rFonts w:ascii="仿宋_GB2312" w:eastAsia="仿宋_GB2312" w:hAnsi="仿宋_GB2312" w:cs="仿宋_GB2312" w:hint="eastAsia"/>
          <w:sz w:val="32"/>
          <w:szCs w:val="32"/>
        </w:rPr>
        <w:t>about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）中出现。具体版面另行通知。</w:t>
      </w:r>
    </w:p>
    <w:p w:rsidR="00C77340" w:rsidRDefault="00EB376A" w:rsidP="001845DE">
      <w:pPr>
        <w:pStyle w:val="p0"/>
        <w:numPr>
          <w:ilvl w:val="0"/>
          <w:numId w:val="2"/>
        </w:numPr>
        <w:spacing w:before="0" w:beforeAutospacing="0" w:after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本项目系统安装调试并经验收合格后，应对采购方的相关人员提供关于系统应用时技术和操作方面的培训。相关培训费用应包含在投标总价中。</w:t>
      </w:r>
    </w:p>
    <w:p w:rsidR="00C77340" w:rsidRDefault="00EB376A">
      <w:pPr>
        <w:pStyle w:val="Flietext"/>
        <w:numPr>
          <w:ilvl w:val="0"/>
          <w:numId w:val="1"/>
        </w:numPr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sz w:val="32"/>
          <w:szCs w:val="32"/>
        </w:rPr>
        <w:t>调研说明</w:t>
      </w:r>
    </w:p>
    <w:p w:rsidR="00C77340" w:rsidRDefault="00EB376A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报名参加本次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调研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的供应商、厂家需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提供如下相关资料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。</w:t>
      </w:r>
    </w:p>
    <w:p w:rsidR="00C77340" w:rsidRDefault="00EB376A">
      <w:pPr>
        <w:widowControl/>
        <w:spacing w:line="315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报名请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携带加盖公章的项目文件回执单、营业执照复印件、公司简介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C77340" w:rsidRDefault="00EB376A" w:rsidP="001845DE">
      <w:pPr>
        <w:widowControl/>
        <w:shd w:val="clear" w:color="auto" w:fill="FFFFFF"/>
        <w:spacing w:line="500" w:lineRule="atLeast"/>
        <w:ind w:firstLineChars="200" w:firstLine="608"/>
        <w:rPr>
          <w:rFonts w:ascii="仿宋_GB2312" w:eastAsia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、参与项目调研供应商代表的个人授权函（需加盖供应商公章）和身份证复印件。</w:t>
      </w:r>
    </w:p>
    <w:p w:rsidR="00C77340" w:rsidRDefault="00EB376A" w:rsidP="001845DE">
      <w:pPr>
        <w:widowControl/>
        <w:shd w:val="clear" w:color="auto" w:fill="FFFFFF"/>
        <w:spacing w:line="500" w:lineRule="atLeast"/>
        <w:ind w:firstLineChars="200" w:firstLine="608"/>
        <w:rPr>
          <w:rFonts w:ascii="仿宋_GB2312" w:eastAsia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、分别提供“信用中国”网站（</w:t>
      </w: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www.creditchina.gov.cn</w:t>
      </w: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）、“中国政府采购网”网站（</w:t>
      </w: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http://www.ccgp.gov.cn/search/cr/</w:t>
      </w:r>
      <w:r>
        <w:rPr>
          <w:rFonts w:ascii="仿宋_GB2312" w:eastAsia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）信用记录查询截图，无不良记录并加盖公章（截图查询日期必须在该公告日期内）。</w:t>
      </w:r>
    </w:p>
    <w:p w:rsidR="00C77340" w:rsidRDefault="00EB376A" w:rsidP="001845DE">
      <w:pPr>
        <w:pStyle w:val="Flietext"/>
        <w:ind w:firstLineChars="200" w:firstLine="608"/>
        <w:rPr>
          <w:rFonts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提供业绩清单及近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年省内同类项目中标书（若有）</w:t>
      </w:r>
    </w:p>
    <w:p w:rsidR="00C77340" w:rsidRDefault="00EB376A" w:rsidP="001845DE">
      <w:pPr>
        <w:pStyle w:val="Flietext"/>
        <w:ind w:firstLineChars="200" w:firstLine="608"/>
        <w:rPr>
          <w:rFonts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、本调研会的报价仅</w:t>
      </w:r>
      <w:proofErr w:type="gramStart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做为</w:t>
      </w:r>
      <w:proofErr w:type="gramEnd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本项目公开招标的预算限价；不做参与投标的限制条件；</w:t>
      </w:r>
    </w:p>
    <w:p w:rsidR="00C77340" w:rsidRDefault="00EB376A" w:rsidP="001845DE">
      <w:pPr>
        <w:pStyle w:val="Flietext"/>
        <w:ind w:firstLineChars="200" w:firstLine="608"/>
        <w:rPr>
          <w:rFonts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、上述各参数将</w:t>
      </w:r>
      <w:proofErr w:type="gramStart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做为</w:t>
      </w:r>
      <w:proofErr w:type="gramEnd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本项目招标的主要参数，不代表本项目公开招标的最终参数；</w:t>
      </w:r>
    </w:p>
    <w:p w:rsidR="00C77340" w:rsidRDefault="00EB376A" w:rsidP="001845DE">
      <w:pPr>
        <w:pStyle w:val="Flietext"/>
        <w:ind w:firstLineChars="200" w:firstLine="608"/>
        <w:rPr>
          <w:rFonts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、参加调研会的公司应准备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PPT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材料（</w:t>
      </w:r>
      <w:proofErr w:type="gramStart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含方案</w:t>
      </w:r>
      <w:proofErr w:type="gramEnd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介绍、服务及集成能力、应用案例、报价等）、技术参数等材料，</w:t>
      </w:r>
      <w:proofErr w:type="gramStart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每公司</w:t>
      </w:r>
      <w:proofErr w:type="gramEnd"/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讲解时间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30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分钟（含答疑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分钟）；同时上述材料须交予院方留档（提供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U</w:t>
      </w:r>
      <w:r>
        <w:rPr>
          <w:rFonts w:ascii="仿宋_GB2312" w:hAnsi="仿宋_GB2312" w:cs="仿宋_GB2312" w:hint="eastAsia"/>
          <w:color w:val="000000"/>
          <w:spacing w:val="-8"/>
          <w:kern w:val="0"/>
          <w:sz w:val="32"/>
          <w:szCs w:val="32"/>
          <w:shd w:val="clear" w:color="auto" w:fill="FFFFFF"/>
        </w:rPr>
        <w:t>盘留档）。</w:t>
      </w:r>
    </w:p>
    <w:p w:rsidR="00C77340" w:rsidRDefault="00C77340" w:rsidP="001845DE">
      <w:pPr>
        <w:pStyle w:val="Flietext"/>
        <w:ind w:firstLineChars="200" w:firstLine="608"/>
        <w:rPr>
          <w:rFonts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</w:p>
    <w:p w:rsidR="00C77340" w:rsidRDefault="00EB376A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br w:type="page"/>
      </w:r>
    </w:p>
    <w:p w:rsidR="00C77340" w:rsidRDefault="00C77340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</w:p>
    <w:p w:rsidR="00C77340" w:rsidRDefault="00EB376A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项目文件回执单</w:t>
      </w:r>
    </w:p>
    <w:p w:rsidR="00C77340" w:rsidRDefault="00EB376A">
      <w:pPr>
        <w:shd w:val="solid" w:color="FFFFFF" w:fill="auto"/>
        <w:autoSpaceDN w:val="0"/>
        <w:spacing w:line="4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请有意向参与的公司在项目公示期内携带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回执单至福建省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肿瘤医院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网络技术中心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651"/>
        <w:gridCol w:w="2115"/>
        <w:gridCol w:w="2248"/>
      </w:tblGrid>
      <w:tr w:rsidR="00C77340">
        <w:trPr>
          <w:trHeight w:hRule="exact" w:val="50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 w:rsidR="00C77340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C77340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77340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EB376A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40" w:rsidRDefault="00C77340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C77340" w:rsidRDefault="00C77340">
      <w:pPr>
        <w:shd w:val="solid" w:color="FFFFFF" w:fill="auto"/>
        <w:autoSpaceDN w:val="0"/>
        <w:spacing w:line="420" w:lineRule="atLeas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C77340" w:rsidRDefault="00C77340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C77340" w:rsidRDefault="00EB376A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公司名称：</w:t>
      </w:r>
    </w:p>
    <w:p w:rsidR="00C77340" w:rsidRDefault="00EB376A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联系人：　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 </w:t>
      </w:r>
    </w:p>
    <w:p w:rsidR="00C77340" w:rsidRDefault="00EB376A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联系电话：</w:t>
      </w:r>
    </w:p>
    <w:p w:rsidR="00C77340" w:rsidRDefault="00EB376A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公司盖章：</w:t>
      </w:r>
    </w:p>
    <w:p w:rsidR="00C77340" w:rsidRDefault="00C77340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C77340" w:rsidRDefault="00C77340">
      <w:pPr>
        <w:pStyle w:val="Flietext"/>
        <w:rPr>
          <w:rFonts w:ascii="仿宋_GB2312" w:hAnsi="仿宋_GB2312" w:cs="仿宋_GB2312"/>
          <w:bCs/>
          <w:sz w:val="32"/>
          <w:szCs w:val="32"/>
          <w:shd w:val="clear" w:color="auto" w:fill="FFFFFF"/>
        </w:rPr>
      </w:pPr>
    </w:p>
    <w:p w:rsidR="00C77340" w:rsidRDefault="00EB376A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                                </w:t>
      </w:r>
      <w:r>
        <w:rPr>
          <w:rFonts w:ascii="仿宋_GB2312" w:hAnsi="仿宋_GB2312" w:cs="仿宋_GB2312" w:hint="eastAsia"/>
          <w:sz w:val="32"/>
          <w:szCs w:val="32"/>
        </w:rPr>
        <w:t>福建省肿瘤医院</w:t>
      </w:r>
    </w:p>
    <w:p w:rsidR="00C77340" w:rsidRDefault="00EB376A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                                   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日</w:t>
      </w:r>
    </w:p>
    <w:sectPr w:rsidR="00C77340">
      <w:footerReference w:type="default" r:id="rId9"/>
      <w:pgSz w:w="12240" w:h="15840"/>
      <w:pgMar w:top="1134" w:right="1587" w:bottom="1134" w:left="1587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6A" w:rsidRDefault="00EB376A">
      <w:r>
        <w:separator/>
      </w:r>
    </w:p>
  </w:endnote>
  <w:endnote w:type="continuationSeparator" w:id="0">
    <w:p w:rsidR="00EB376A" w:rsidRDefault="00EB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40" w:rsidRDefault="00EB376A">
    <w:pPr>
      <w:pStyle w:val="a4"/>
    </w:pPr>
    <w:r>
      <w:rPr>
        <w:rFonts w:cs="Times New Roman"/>
      </w:rPr>
      <w:pict>
        <v:rect id="Quad Arrow 1025" o:spid="_x0000_s2049" style="position:absolute;margin-left:0;margin-top:0;width:5.35pt;height:12.8pt;z-index:1;mso-wrap-style:none;mso-position-horizontal:center;mso-position-horizontal-relative:margin" o:preferrelative="t" filled="f" stroked="f">
          <v:textbox style="mso-fit-shape-to-text:t" inset="0,0,0,0">
            <w:txbxContent>
              <w:p w:rsidR="00C77340" w:rsidRDefault="00EB376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E2C53" w:rsidRPr="004E2C53">
                  <w:rPr>
                    <w:noProof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6A" w:rsidRDefault="00EB376A">
      <w:r>
        <w:separator/>
      </w:r>
    </w:p>
  </w:footnote>
  <w:footnote w:type="continuationSeparator" w:id="0">
    <w:p w:rsidR="00EB376A" w:rsidRDefault="00EB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51A4"/>
    <w:multiLevelType w:val="multilevel"/>
    <w:tmpl w:val="364251A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51602"/>
    <w:multiLevelType w:val="singleLevel"/>
    <w:tmpl w:val="5355160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D77165"/>
    <w:multiLevelType w:val="singleLevel"/>
    <w:tmpl w:val="63D77165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wOWNhMWIwMTM5Y2VhMTQwZDE5YzA3MTI0ODg5N2EifQ=="/>
  </w:docVars>
  <w:rsids>
    <w:rsidRoot w:val="00C77340"/>
    <w:rsid w:val="001845DE"/>
    <w:rsid w:val="004E2C53"/>
    <w:rsid w:val="00C77340"/>
    <w:rsid w:val="00E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Flietext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line="30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845DE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ietext">
    <w:name w:val="Fließ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styleId="a3">
    <w:name w:val="Body Text"/>
    <w:basedOn w:val="a"/>
    <w:next w:val="10"/>
    <w:uiPriority w:val="99"/>
    <w:unhideWhenUsed/>
    <w:qFormat/>
    <w:rPr>
      <w:rFonts w:ascii="仿宋_GB2312" w:eastAsia="仿宋_GB2312"/>
      <w:sz w:val="32"/>
    </w:rPr>
  </w:style>
  <w:style w:type="paragraph" w:customStyle="1" w:styleId="10">
    <w:name w:val="引用1"/>
    <w:basedOn w:val="a"/>
    <w:next w:val="a"/>
    <w:uiPriority w:val="29"/>
    <w:qFormat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a6">
    <w:name w:val="Strong"/>
    <w:qFormat/>
    <w:rPr>
      <w:b/>
    </w:rPr>
  </w:style>
  <w:style w:type="paragraph" w:customStyle="1" w:styleId="xl35">
    <w:name w:val="xl3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18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845DE"/>
    <w:rPr>
      <w:rFonts w:ascii="Calibri" w:hAnsi="Calibri" w:cs="黑体"/>
      <w:kern w:val="2"/>
      <w:sz w:val="18"/>
      <w:szCs w:val="18"/>
    </w:rPr>
  </w:style>
  <w:style w:type="character" w:customStyle="1" w:styleId="3Char">
    <w:name w:val="标题 3 Char"/>
    <w:link w:val="3"/>
    <w:semiHidden/>
    <w:rsid w:val="001845DE"/>
    <w:rPr>
      <w:rFonts w:ascii="Calibri" w:hAnsi="Calibri"/>
      <w:b/>
      <w:bCs/>
      <w:kern w:val="2"/>
      <w:sz w:val="32"/>
      <w:szCs w:val="32"/>
    </w:rPr>
  </w:style>
  <w:style w:type="paragraph" w:customStyle="1" w:styleId="20">
    <w:name w:val="列出段落2"/>
    <w:basedOn w:val="a"/>
    <w:uiPriority w:val="34"/>
    <w:qFormat/>
    <w:rsid w:val="001845DE"/>
    <w:pPr>
      <w:ind w:firstLineChars="200" w:firstLine="420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设备科：</dc:title>
  <dc:creator>Admin</dc:creator>
  <cp:lastModifiedBy>admin</cp:lastModifiedBy>
  <cp:revision>1</cp:revision>
  <cp:lastPrinted>2023-06-20T07:45:00Z</cp:lastPrinted>
  <dcterms:created xsi:type="dcterms:W3CDTF">2023-05-30T06:42:00Z</dcterms:created>
  <dcterms:modified xsi:type="dcterms:W3CDTF">2023-10-08T01:46:00Z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CD1CBFDCF0B34D54A1323A555A4AB815_12</vt:lpwstr>
  </property>
</Properties>
</file>