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福建省肿瘤医院采购调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告（第二次）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项目名称：服务器磁盘阵列等设备采购项目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2023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至10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2023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u w:val="none" w:color="auto"/>
                <w:shd w:val="clear" w:color="auto" w:fill="FFFFFF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u w:val="none" w:color="auto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u w:val="none" w:color="auto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杜工、金工</w:t>
      </w: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178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一）</w:t>
            </w:r>
          </w:p>
        </w:tc>
        <w:tc>
          <w:tcPr>
            <w:tcW w:w="317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服务器磁盘阵列等设备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7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4套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7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磁盘阵列存储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1批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7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光纤存储交换机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2套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</w:tbl>
    <w:p>
      <w:pPr>
        <w:keepNext/>
        <w:widowControl/>
        <w:numPr>
          <w:numId w:val="0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9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04"/>
        <w:gridCol w:w="5821"/>
        <w:gridCol w:w="76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58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技术参数要求</w:t>
            </w:r>
          </w:p>
        </w:tc>
        <w:tc>
          <w:tcPr>
            <w:tcW w:w="7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品牌名称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pStyle w:val="10"/>
              <w:numPr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numPr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5821" w:type="dxa"/>
            <w:vAlign w:val="center"/>
          </w:tcPr>
          <w:p>
            <w:pPr>
              <w:pStyle w:val="14"/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配置≥2U机架式服务器，非OEM产品。配置≥2颗英特尔至强金牌5318Y处理器，单颗CPU≥2.1Ghz，核数≥24核；支持≥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个内存插槽，配置≥1.5T（24*64GB） DDR4内存；支持≥8个2.5寸热插拔硬盘槽位，配置≥2个480GB SSD硬盘；配置≥2块双端口16GB HBA卡，≥4个万兆端口（含4块万兆光模块），≥4千兆电口；配置≥2G缓存raid卡（带掉电保护），≥2个800W电源；配置≥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个热插拔风扇模块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，需整机满配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；为保证可扩展性，支持提供≥8个标准PCIe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.0插槽；提供原厂5年保修服务；</w:t>
            </w:r>
          </w:p>
        </w:tc>
        <w:tc>
          <w:tcPr>
            <w:tcW w:w="766" w:type="dxa"/>
            <w:vAlign w:val="center"/>
          </w:tcPr>
          <w:p>
            <w:pPr>
              <w:pStyle w:val="14"/>
              <w:widowControl w:val="0"/>
              <w:numPr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296" w:type="dxa"/>
            <w:vAlign w:val="center"/>
          </w:tcPr>
          <w:p>
            <w:pPr>
              <w:pStyle w:val="14"/>
              <w:widowControl w:val="0"/>
              <w:numPr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pStyle w:val="10"/>
              <w:numPr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numPr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磁盘阵列存储</w:t>
            </w:r>
          </w:p>
        </w:tc>
        <w:tc>
          <w:tcPr>
            <w:tcW w:w="5821" w:type="dxa"/>
            <w:vAlign w:val="top"/>
          </w:tcPr>
          <w:p>
            <w:pPr>
              <w:pStyle w:val="1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影像在线存储扩容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：采用统一存储架构，支持SAN及NAS环境。在原主机UnityXT680上扩容配置75块10K SAS盘，硬盘柜3个，单盘容量1.8TB，可用容量≥100TB，配置8个16Gb FC端口；配置双活容量授权许可，接入现有双活架构；随原主机保修服务。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（数量：2套）</w:t>
            </w:r>
          </w:p>
          <w:p>
            <w:pPr>
              <w:pStyle w:val="10"/>
              <w:numPr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影像归档存储扩容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:采用分布式全对称集群模式横向扩展，在现有影像归档存储Isilon 基础上扩展，组成同一集群并实现统一界面管理；集群内所有节点成员角色平等，没有单独的元数据（索引和管理等之类）服务节点；本次扩容配置NAS节点数量≥1个，总缓存≥64GB，系统支持最大节点数量≥250；配置前端业务万兆网络接口≥2个，后端万兆网络接口≥2个；配置SSD硬盘≥1块，单盘容量≥400GB；配置SATA盘≥15块，单盘容量≥8TB；每节点配置液晶面板进行管理；支持重复数据删除，提高存储效率，支持文件系统审核功能，可提高存储基础架构的安全和控制并满足法规遵从性要求；提供原厂5年7x24的保修服务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（数量：2套）</w:t>
            </w:r>
          </w:p>
          <w:p>
            <w:pPr>
              <w:pStyle w:val="10"/>
              <w:numPr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CDP全闪存存储：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采用统一存储架构，支持SAN及NAS环境，配置控制器数量≥2 控，控制器高可用；本次需配置CPU总核心数≥48核，控制器采用 Intel CPU，主频≥2.1GHz；存储控制器整机配置物理缓存总量≥384GB，支持配置SSD硬盘作为二级缓存；配置 2.5 寸SSD 3.84TB≥17块，闪存可用容量≥50TB作为容灾日志卷和副本卷。单个硬盘扩展柜要求能容纳的硬盘个数≥ 25 个；存储可扩展≥750块硬盘；配置≥8 个 32GbFC 端口；为VMware 虚拟机的操作和灾难恢复提供持续的数据保护，以便快速恢复到任意时间点。快速轻松地将数据复制到多个站点或环境，包括公有云目标，以实现接近于零的恢复时间目标 (RTO) 和恢复点目标 (RPO)。提供虚拟机级别粒度的保护，与VMware vCenter深度集成，方便虚拟机快速恢复至任意时间点，虚拟机管理员可通过 VMware vCenter 插件设置和管理虚拟机数据保护。配置≥8 个 10Gb 以太网端口，支持 25Gb 以太网端口；配置快照，克隆，远程复制等高级软件许可；构建统一容灾备份资源池，与生产存储配合一起实现生产数据的实时容灾和备份保护，CDP与备份恢复演练服务。提供原厂5年7x24的保修服务。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（数量：1套）</w:t>
            </w:r>
          </w:p>
          <w:p>
            <w:pPr>
              <w:pStyle w:val="10"/>
              <w:numPr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单机存储：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采用统一存储架构，支持SAN及NAS环境，配置控制器数量≥2 控，控制器高可用；本次需配置CPU总核心数≥32核，控制器采用 Intel CPU，主频≥1.8GHz；存储控制器整机配置物理缓存总量≥192GB，支持配置SSD硬盘作为二级缓存；配置 2.5 寸高性能 1.8TB SAS 10K RPM盘≥ 75块，可用容量≥100TB作为数据备份空间。单个硬盘扩展柜要求能容纳的硬盘个数≥ 25 个；存储可扩展≥750块硬盘；为VMware 虚拟机的操作和灾难恢复提供持续的数据保护，以便快速恢复到任意时间点。快速轻松地将数据复制到多个站点或环境，包括公有云目标，以实现接近于零的恢复时间目标 (RTO) 和恢复点目标 (RPO)。提供虚拟机级别粒度的保护，与VMware vCenter深度集成，方便虚拟机快速恢复至任意时间点，虚拟机管理员可通过 VMware vCenter 插件设置和管理虚拟机数据保护。配置≥8 个 32GbFC 端口；配置≥8 个 10Gb 以太网端口，支持 25Gb 以太网端口；配置快照，克隆，远程复制等高级软件许可；。提供原厂5年7x24的保修服务。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（数量：1套）</w:t>
            </w:r>
          </w:p>
          <w:p>
            <w:pPr>
              <w:pStyle w:val="10"/>
              <w:numPr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内网虚拟化存储扩容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基于现有的Primera A630全闪存架构的生产存储进行扩容，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增加一个存储扩展柜，扩展柜配置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≥25TB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（可用容量）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SSD硬盘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，同时提供IP SAN和FC SAN服务；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扩容后的整体性能必须与现有性能保持一致，必须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随原主机保修服务。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（数量：2套）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10"/>
              <w:numPr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外网虚拟化存储扩容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DX200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存储双活基础上提供双控磁盘柜≥24个槽位，后端磁盘背板采用最新SAS3.0技术，磁盘驱动器接口12Gb ，配置≥24TB SAS （10*2.4TB 10K 2.5”）SAN/NAS存储容量及许可，支持同时损坏2块硬盘，保证数据不丢失，提供扩容相关套件；通过原有统一存储管理软件及双活管理软件统一管理，含24TB  SAN/NAS管理容量及含24TB 双活集群管理容量，实现两台存储双活冗余，现场实施服务。随原主机保修服务；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（数量：2套）</w:t>
            </w:r>
          </w:p>
        </w:tc>
        <w:tc>
          <w:tcPr>
            <w:tcW w:w="766" w:type="dxa"/>
            <w:vAlign w:val="center"/>
          </w:tcPr>
          <w:p>
            <w:pPr>
              <w:pStyle w:val="10"/>
              <w:numPr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296" w:type="dxa"/>
            <w:vAlign w:val="center"/>
          </w:tcPr>
          <w:p>
            <w:pPr>
              <w:pStyle w:val="10"/>
              <w:numPr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DellEMC、HPE、H3C、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富士通等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pStyle w:val="10"/>
              <w:numPr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numPr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光纤存储交换机</w:t>
            </w:r>
          </w:p>
        </w:tc>
        <w:tc>
          <w:tcPr>
            <w:tcW w:w="5821" w:type="dxa"/>
            <w:vAlign w:val="top"/>
          </w:tcPr>
          <w:p>
            <w:pPr>
              <w:pStyle w:val="10"/>
              <w:numPr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32GB 48口光纤交换机，配置48口32GB模块和授权许可，支持虚拟机持续的数据保护软件授权许可，提供虚拟机级别粒度的保护，与VMware vCenter深度集成，方便虚拟机快速恢复至任意时间点，虚拟机管理员可通过 VMware vCenter 插件设置和管理虚拟机数据保护。提供原厂5年7x24的保修服务。</w:t>
            </w:r>
          </w:p>
        </w:tc>
        <w:tc>
          <w:tcPr>
            <w:tcW w:w="766" w:type="dxa"/>
            <w:vAlign w:val="center"/>
          </w:tcPr>
          <w:p>
            <w:pPr>
              <w:pStyle w:val="10"/>
              <w:numPr>
                <w:numId w:val="0"/>
              </w:num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296" w:type="dxa"/>
            <w:vAlign w:val="center"/>
          </w:tcPr>
          <w:p>
            <w:pPr>
              <w:pStyle w:val="10"/>
              <w:numPr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DellEMC、HPE、H3C、博科等</w:t>
            </w:r>
          </w:p>
        </w:tc>
      </w:tr>
    </w:tbl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3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实施主要工作为：各设备上架调试、系统集成等软硬件安装工作，同时必须结合医院现有设备及应用情况，实施现有及本项目规划、等保安全、系统集成、数据迁移、服务器及虚拟化版本升级统一、虚拟服务器迁移、存储迁移、CAS虚拟化平台搭建与运维、CAS虚拟化平台虚拟服务器迁移、CAS虚拟化平台虚拟服务器备份、协助完成医院评审工作包括但不限于三级等保评审、电子病历评审、互联互通评审等各项工作；</w:t>
      </w:r>
    </w:p>
    <w:p>
      <w:pPr>
        <w:widowControl/>
        <w:numPr>
          <w:ilvl w:val="0"/>
          <w:numId w:val="3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必须对所有设备逐项报价，不得缺项。后期招标时将作为一个合同包进行招标。报价格式见附件；</w:t>
      </w:r>
    </w:p>
    <w:p>
      <w:pPr>
        <w:widowControl/>
        <w:numPr>
          <w:ilvl w:val="0"/>
          <w:numId w:val="3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本预算价应包含设备价格、实施费用、集成费用及5年保修期内（扩容设备随主机保修）的维修及服务费用等，本预算价为含税开票价格；</w:t>
      </w:r>
      <w:bookmarkStart w:id="0" w:name="_GoBack"/>
      <w:bookmarkEnd w:id="0"/>
    </w:p>
    <w:p>
      <w:pPr>
        <w:widowControl/>
        <w:numPr>
          <w:ilvl w:val="0"/>
          <w:numId w:val="3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已参与第一次调研的公司可不参加本次调研。</w:t>
      </w:r>
    </w:p>
    <w:p>
      <w:pPr>
        <w:pStyle w:val="10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提供业绩清单及近3年省内同类项目中标书（若有）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7、参加调研会的公司应准备PPT材料（含方案介绍、服务及集成能力、应用案例、报价等）、技术参数等材料，每公司讲解时间30分钟（含答疑10分钟）；同时上述材料须交予院方留档（提供U盘留档）。</w:t>
      </w: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报价格式</w:t>
      </w:r>
    </w:p>
    <w:tbl>
      <w:tblPr>
        <w:tblW w:w="92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"/>
        <w:gridCol w:w="1583"/>
        <w:gridCol w:w="1050"/>
        <w:gridCol w:w="900"/>
        <w:gridCol w:w="1017"/>
        <w:gridCol w:w="950"/>
        <w:gridCol w:w="983"/>
        <w:gridCol w:w="906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设备规格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主要参数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是否满足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3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工程实施费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3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合计（上述金额为含税开票金额）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before="100" w:beforeAutospacing="1" w:after="100" w:afterAutospacing="1" w:line="590" w:lineRule="atLeast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注：表格项目应按主要参数表中的序号、设备规格顺序进行对应报价。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pStyle w:val="10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43651022">
    <w:nsid w:val="C1562FCE"/>
    <w:multiLevelType w:val="singleLevel"/>
    <w:tmpl w:val="C1562FCE"/>
    <w:lvl w:ilvl="0" w:tentative="1">
      <w:start w:val="1"/>
      <w:numFmt w:val="decimal"/>
      <w:suff w:val="nothing"/>
      <w:lvlText w:val="%1、"/>
      <w:lvlJc w:val="left"/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948718901">
    <w:nsid w:val="74271735"/>
    <w:multiLevelType w:val="singleLevel"/>
    <w:tmpl w:val="74271735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948718901"/>
  </w:num>
  <w:num w:numId="2">
    <w:abstractNumId w:val="1398085122"/>
  </w:num>
  <w:num w:numId="3">
    <w:abstractNumId w:val="32436510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null3"/>
    <w:hidden/>
    <w:qFormat/>
    <w:uiPriority w:val="0"/>
    <w:rPr>
      <w:rFonts w:hint="eastAsia" w:ascii="Calibri" w:hAnsi="Calibri" w:eastAsia="宋体" w:cs="黑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1849</Words>
  <Characters>2122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2023-10-24T01:52:20Z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CD1CBFDCF0B34D54A1323A555A4AB815_12</vt:lpwstr>
  </property>
</Properties>
</file>