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  院际远程会诊项目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2023 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2023 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钱工、</w:t>
      </w:r>
      <w:r>
        <w:rPr>
          <w:rFonts w:hint="eastAsia" w:ascii="仿宋_GB2312" w:hAnsi="仿宋_GB2312" w:eastAsia="仿宋_GB2312" w:cs="仿宋_GB2312"/>
          <w:bCs/>
          <w:color w:val="000000"/>
          <w:kern w:val="0"/>
          <w:sz w:val="32"/>
          <w:szCs w:val="32"/>
          <w:shd w:val="clear" w:color="auto" w:fill="FFFFFF"/>
        </w:rPr>
        <w:t>金工</w:t>
      </w:r>
    </w:p>
    <w:p>
      <w:pPr>
        <w:pStyle w:val="2"/>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exact"/>
        </w:trPr>
        <w:tc>
          <w:tcPr>
            <w:tcW w:w="2697"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afterLines="5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14" w:hRule="exact"/>
        </w:trPr>
        <w:tc>
          <w:tcPr>
            <w:tcW w:w="2697"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（一）</w:t>
            </w:r>
          </w:p>
        </w:tc>
        <w:tc>
          <w:tcPr>
            <w:tcW w:w="317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 </w:t>
            </w:r>
            <w:r>
              <w:rPr>
                <w:rFonts w:hint="eastAsia" w:ascii="宋体" w:hAnsi="宋体" w:eastAsia="宋体" w:cs="宋体"/>
                <w:color w:val="000000"/>
                <w:kern w:val="0"/>
                <w:sz w:val="32"/>
                <w:szCs w:val="32"/>
              </w:rPr>
              <w:t>院际远程会诊项目</w:t>
            </w:r>
          </w:p>
        </w:tc>
        <w:tc>
          <w:tcPr>
            <w:tcW w:w="1590" w:type="dxa"/>
            <w:vAlign w:val="center"/>
          </w:tcPr>
          <w:p>
            <w:pPr>
              <w:autoSpaceDN w:val="0"/>
              <w:textAlignment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 xml:space="preserve"> </w:t>
            </w:r>
          </w:p>
        </w:tc>
        <w:tc>
          <w:tcPr>
            <w:tcW w:w="1894" w:type="dxa"/>
            <w:vAlign w:val="center"/>
          </w:tcPr>
          <w:p>
            <w:pPr>
              <w:autoSpaceDN w:val="0"/>
              <w:textAlignment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2" w:hRule="exact"/>
        </w:trPr>
        <w:tc>
          <w:tcPr>
            <w:tcW w:w="2697"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178" w:type="dxa"/>
            <w:vAlign w:val="center"/>
          </w:tcPr>
          <w:p>
            <w:pPr>
              <w:widowControl w:val="0"/>
              <w:wordWrap/>
              <w:adjustRightInd/>
              <w:snapToGrid/>
              <w:spacing w:before="0" w:after="0" w:line="400" w:lineRule="exact"/>
              <w:ind w:left="0" w:leftChars="0" w:right="0" w:firstLine="0" w:firstLineChars="0"/>
              <w:jc w:val="both"/>
              <w:textAlignment w:val="auto"/>
              <w:outlineLvl w:val="9"/>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院际远程会诊及分级诊疗平台应用服务</w:t>
            </w:r>
          </w:p>
        </w:tc>
        <w:tc>
          <w:tcPr>
            <w:tcW w:w="1590" w:type="dxa"/>
            <w:vAlign w:val="center"/>
          </w:tcPr>
          <w:p>
            <w:pPr>
              <w:autoSpaceDN w:val="0"/>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94" w:type="dxa"/>
            <w:vAlign w:val="center"/>
          </w:tcPr>
          <w:p>
            <w:pPr>
              <w:autoSpaceDN w:val="0"/>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28" w:hRule="exact"/>
        </w:trPr>
        <w:tc>
          <w:tcPr>
            <w:tcW w:w="2697"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178" w:type="dxa"/>
            <w:vAlign w:val="center"/>
          </w:tcPr>
          <w:p>
            <w:pPr>
              <w:widowControl w:val="0"/>
              <w:wordWrap/>
              <w:adjustRightInd/>
              <w:snapToGrid/>
              <w:spacing w:before="0" w:after="0" w:line="400" w:lineRule="exact"/>
              <w:ind w:left="0" w:leftChars="0" w:right="0" w:firstLine="0" w:firstLineChars="0"/>
              <w:jc w:val="both"/>
              <w:textAlignment w:val="auto"/>
              <w:outlineLvl w:val="9"/>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院际远程医疗单屏音视讯终端</w:t>
            </w:r>
          </w:p>
        </w:tc>
        <w:tc>
          <w:tcPr>
            <w:tcW w:w="1590" w:type="dxa"/>
            <w:vAlign w:val="center"/>
          </w:tcPr>
          <w:p>
            <w:pPr>
              <w:autoSpaceDN w:val="0"/>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894" w:type="dxa"/>
            <w:vAlign w:val="center"/>
          </w:tcPr>
          <w:p>
            <w:pPr>
              <w:autoSpaceDN w:val="0"/>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3" w:hRule="exact"/>
        </w:trPr>
        <w:tc>
          <w:tcPr>
            <w:tcW w:w="2697"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178" w:type="dxa"/>
            <w:vAlign w:val="center"/>
          </w:tcPr>
          <w:p>
            <w:pPr>
              <w:widowControl w:val="0"/>
              <w:wordWrap/>
              <w:adjustRightInd/>
              <w:snapToGrid/>
              <w:spacing w:before="0" w:after="0" w:line="400" w:lineRule="exact"/>
              <w:ind w:left="0" w:leftChars="0" w:right="0" w:firstLine="0" w:firstLineChars="0"/>
              <w:jc w:val="both"/>
              <w:textAlignment w:val="auto"/>
              <w:outlineLvl w:val="9"/>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5G 移动医疗推车</w:t>
            </w:r>
          </w:p>
        </w:tc>
        <w:tc>
          <w:tcPr>
            <w:tcW w:w="1590" w:type="dxa"/>
            <w:vAlign w:val="center"/>
          </w:tcPr>
          <w:p>
            <w:pPr>
              <w:autoSpaceDN w:val="0"/>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894" w:type="dxa"/>
            <w:vAlign w:val="center"/>
          </w:tcPr>
          <w:p>
            <w:pPr>
              <w:autoSpaceDN w:val="0"/>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68" w:hRule="exact"/>
        </w:trPr>
        <w:tc>
          <w:tcPr>
            <w:tcW w:w="2697" w:type="dxa"/>
            <w:vAlign w:val="center"/>
          </w:tcPr>
          <w:p>
            <w:pPr>
              <w:widowControl/>
              <w:spacing w:afterLines="5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178" w:type="dxa"/>
            <w:vAlign w:val="center"/>
          </w:tcPr>
          <w:p>
            <w:pPr>
              <w:widowControl w:val="0"/>
              <w:wordWrap/>
              <w:adjustRightInd/>
              <w:snapToGrid/>
              <w:spacing w:before="0" w:after="0" w:line="400" w:lineRule="exact"/>
              <w:ind w:left="0" w:leftChars="0" w:right="0" w:firstLine="0" w:firstLineChars="0"/>
              <w:jc w:val="both"/>
              <w:textAlignment w:val="auto"/>
              <w:outlineLvl w:val="9"/>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录播服务器(容量 8T、支持 3000小时录制)</w:t>
            </w:r>
          </w:p>
        </w:tc>
        <w:tc>
          <w:tcPr>
            <w:tcW w:w="1590" w:type="dxa"/>
            <w:vAlign w:val="center"/>
          </w:tcPr>
          <w:p>
            <w:pPr>
              <w:autoSpaceDN w:val="0"/>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94" w:type="dxa"/>
            <w:vAlign w:val="center"/>
          </w:tcPr>
          <w:p>
            <w:pPr>
              <w:autoSpaceDN w:val="0"/>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rPr>
          <w:rFonts w:hint="eastAsia" w:ascii="仿宋_GB2312" w:hAnsi="仿宋_GB2312" w:cs="仿宋_GB2312"/>
          <w:sz w:val="32"/>
          <w:szCs w:val="32"/>
        </w:rPr>
      </w:pPr>
      <w:r>
        <w:rPr>
          <w:rFonts w:hint="eastAsia" w:ascii="仿宋_GB2312" w:hAnsi="仿宋_GB2312" w:cs="仿宋_GB2312"/>
          <w:sz w:val="32"/>
          <w:szCs w:val="32"/>
        </w:rPr>
        <w:t>1、合同包（一）</w:t>
      </w:r>
    </w:p>
    <w:tbl>
      <w:tblPr>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7"/>
        <w:gridCol w:w="231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exact"/>
        </w:trPr>
        <w:tc>
          <w:tcPr>
            <w:tcW w:w="112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598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15" w:hRule="exact"/>
        </w:trPr>
        <w:tc>
          <w:tcPr>
            <w:tcW w:w="112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10" w:type="dxa"/>
            <w:vAlign w:val="center"/>
          </w:tcPr>
          <w:p>
            <w:pPr>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院际远程会诊及分级诊疗平台应用服务</w:t>
            </w:r>
          </w:p>
        </w:tc>
        <w:tc>
          <w:tcPr>
            <w:tcW w:w="5983" w:type="dxa"/>
            <w:vAlign w:val="center"/>
          </w:tcPr>
          <w:p>
            <w:pPr>
              <w:pStyle w:val="5"/>
              <w:rPr>
                <w:rFonts w:ascii="宋体" w:hAnsi="宋体" w:eastAsia="宋体" w:cs="仿宋_GB2312"/>
                <w:b w:val="0"/>
                <w:bCs w:val="0"/>
                <w:color w:val="000000"/>
                <w:kern w:val="0"/>
                <w:sz w:val="24"/>
                <w:szCs w:val="24"/>
              </w:rPr>
            </w:pPr>
            <w:r>
              <w:rPr>
                <w:rFonts w:hint="eastAsia" w:ascii="宋体" w:hAnsi="宋体" w:eastAsia="宋体" w:cs="仿宋_GB2312"/>
                <w:b w:val="0"/>
                <w:bCs w:val="0"/>
                <w:color w:val="000000"/>
                <w:kern w:val="0"/>
                <w:sz w:val="24"/>
                <w:szCs w:val="24"/>
              </w:rPr>
              <w:t>分级诊疗转出方患者信息、转诊信息、病历信息、病历提交、查看转诊记录；转入方转诊记录、病史调阅、审核接收、快捷回转、查看随访；支撑模块消息提醒、管理后台；远程会诊模块，临床会诊申请、患者信息、会诊信息、病历信息；我的申请模块、申请列表、申请详情、会诊意见、会诊进度、浏览资料、取消会诊、图文沟通、会诊报告等；分诊会诊模块，影像调阅模块，会诊诊断模块，支撑模块，集成音视频、消息提醒、运营管理、统计查询等；病理会诊模块。</w:t>
            </w:r>
          </w:p>
          <w:p>
            <w:pPr>
              <w:rPr>
                <w:rFonts w:ascii="宋体" w:hAnsi="宋体" w:eastAsia="宋体" w:cs="仿宋_GB2312"/>
                <w:color w:val="000000"/>
                <w:kern w:val="0"/>
                <w:sz w:val="24"/>
                <w:szCs w:val="24"/>
              </w:rPr>
            </w:pPr>
            <w:r>
              <w:rPr>
                <w:rFonts w:ascii="宋体" w:hAnsi="宋体" w:eastAsia="宋体" w:cs="仿宋_GB2312"/>
                <w:color w:val="000000"/>
                <w:kern w:val="0"/>
                <w:sz w:val="24"/>
                <w:szCs w:val="24"/>
              </w:rPr>
              <w:t>与医院系统的接口：</w:t>
            </w:r>
            <w:r>
              <w:rPr>
                <w:rFonts w:hint="eastAsia" w:ascii="宋体" w:hAnsi="宋体" w:eastAsia="宋体" w:cs="仿宋_GB2312"/>
                <w:color w:val="000000"/>
                <w:kern w:val="0"/>
                <w:sz w:val="24"/>
                <w:szCs w:val="24"/>
              </w:rPr>
              <w:t>均为远程会诊及分级诊疗平台业务对接院内系统，查询并获取相关信息，如基础信息采集、检验检查报告获取、病历查询等。</w:t>
            </w:r>
          </w:p>
          <w:p>
            <w:pPr>
              <w:rPr>
                <w:rFonts w:ascii="宋体" w:hAnsi="宋体" w:eastAsia="宋体"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426" w:hRule="exact"/>
        </w:trPr>
        <w:tc>
          <w:tcPr>
            <w:tcW w:w="112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10" w:type="dxa"/>
            <w:vAlign w:val="center"/>
          </w:tcPr>
          <w:p>
            <w:pPr>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院际远程医疗单屏音视讯终端</w:t>
            </w:r>
          </w:p>
        </w:tc>
        <w:tc>
          <w:tcPr>
            <w:tcW w:w="5983" w:type="dxa"/>
            <w:vAlign w:val="center"/>
          </w:tcPr>
          <w:p>
            <w:pPr>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总体要求：86英寸，支持超高清4K、高精度低延时板书智能书写、多介质存储、智能投屏，集成高性能高性价比编解码器、摄像机、显示屏、数字阵列麦克风、一体化结构件，使用Touch统一操控，适用于中小型会议室，多人召开智真会议的应用场景。</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液晶屏显示尺寸</w:t>
            </w:r>
            <w:r>
              <w:rPr>
                <w:rFonts w:ascii="宋体" w:hAnsi="宋体" w:eastAsia="宋体" w:cs="仿宋_GB2312"/>
                <w:color w:val="000000"/>
                <w:kern w:val="0"/>
                <w:sz w:val="24"/>
                <w:szCs w:val="24"/>
              </w:rPr>
              <w:t>≥</w:t>
            </w:r>
            <w:r>
              <w:rPr>
                <w:rFonts w:hint="eastAsia" w:ascii="宋体" w:hAnsi="宋体" w:eastAsia="宋体" w:cs="仿宋_GB2312"/>
                <w:color w:val="000000"/>
                <w:kern w:val="0"/>
                <w:sz w:val="24"/>
                <w:szCs w:val="24"/>
              </w:rPr>
              <w:t>86英寸，采用</w:t>
            </w:r>
            <w:r>
              <w:rPr>
                <w:rFonts w:ascii="宋体" w:hAnsi="宋体" w:eastAsia="宋体" w:cs="仿宋_GB2312"/>
                <w:color w:val="000000"/>
                <w:kern w:val="0"/>
                <w:sz w:val="24"/>
                <w:szCs w:val="24"/>
              </w:rPr>
              <w:t>A+</w:t>
            </w:r>
            <w:r>
              <w:rPr>
                <w:rFonts w:hint="eastAsia" w:ascii="宋体" w:hAnsi="宋体" w:eastAsia="宋体" w:cs="仿宋_GB2312"/>
                <w:color w:val="000000"/>
                <w:kern w:val="0"/>
                <w:sz w:val="24"/>
                <w:szCs w:val="24"/>
              </w:rPr>
              <w:t>规屏；显示比例</w:t>
            </w:r>
            <w:r>
              <w:rPr>
                <w:rFonts w:ascii="宋体" w:hAnsi="宋体" w:eastAsia="宋体" w:cs="仿宋_GB2312"/>
                <w:color w:val="000000"/>
                <w:kern w:val="0"/>
                <w:sz w:val="24"/>
                <w:szCs w:val="24"/>
              </w:rPr>
              <w:t>16:9</w:t>
            </w:r>
            <w:r>
              <w:rPr>
                <w:rFonts w:hint="eastAsia" w:ascii="宋体" w:hAnsi="宋体" w:eastAsia="宋体" w:cs="仿宋_GB2312"/>
                <w:color w:val="000000"/>
                <w:kern w:val="0"/>
                <w:sz w:val="24"/>
                <w:szCs w:val="24"/>
              </w:rPr>
              <w:t>；分辨率</w:t>
            </w:r>
            <w:r>
              <w:rPr>
                <w:rFonts w:ascii="宋体" w:hAnsi="宋体" w:eastAsia="宋体" w:cs="仿宋_GB2312"/>
                <w:color w:val="000000"/>
                <w:kern w:val="0"/>
                <w:sz w:val="24"/>
                <w:szCs w:val="24"/>
              </w:rPr>
              <w:t>≥3840*2160</w:t>
            </w:r>
            <w:r>
              <w:rPr>
                <w:rFonts w:hint="eastAsia" w:ascii="宋体" w:hAnsi="宋体" w:eastAsia="宋体" w:cs="仿宋_GB2312"/>
                <w:color w:val="000000"/>
                <w:kern w:val="0"/>
                <w:sz w:val="24"/>
                <w:szCs w:val="24"/>
              </w:rPr>
              <w:t>，可视角度</w:t>
            </w:r>
            <w:r>
              <w:rPr>
                <w:rFonts w:ascii="宋体" w:hAnsi="宋体" w:eastAsia="宋体" w:cs="仿宋_GB2312"/>
                <w:color w:val="000000"/>
                <w:kern w:val="0"/>
                <w:sz w:val="24"/>
                <w:szCs w:val="24"/>
              </w:rPr>
              <w:t>≥178°</w:t>
            </w:r>
            <w:r>
              <w:rPr>
                <w:rFonts w:hint="eastAsia" w:ascii="宋体" w:hAnsi="宋体" w:eastAsia="宋体" w:cs="仿宋_GB2312"/>
                <w:color w:val="000000"/>
                <w:kern w:val="0"/>
                <w:sz w:val="24"/>
                <w:szCs w:val="24"/>
              </w:rPr>
              <w:t>，屏幕显示灰度分辨率等级达到</w:t>
            </w:r>
            <w:r>
              <w:rPr>
                <w:rFonts w:ascii="宋体" w:hAnsi="宋体" w:eastAsia="宋体" w:cs="仿宋_GB2312"/>
                <w:color w:val="000000"/>
                <w:kern w:val="0"/>
                <w:sz w:val="24"/>
                <w:szCs w:val="24"/>
              </w:rPr>
              <w:t>256</w:t>
            </w:r>
            <w:r>
              <w:rPr>
                <w:rFonts w:hint="eastAsia" w:ascii="宋体" w:hAnsi="宋体" w:eastAsia="宋体" w:cs="仿宋_GB2312"/>
                <w:color w:val="000000"/>
                <w:kern w:val="0"/>
                <w:sz w:val="24"/>
                <w:szCs w:val="24"/>
              </w:rPr>
              <w:t>级以上灰阶。</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内置PTZ高清摄像机，支持≥213万像素1/2.8英寸CMOS成像芯片，支持不小于1080P 60fps视频图像采集。</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支持≥2路高清视频输入，≥2路高清视频输出，提供清晰的设备背板照片证明。</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为充分满足用户实际使用需求，设备前置面板需具有以下无转接接口：</w:t>
            </w:r>
            <w:r>
              <w:rPr>
                <w:rFonts w:ascii="宋体" w:hAnsi="宋体" w:eastAsia="宋体" w:cs="仿宋_GB2312"/>
                <w:color w:val="000000"/>
                <w:kern w:val="0"/>
                <w:sz w:val="24"/>
                <w:szCs w:val="24"/>
              </w:rPr>
              <w:t>≥1*Type-C</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≥2*USB Type-A</w:t>
            </w:r>
            <w:r>
              <w:rPr>
                <w:rFonts w:hint="eastAsia" w:ascii="宋体" w:hAnsi="宋体" w:eastAsia="宋体" w:cs="仿宋_GB2312"/>
                <w:color w:val="000000"/>
                <w:kern w:val="0"/>
                <w:sz w:val="24"/>
                <w:szCs w:val="24"/>
              </w:rPr>
              <w:t>。侧置需具有以下无转接接口：</w:t>
            </w:r>
            <w:r>
              <w:rPr>
                <w:rFonts w:ascii="宋体" w:hAnsi="宋体" w:eastAsia="宋体" w:cs="仿宋_GB2312"/>
                <w:color w:val="000000"/>
                <w:kern w:val="0"/>
                <w:sz w:val="24"/>
                <w:szCs w:val="24"/>
              </w:rPr>
              <w:t>≥2*HDMI IN</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≥1*HDMI OUT</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≥1*MIC IN</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w:t>
            </w:r>
            <w:r>
              <w:rPr>
                <w:rFonts w:hint="eastAsia" w:ascii="宋体" w:hAnsi="宋体" w:eastAsia="宋体" w:cs="仿宋_GB2312"/>
                <w:color w:val="000000"/>
                <w:kern w:val="0"/>
                <w:sz w:val="24"/>
                <w:szCs w:val="24"/>
              </w:rPr>
              <w:t>路</w:t>
            </w:r>
            <w:r>
              <w:rPr>
                <w:rFonts w:ascii="宋体" w:hAnsi="宋体" w:eastAsia="宋体" w:cs="仿宋_GB2312"/>
                <w:color w:val="000000"/>
                <w:kern w:val="0"/>
                <w:sz w:val="24"/>
                <w:szCs w:val="24"/>
              </w:rPr>
              <w:t>MIC OUT</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≥1*RJ45</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≥1*COM</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≥1*USB Type-A</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≥1*USB Type-B</w:t>
            </w:r>
            <w:r>
              <w:rPr>
                <w:rFonts w:hint="eastAsia" w:ascii="宋体" w:hAnsi="宋体" w:eastAsia="宋体" w:cs="仿宋_GB2312"/>
                <w:color w:val="000000"/>
                <w:kern w:val="0"/>
                <w:sz w:val="24"/>
                <w:szCs w:val="24"/>
              </w:rPr>
              <w:t>。</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设备须通过浪涌抗扰度、静电抗扰度、电压波动闪烁、电快速瞬变脉冲群抗扰度、工频磁场、传导抗扰度、电压暂降、短时中断和电压变化、辐射抗扰度等电磁兼容类测试，确保整机使用安全。</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数字阵列麦克风，支持360°全向拾音，拾音距离≥6米。</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采样率≥48KHz。</w:t>
            </w:r>
          </w:p>
          <w:p>
            <w:pPr>
              <w:pStyle w:val="2"/>
              <w:rPr>
                <w:sz w:val="24"/>
                <w:szCs w:val="24"/>
              </w:rPr>
            </w:pPr>
            <w:r>
              <w:rPr>
                <w:rFonts w:hint="eastAsia" w:ascii="宋体" w:hAnsi="宋体" w:eastAsia="宋体" w:cs="仿宋_GB2312"/>
                <w:color w:val="000000"/>
                <w:kern w:val="0"/>
                <w:sz w:val="24"/>
                <w:szCs w:val="24"/>
              </w:rPr>
              <w:t>屏幕贴合方式：采用零贴合技术。钢化玻璃和液晶显示层间隙＜</w:t>
            </w:r>
            <w:r>
              <w:rPr>
                <w:rFonts w:ascii="宋体" w:hAnsi="宋体" w:eastAsia="宋体" w:cs="仿宋_GB2312"/>
                <w:color w:val="000000"/>
                <w:kern w:val="0"/>
                <w:sz w:val="24"/>
                <w:szCs w:val="24"/>
              </w:rPr>
              <w:t>0.5mm</w:t>
            </w:r>
            <w:r>
              <w:rPr>
                <w:rFonts w:hint="eastAsia" w:ascii="宋体" w:hAnsi="宋体" w:eastAsia="宋体" w:cs="仿宋_GB2312"/>
                <w:color w:val="000000"/>
                <w:kern w:val="0"/>
                <w:sz w:val="24"/>
                <w:szCs w:val="24"/>
              </w:rPr>
              <w:t>，减小显示面板与玻璃间的偏光、散射，画面显示更加清晰通透。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54" w:hRule="exact"/>
        </w:trPr>
        <w:tc>
          <w:tcPr>
            <w:tcW w:w="112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10" w:type="dxa"/>
            <w:vAlign w:val="center"/>
          </w:tcPr>
          <w:p>
            <w:pPr>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5G 移动医疗推车</w:t>
            </w:r>
          </w:p>
        </w:tc>
        <w:tc>
          <w:tcPr>
            <w:tcW w:w="5983" w:type="dxa"/>
            <w:vAlign w:val="center"/>
          </w:tcPr>
          <w:p>
            <w:pPr>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总体要求：结构化车体，UPS供电，支持1080P会议接入的一体化高清视频终端、双屏高清显示器、远程医疗工作站、支持wifi/5G。</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产品采用一体化结构，可移动，以满足在任何地点都可以方便接入视频会议的要求。推车一体化结构设计合理，方便统一的安装、维护。</w:t>
            </w:r>
          </w:p>
          <w:p>
            <w:pPr>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推车支持挂</w:t>
            </w:r>
            <w:r>
              <w:rPr>
                <w:rFonts w:ascii="宋体" w:hAnsi="宋体" w:eastAsia="宋体" w:cs="仿宋_GB2312"/>
                <w:color w:val="000000"/>
                <w:kern w:val="0"/>
                <w:sz w:val="24"/>
                <w:szCs w:val="24"/>
              </w:rPr>
              <w:t>2</w:t>
            </w:r>
            <w:r>
              <w:rPr>
                <w:rFonts w:hint="eastAsia" w:ascii="宋体" w:hAnsi="宋体" w:eastAsia="宋体" w:cs="仿宋_GB2312"/>
                <w:color w:val="000000"/>
                <w:kern w:val="0"/>
                <w:sz w:val="24"/>
                <w:szCs w:val="24"/>
              </w:rPr>
              <w:t>个</w:t>
            </w:r>
            <w:r>
              <w:rPr>
                <w:rFonts w:ascii="宋体" w:hAnsi="宋体" w:eastAsia="宋体" w:cs="仿宋_GB2312"/>
                <w:color w:val="000000"/>
                <w:kern w:val="0"/>
                <w:sz w:val="24"/>
                <w:szCs w:val="24"/>
              </w:rPr>
              <w:t>L</w:t>
            </w:r>
            <w:r>
              <w:rPr>
                <w:rFonts w:hint="eastAsia" w:ascii="宋体" w:hAnsi="宋体" w:eastAsia="宋体" w:cs="仿宋_GB2312"/>
                <w:color w:val="000000"/>
                <w:kern w:val="0"/>
                <w:sz w:val="24"/>
                <w:szCs w:val="24"/>
              </w:rPr>
              <w:t>C</w:t>
            </w:r>
            <w:r>
              <w:rPr>
                <w:rFonts w:ascii="宋体" w:hAnsi="宋体" w:eastAsia="宋体" w:cs="仿宋_GB2312"/>
                <w:color w:val="000000"/>
                <w:kern w:val="0"/>
                <w:sz w:val="24"/>
                <w:szCs w:val="24"/>
              </w:rPr>
              <w:t>D</w:t>
            </w:r>
            <w:r>
              <w:rPr>
                <w:rFonts w:hint="eastAsia" w:ascii="宋体" w:hAnsi="宋体" w:eastAsia="宋体" w:cs="仿宋_GB2312"/>
                <w:color w:val="000000"/>
                <w:kern w:val="0"/>
                <w:sz w:val="24"/>
                <w:szCs w:val="24"/>
              </w:rPr>
              <w:t>屏结构（单个LCD不小于2</w:t>
            </w:r>
            <w:r>
              <w:rPr>
                <w:rFonts w:ascii="宋体" w:hAnsi="宋体" w:eastAsia="宋体" w:cs="仿宋_GB2312"/>
                <w:color w:val="000000"/>
                <w:kern w:val="0"/>
                <w:sz w:val="24"/>
                <w:szCs w:val="24"/>
              </w:rPr>
              <w:t>3</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8</w:t>
            </w:r>
            <w:r>
              <w:rPr>
                <w:rFonts w:hint="eastAsia" w:ascii="宋体" w:hAnsi="宋体" w:eastAsia="宋体" w:cs="仿宋_GB2312"/>
                <w:color w:val="000000"/>
                <w:kern w:val="0"/>
                <w:sz w:val="24"/>
                <w:szCs w:val="24"/>
              </w:rPr>
              <w:t>英寸），支持承载为30</w:t>
            </w:r>
            <w:r>
              <w:rPr>
                <w:rFonts w:ascii="宋体" w:hAnsi="宋体" w:eastAsia="宋体" w:cs="仿宋_GB2312"/>
                <w:color w:val="000000"/>
                <w:kern w:val="0"/>
                <w:sz w:val="24"/>
                <w:szCs w:val="24"/>
              </w:rPr>
              <w:t>KG</w:t>
            </w:r>
            <w:r>
              <w:rPr>
                <w:rFonts w:hint="eastAsia" w:ascii="宋体" w:hAnsi="宋体" w:eastAsia="宋体" w:cs="仿宋_GB2312"/>
                <w:color w:val="000000"/>
                <w:kern w:val="0"/>
                <w:sz w:val="24"/>
                <w:szCs w:val="24"/>
              </w:rPr>
              <w:t>。</w:t>
            </w:r>
          </w:p>
          <w:p>
            <w:pPr>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产品自带电源系统，并内置U</w:t>
            </w:r>
            <w:r>
              <w:rPr>
                <w:rFonts w:ascii="宋体" w:hAnsi="宋体" w:eastAsia="宋体" w:cs="仿宋_GB2312"/>
                <w:color w:val="000000"/>
                <w:kern w:val="0"/>
                <w:sz w:val="24"/>
                <w:szCs w:val="24"/>
              </w:rPr>
              <w:t>PS不间断</w:t>
            </w:r>
            <w:r>
              <w:rPr>
                <w:rFonts w:hint="eastAsia" w:ascii="宋体" w:hAnsi="宋体" w:eastAsia="宋体" w:cs="仿宋_GB2312"/>
                <w:color w:val="000000"/>
                <w:kern w:val="0"/>
                <w:sz w:val="24"/>
                <w:szCs w:val="24"/>
              </w:rPr>
              <w:t>电池，满足充电6h，可</w:t>
            </w:r>
            <w:r>
              <w:rPr>
                <w:rFonts w:ascii="宋体" w:hAnsi="宋体" w:eastAsia="宋体" w:cs="仿宋_GB2312"/>
                <w:color w:val="000000"/>
                <w:kern w:val="0"/>
                <w:sz w:val="24"/>
                <w:szCs w:val="24"/>
              </w:rPr>
              <w:t>在视频会议满载情况下</w:t>
            </w:r>
            <w:r>
              <w:rPr>
                <w:rFonts w:hint="eastAsia" w:ascii="宋体" w:hAnsi="宋体" w:eastAsia="宋体" w:cs="仿宋_GB2312"/>
                <w:color w:val="000000"/>
                <w:kern w:val="0"/>
                <w:sz w:val="24"/>
                <w:szCs w:val="24"/>
              </w:rPr>
              <w:t>4小时工作，空载支持8小时。</w:t>
            </w:r>
          </w:p>
          <w:p>
            <w:pPr>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满足国内ROHS认证，具备危险品报告，满足医院常规酒精擦拭消毒</w:t>
            </w:r>
            <w:r>
              <w:rPr>
                <w:rFonts w:ascii="宋体" w:hAnsi="宋体" w:eastAsia="宋体" w:cs="仿宋_GB2312"/>
                <w:color w:val="000000"/>
                <w:kern w:val="0"/>
                <w:sz w:val="24"/>
                <w:szCs w:val="24"/>
              </w:rPr>
              <w:t>。</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整套系统高度集成化，可移动，通过有线/无线/</w:t>
            </w:r>
            <w:r>
              <w:rPr>
                <w:rFonts w:ascii="宋体" w:hAnsi="宋体" w:eastAsia="宋体" w:cs="仿宋_GB2312"/>
                <w:color w:val="000000"/>
                <w:kern w:val="0"/>
                <w:sz w:val="24"/>
                <w:szCs w:val="24"/>
              </w:rPr>
              <w:t>SIM 卡接入</w:t>
            </w:r>
            <w:r>
              <w:rPr>
                <w:rFonts w:hint="eastAsia" w:ascii="宋体" w:hAnsi="宋体" w:eastAsia="宋体" w:cs="仿宋_GB2312"/>
                <w:color w:val="000000"/>
                <w:kern w:val="0"/>
                <w:sz w:val="24"/>
                <w:szCs w:val="24"/>
              </w:rPr>
              <w:t>满足在任何地点都可以方便接入视频会议的要求。频段支持</w:t>
            </w:r>
            <w:r>
              <w:rPr>
                <w:rFonts w:ascii="宋体" w:hAnsi="宋体" w:eastAsia="宋体" w:cs="仿宋_GB2312"/>
                <w:color w:val="000000"/>
                <w:kern w:val="0"/>
                <w:sz w:val="24"/>
                <w:szCs w:val="24"/>
              </w:rPr>
              <w:t>2.4 GHz &amp; 5 GHz</w:t>
            </w:r>
            <w:r>
              <w:rPr>
                <w:rFonts w:hint="eastAsia" w:ascii="宋体" w:hAnsi="宋体" w:eastAsia="宋体" w:cs="仿宋_GB2312"/>
                <w:color w:val="000000"/>
                <w:kern w:val="0"/>
                <w:sz w:val="24"/>
                <w:szCs w:val="24"/>
              </w:rPr>
              <w:t>；</w:t>
            </w:r>
          </w:p>
          <w:p>
            <w:pPr>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内置PTZ高清摄像机，支持≥213万像素1/2.8英寸CMOS成像芯片，支持不小于1080P 60fps视频图像采集。</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支持≥12倍光学变焦，水平视角≥72°。平移角度≥+/-100°，俯仰角度≥+/-30°</w:t>
            </w:r>
            <w:r>
              <w:rPr>
                <w:rFonts w:hint="eastAsia" w:ascii="宋体" w:hAnsi="宋体" w:eastAsia="宋体" w:cs="仿宋_GB2312"/>
                <w:color w:val="000000"/>
                <w:kern w:val="0"/>
                <w:sz w:val="24"/>
                <w:szCs w:val="24"/>
              </w:rPr>
              <w:t>，</w:t>
            </w:r>
            <w:r>
              <w:rPr>
                <w:rFonts w:ascii="宋体" w:hAnsi="宋体" w:eastAsia="宋体" w:cs="仿宋_GB2312"/>
                <w:color w:val="000000"/>
                <w:kern w:val="0"/>
                <w:sz w:val="24"/>
                <w:szCs w:val="24"/>
              </w:rPr>
              <w:t>支持≥30个预置位。</w:t>
            </w:r>
          </w:p>
          <w:p>
            <w:pPr>
              <w:pStyle w:val="2"/>
              <w:rPr>
                <w:rFonts w:hint="eastAsia" w:ascii="宋体" w:hAnsi="宋体" w:eastAsia="宋体" w:cs="仿宋_GB2312"/>
                <w:color w:val="000000"/>
                <w:kern w:val="0"/>
                <w:sz w:val="24"/>
                <w:szCs w:val="24"/>
              </w:rPr>
            </w:pPr>
            <w:r>
              <w:rPr>
                <w:rFonts w:ascii="宋体" w:hAnsi="宋体" w:eastAsia="宋体" w:cs="仿宋_GB2312"/>
                <w:color w:val="000000"/>
                <w:kern w:val="0"/>
                <w:sz w:val="24"/>
                <w:szCs w:val="24"/>
              </w:rPr>
              <w:t>支持H.265、H.264 HP、H.264 BP、H.263</w:t>
            </w:r>
            <w:r>
              <w:rPr>
                <w:rFonts w:hint="eastAsia" w:ascii="宋体" w:hAnsi="宋体" w:eastAsia="宋体" w:cs="仿宋_GB2312"/>
                <w:color w:val="000000"/>
                <w:kern w:val="0"/>
                <w:sz w:val="24"/>
                <w:szCs w:val="24"/>
              </w:rPr>
              <w:t>、H</w:t>
            </w:r>
            <w:r>
              <w:rPr>
                <w:rFonts w:ascii="宋体" w:hAnsi="宋体" w:eastAsia="宋体" w:cs="仿宋_GB2312"/>
                <w:color w:val="000000"/>
                <w:kern w:val="0"/>
                <w:sz w:val="24"/>
                <w:szCs w:val="24"/>
              </w:rPr>
              <w:t>.263+等图像编码协议，支持1080p60fps、1080p30fps、720p60 fps、720p30fps等分辨率，支持</w:t>
            </w:r>
            <w:r>
              <w:rPr>
                <w:rFonts w:hint="eastAsia" w:ascii="宋体" w:hAnsi="宋体" w:eastAsia="宋体" w:cs="仿宋_GB2312"/>
                <w:color w:val="000000"/>
                <w:kern w:val="0"/>
                <w:sz w:val="24"/>
                <w:szCs w:val="24"/>
              </w:rPr>
              <w:t>G.711A、G.711U、G.722、G.722.1C、G.729A、Opus、MPEG-4 AAC-LD</w:t>
            </w:r>
            <w:r>
              <w:rPr>
                <w:rFonts w:ascii="宋体" w:hAnsi="宋体" w:eastAsia="宋体" w:cs="仿宋_GB2312"/>
                <w:color w:val="000000"/>
                <w:kern w:val="0"/>
                <w:sz w:val="24"/>
                <w:szCs w:val="24"/>
              </w:rPr>
              <w:t>等音频协议，支持双声道立体声功能</w:t>
            </w:r>
          </w:p>
          <w:p>
            <w:pPr>
              <w:pStyle w:val="2"/>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整套系统高度集成化，可移动，通过有线/无线/</w:t>
            </w:r>
            <w:r>
              <w:rPr>
                <w:rFonts w:ascii="宋体" w:hAnsi="宋体" w:eastAsia="宋体" w:cs="仿宋_GB2312"/>
                <w:color w:val="000000"/>
                <w:kern w:val="0"/>
                <w:sz w:val="24"/>
                <w:szCs w:val="24"/>
              </w:rPr>
              <w:t>SIM 卡接入</w:t>
            </w:r>
            <w:r>
              <w:rPr>
                <w:rFonts w:hint="eastAsia" w:ascii="宋体" w:hAnsi="宋体" w:eastAsia="宋体" w:cs="仿宋_GB2312"/>
                <w:color w:val="000000"/>
                <w:kern w:val="0"/>
                <w:sz w:val="24"/>
                <w:szCs w:val="24"/>
              </w:rPr>
              <w:t>满足在任何地点都可以方便接入视频会议的要求。频段支持</w:t>
            </w:r>
            <w:r>
              <w:rPr>
                <w:rFonts w:ascii="宋体" w:hAnsi="宋体" w:eastAsia="宋体" w:cs="仿宋_GB2312"/>
                <w:color w:val="000000"/>
                <w:kern w:val="0"/>
                <w:sz w:val="24"/>
                <w:szCs w:val="24"/>
              </w:rPr>
              <w:t>2.4 GHz &amp; 5 GHz</w:t>
            </w:r>
            <w:r>
              <w:rPr>
                <w:rFonts w:hint="eastAsia" w:ascii="宋体" w:hAnsi="宋体" w:eastAsia="宋体"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7" w:hRule="exact"/>
        </w:trPr>
        <w:tc>
          <w:tcPr>
            <w:tcW w:w="112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10" w:type="dxa"/>
            <w:vAlign w:val="center"/>
          </w:tcPr>
          <w:p>
            <w:pPr>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录播服务器</w:t>
            </w:r>
          </w:p>
        </w:tc>
        <w:tc>
          <w:tcPr>
            <w:tcW w:w="5983" w:type="dxa"/>
            <w:vAlign w:val="center"/>
          </w:tcPr>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支持ITU-T H.323、SIP、H.245、H.239（双视频流）、HTTP、RTP、RTCP等协议；</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支持H.261、H.263、H.263+、H.264、H.264BP、H.264HP、H.265、等协议。</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支持QCIF、CIF、4CIF、VGA、XGA、720P、1080I、1080P等。</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在所有模式下最高可达每秒 30 帧</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音频支持G.711、G.722、G.728、AAC、WMA等协议</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带宽支持 128K 到 8M</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支持H.323 视频终端呼入进行录制、连接 MCU 进行录制视频会议终端点对点录制和连接高清编码器 AVX 录制服务器行录制（选配）；</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支持PC下客户端软件播放；支持免插件通用播放器播放；支持 50－100 个并发直播点播，支持双视频流点播</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≥8T 硬盘，大于≥3000 小时，支持 NAS、iSCSI等</w:t>
            </w:r>
          </w:p>
          <w:p>
            <w:pPr>
              <w:pStyle w:val="2"/>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支持RJ-45 以太网，≥2个10/100/1000 Mbps 全双工/半双工自适应网口</w:t>
            </w:r>
          </w:p>
          <w:p>
            <w:pPr>
              <w:pStyle w:val="2"/>
              <w:rPr>
                <w:sz w:val="24"/>
                <w:szCs w:val="24"/>
              </w:rPr>
            </w:pPr>
          </w:p>
        </w:tc>
      </w:tr>
    </w:tbl>
    <w:p>
      <w:pPr>
        <w:pStyle w:val="2"/>
        <w:rPr>
          <w:rFonts w:ascii="仿宋_GB2312" w:hAnsi="仿宋_GB2312" w:eastAsia="仿宋_GB2312" w:cs="仿宋_GB2312"/>
          <w:sz w:val="32"/>
          <w:szCs w:val="32"/>
        </w:rPr>
      </w:pP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5"/>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5"/>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4、提供业绩清单及近3年省内同类项目中标书（若有）</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2"/>
        <w:ind w:firstLine="608" w:firstLineChars="200"/>
        <w:rPr>
          <w:rFonts w:ascii="仿宋_GB2312" w:hAnsi="仿宋_GB2312" w:cs="仿宋_GB2312"/>
          <w:color w:val="000000"/>
          <w:spacing w:val="-8"/>
          <w:kern w:val="0"/>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2"/>
        <w:rPr>
          <w:rFonts w:ascii="仿宋_GB2312" w:hAnsi="仿宋_GB2312" w:cs="仿宋_GB2312"/>
          <w:bCs/>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6"/>
    <w:basedOn w:val="1"/>
    <w:next w:val="1"/>
    <w:link w:val="17"/>
    <w:semiHidden/>
    <w:unhideWhenUsed/>
    <w:qFormat/>
    <w:uiPriority w:val="0"/>
    <w:pPr>
      <w:keepNext/>
      <w:keepLines/>
      <w:spacing w:before="240" w:after="64" w:line="320" w:lineRule="auto"/>
      <w:outlineLvl w:val="5"/>
    </w:pPr>
    <w:rPr>
      <w:rFonts w:ascii="Cambria" w:hAnsi="Cambria" w:eastAsia="宋体" w:cs="黑体"/>
      <w:b/>
      <w:bCs/>
      <w:sz w:val="24"/>
    </w:rPr>
  </w:style>
  <w:style w:type="character" w:default="1" w:styleId="11">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6">
    <w:name w:val="Body Text"/>
    <w:basedOn w:val="1"/>
    <w:next w:val="7"/>
    <w:unhideWhenUsed/>
    <w:qFormat/>
    <w:uiPriority w:val="99"/>
    <w:rPr>
      <w:rFonts w:ascii="仿宋_GB2312" w:eastAsia="仿宋_GB2312"/>
      <w:sz w:val="32"/>
    </w:rPr>
  </w:style>
  <w:style w:type="paragraph" w:customStyle="1" w:styleId="7">
    <w:name w:val="引用1"/>
    <w:basedOn w:val="1"/>
    <w:next w:val="1"/>
    <w:qFormat/>
    <w:uiPriority w:val="29"/>
    <w:pPr>
      <w:spacing w:beforeLines="50" w:afterLines="50" w:line="360" w:lineRule="auto"/>
    </w:pPr>
    <w:rPr>
      <w:i/>
      <w:iCs/>
      <w:color w:val="000000"/>
      <w:lang w:val="zh-C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出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Char"/>
    <w:basedOn w:val="11"/>
    <w:link w:val="9"/>
    <w:uiPriority w:val="0"/>
    <w:rPr>
      <w:rFonts w:ascii="Calibri" w:hAnsi="Calibri" w:cs="黑体"/>
      <w:kern w:val="2"/>
      <w:sz w:val="18"/>
      <w:szCs w:val="18"/>
    </w:rPr>
  </w:style>
  <w:style w:type="character" w:customStyle="1" w:styleId="17">
    <w:name w:val="标题 6 Char"/>
    <w:basedOn w:val="11"/>
    <w:link w:val="5"/>
    <w:semiHidden/>
    <w:uiPriority w:val="0"/>
    <w:rPr>
      <w:rFonts w:ascii="Cambria" w:hAnsi="Cambria" w:eastAsia="宋体" w:cs="黑体"/>
      <w:b/>
      <w:bCs/>
      <w:kern w:val="2"/>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729</Words>
  <Characters>4156</Characters>
  <Lines>34</Lines>
  <Paragraphs>9</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2023-11-03T09:02:00Z</dcterms:created>
  <dc:creator>Admin</dc:creator>
  <cp:lastModifiedBy>G</cp:lastModifiedBy>
  <cp:lastPrinted>2023-06-20T07:45:00Z</cp:lastPrinted>
  <dcterms:modified xsi:type="dcterms:W3CDTF">2023-11-23T03:01:50Z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