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15"/>
        <w:adjustRightInd w:val="0"/>
        <w:snapToGrid w:val="0"/>
        <w:spacing w:line="590" w:lineRule="exact"/>
        <w:jc w:val="center"/>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lang w:val="en-US" w:eastAsia="zh-CN"/>
        </w:rPr>
        <w:t>福建省肿瘤医院短信推送服务</w:t>
      </w:r>
      <w:r>
        <w:rPr>
          <w:rFonts w:hint="eastAsia" w:ascii="方正小标宋简体" w:hAnsi="方正小标宋简体" w:eastAsia="方正小标宋简体" w:cs="方正小标宋简体"/>
          <w:b w:val="0"/>
          <w:bCs/>
          <w:color w:val="auto"/>
          <w:sz w:val="44"/>
          <w:szCs w:val="44"/>
          <w:highlight w:val="none"/>
        </w:rPr>
        <w:t>采购项目</w:t>
      </w:r>
    </w:p>
    <w:p>
      <w:pPr>
        <w:pStyle w:val="15"/>
        <w:adjustRightInd w:val="0"/>
        <w:snapToGrid w:val="0"/>
        <w:spacing w:line="590" w:lineRule="exact"/>
        <w:jc w:val="center"/>
        <w:rPr>
          <w:rFonts w:hint="eastAsia" w:ascii="方正小标宋简体" w:hAnsi="方正小标宋简体" w:eastAsia="方正小标宋简体" w:cs="方正小标宋简体"/>
          <w:b/>
          <w:color w:val="auto"/>
          <w:sz w:val="44"/>
          <w:szCs w:val="44"/>
          <w:highlight w:val="none"/>
          <w:lang w:val="en-US" w:eastAsia="zh-CN"/>
        </w:rPr>
      </w:pPr>
      <w:r>
        <w:rPr>
          <w:rFonts w:hint="eastAsia" w:ascii="方正小标宋简体" w:hAnsi="方正小标宋简体" w:eastAsia="方正小标宋简体" w:cs="方正小标宋简体"/>
          <w:b w:val="0"/>
          <w:bCs/>
          <w:color w:val="auto"/>
          <w:sz w:val="44"/>
          <w:szCs w:val="44"/>
          <w:highlight w:val="none"/>
          <w:u w:val="none"/>
          <w:lang w:val="en-US" w:eastAsia="zh-CN"/>
        </w:rPr>
        <w:t>招标</w:t>
      </w:r>
      <w:r>
        <w:rPr>
          <w:rFonts w:hint="eastAsia" w:ascii="方正小标宋简体" w:hAnsi="方正小标宋简体" w:eastAsia="方正小标宋简体" w:cs="方正小标宋简体"/>
          <w:b w:val="0"/>
          <w:bCs/>
          <w:color w:val="auto"/>
          <w:sz w:val="44"/>
          <w:szCs w:val="44"/>
          <w:highlight w:val="none"/>
          <w:lang w:val="en-US" w:eastAsia="zh-CN"/>
        </w:rPr>
        <w:t>采购公告</w:t>
      </w:r>
    </w:p>
    <w:p>
      <w:pPr>
        <w:pStyle w:val="11"/>
        <w:widowControl/>
        <w:shd w:val="clear" w:color="auto" w:fill="FFFFFF"/>
        <w:adjustRightInd w:val="0"/>
        <w:snapToGrid w:val="0"/>
        <w:spacing w:before="0" w:beforeAutospacing="0" w:after="0" w:afterAutospacing="0" w:line="590" w:lineRule="exact"/>
        <w:textAlignment w:val="baseline"/>
        <w:rPr>
          <w:rFonts w:hint="eastAsia" w:ascii="仿宋_GB2312" w:hAnsi="仿宋_GB2312" w:eastAsia="仿宋_GB2312" w:cs="仿宋_GB2312"/>
          <w:color w:val="333333"/>
          <w:sz w:val="32"/>
          <w:szCs w:val="32"/>
          <w:highlight w:val="none"/>
          <w:shd w:val="clear" w:color="auto" w:fill="FFFFFF"/>
        </w:rPr>
      </w:pPr>
    </w:p>
    <w:p>
      <w:pPr>
        <w:numPr>
          <w:numId w:val="0"/>
        </w:numPr>
        <w:adjustRightInd w:val="0"/>
        <w:snapToGrid w:val="0"/>
        <w:spacing w:before="150" w:line="590" w:lineRule="exact"/>
        <w:ind w:firstLine="640" w:firstLineChars="200"/>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一、</w:t>
      </w:r>
      <w:r>
        <w:rPr>
          <w:rFonts w:hint="eastAsia" w:ascii="黑体" w:hAnsi="黑体" w:eastAsia="黑体" w:cs="黑体"/>
          <w:b w:val="0"/>
          <w:bCs w:val="0"/>
          <w:color w:val="000000"/>
          <w:sz w:val="32"/>
          <w:szCs w:val="32"/>
          <w:highlight w:val="none"/>
        </w:rPr>
        <w:t>项目概况和</w:t>
      </w:r>
      <w:r>
        <w:rPr>
          <w:rFonts w:hint="eastAsia" w:ascii="黑体" w:hAnsi="黑体" w:eastAsia="黑体" w:cs="黑体"/>
          <w:b w:val="0"/>
          <w:bCs w:val="0"/>
          <w:color w:val="000000"/>
          <w:sz w:val="32"/>
          <w:szCs w:val="32"/>
          <w:highlight w:val="none"/>
          <w:lang w:val="en-US" w:eastAsia="zh-CN"/>
        </w:rPr>
        <w:t>基本情况</w:t>
      </w:r>
    </w:p>
    <w:p>
      <w:pPr>
        <w:numPr>
          <w:numId w:val="0"/>
        </w:numPr>
        <w:ind w:firstLine="640" w:firstLineChars="200"/>
        <w:rPr>
          <w:rFonts w:hint="eastAsia"/>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项目名称：</w:t>
      </w:r>
      <w:r>
        <w:rPr>
          <w:rFonts w:hint="eastAsia" w:ascii="仿宋_GB2312" w:hAnsi="仿宋_GB2312" w:eastAsia="仿宋_GB2312" w:cs="仿宋_GB2312"/>
          <w:sz w:val="32"/>
          <w:szCs w:val="32"/>
          <w:lang w:val="en-US" w:eastAsia="zh-CN"/>
        </w:rPr>
        <w:t>医院短信推送服务</w:t>
      </w:r>
      <w:r>
        <w:rPr>
          <w:rFonts w:hint="eastAsia" w:ascii="仿宋_GB2312" w:hAnsi="仿宋_GB2312" w:eastAsia="仿宋_GB2312" w:cs="仿宋_GB2312"/>
          <w:sz w:val="32"/>
          <w:szCs w:val="32"/>
        </w:rPr>
        <w:t>采购项目</w:t>
      </w:r>
    </w:p>
    <w:p>
      <w:pPr>
        <w:numPr>
          <w:numId w:val="0"/>
        </w:numPr>
        <w:rPr>
          <w:rFonts w:hint="eastAsia"/>
          <w:sz w:val="32"/>
          <w:szCs w:val="32"/>
        </w:rPr>
      </w:pPr>
      <w:r>
        <w:rPr>
          <w:rFonts w:hint="eastAsia" w:ascii="仿宋_GB2312" w:hAnsi="仿宋_GB2312" w:eastAsia="仿宋_GB2312" w:cs="仿宋_GB2312"/>
          <w:color w:val="000000"/>
          <w:sz w:val="32"/>
          <w:szCs w:val="32"/>
          <w:highlight w:val="none"/>
          <w:lang w:val="en-US" w:eastAsia="zh-CN"/>
        </w:rPr>
        <w:t xml:space="preserve">    2、采购方式：竞争性谈判</w:t>
      </w:r>
    </w:p>
    <w:p>
      <w:pPr>
        <w:numPr>
          <w:numId w:val="0"/>
        </w:numPr>
        <w:ind w:firstLine="640" w:firstLineChars="200"/>
        <w:rPr>
          <w:rFonts w:hint="eastAsia"/>
          <w:sz w:val="32"/>
          <w:szCs w:val="32"/>
        </w:rPr>
      </w:pPr>
      <w:r>
        <w:rPr>
          <w:rFonts w:hint="eastAsia" w:ascii="仿宋_GB2312" w:hAnsi="仿宋_GB2312" w:eastAsia="仿宋_GB2312" w:cs="仿宋_GB2312"/>
          <w:color w:val="000000"/>
          <w:sz w:val="32"/>
          <w:szCs w:val="32"/>
          <w:highlight w:val="none"/>
          <w:lang w:val="en-US" w:eastAsia="zh-CN"/>
        </w:rPr>
        <w:t>3、采购预算金额：25万元</w:t>
      </w:r>
    </w:p>
    <w:p>
      <w:pPr>
        <w:numPr>
          <w:numId w:val="0"/>
        </w:numPr>
        <w:ind w:firstLine="640" w:firstLineChars="200"/>
        <w:rPr>
          <w:rFonts w:hint="eastAsia"/>
          <w:sz w:val="32"/>
          <w:szCs w:val="32"/>
        </w:rPr>
      </w:pPr>
      <w:r>
        <w:rPr>
          <w:rFonts w:hint="eastAsia" w:ascii="仿宋_GB2312" w:hAnsi="仿宋_GB2312" w:eastAsia="仿宋_GB2312" w:cs="仿宋_GB2312"/>
          <w:color w:val="000000"/>
          <w:sz w:val="32"/>
          <w:szCs w:val="32"/>
          <w:highlight w:val="none"/>
          <w:lang w:val="en-US" w:eastAsia="zh-CN"/>
        </w:rPr>
        <w:t>4、采购最高限价：25万元</w:t>
      </w:r>
    </w:p>
    <w:p>
      <w:pPr>
        <w:numPr>
          <w:numId w:val="0"/>
        </w:numPr>
        <w:adjustRightInd w:val="0"/>
        <w:snapToGrid w:val="0"/>
        <w:spacing w:line="590" w:lineRule="exact"/>
        <w:ind w:leftChars="0"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rPr>
        <w:t>交货地点：福马路420号肿瘤医院院内。</w:t>
      </w:r>
    </w:p>
    <w:p>
      <w:pPr>
        <w:numPr>
          <w:numId w:val="0"/>
        </w:numPr>
        <w:adjustRightInd w:val="0"/>
        <w:snapToGrid w:val="0"/>
        <w:spacing w:line="590" w:lineRule="exact"/>
        <w:ind w:leftChars="0"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sz w:val="32"/>
          <w:szCs w:val="32"/>
          <w:highlight w:val="none"/>
          <w:lang w:val="en-US" w:eastAsia="zh-CN"/>
        </w:rPr>
        <w:t>6、本项目不接受联合体投标，不允许分包。</w:t>
      </w:r>
    </w:p>
    <w:p>
      <w:pPr>
        <w:widowControl w:val="0"/>
        <w:numPr>
          <w:numId w:val="0"/>
        </w:numPr>
        <w:wordWrap/>
        <w:adjustRightInd w:val="0"/>
        <w:snapToGrid w:val="0"/>
        <w:spacing w:afterLines="50"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7、</w:t>
      </w:r>
      <w:r>
        <w:rPr>
          <w:rFonts w:hint="eastAsia" w:ascii="仿宋_GB2312" w:hAnsi="仿宋_GB2312" w:eastAsia="仿宋_GB2312" w:cs="仿宋_GB2312"/>
          <w:i w:val="0"/>
          <w:iCs w:val="0"/>
          <w:caps w:val="0"/>
          <w:color w:val="auto"/>
          <w:spacing w:val="0"/>
          <w:sz w:val="32"/>
          <w:szCs w:val="32"/>
          <w:highlight w:val="none"/>
          <w:shd w:val="clear" w:color="090000" w:fill="FFFFFF"/>
        </w:rPr>
        <w:t>采购需求：（包括但不限于标的名称、数量、简要技术需求或服务要求</w:t>
      </w:r>
      <w:r>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t>、</w:t>
      </w: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交货期及控制价</w:t>
      </w:r>
      <w:r>
        <w:rPr>
          <w:rFonts w:hint="eastAsia" w:ascii="仿宋_GB2312" w:hAnsi="仿宋_GB2312" w:eastAsia="仿宋_GB2312" w:cs="仿宋_GB2312"/>
          <w:i w:val="0"/>
          <w:iCs w:val="0"/>
          <w:caps w:val="0"/>
          <w:color w:val="auto"/>
          <w:spacing w:val="0"/>
          <w:sz w:val="32"/>
          <w:szCs w:val="32"/>
          <w:highlight w:val="none"/>
          <w:shd w:val="clear" w:color="090000" w:fill="FFFFFF"/>
        </w:rPr>
        <w:t>等）</w:t>
      </w:r>
    </w:p>
    <w:p>
      <w:pPr>
        <w:pStyle w:val="5"/>
        <w:widowControl w:val="0"/>
        <w:wordWrap/>
        <w:adjustRightInd w:val="0"/>
        <w:snapToGrid w:val="0"/>
        <w:spacing w:line="240" w:lineRule="auto"/>
        <w:jc w:val="center"/>
        <w:textAlignment w:val="auto"/>
        <w:rPr>
          <w:rFonts w:hint="eastAsia" w:ascii="仿宋_GB2312" w:hAnsi="仿宋_GB2312" w:eastAsia="仿宋_GB2312" w:cs="仿宋_GB2312"/>
          <w:b/>
          <w:sz w:val="32"/>
          <w:szCs w:val="32"/>
          <w:highlight w:val="none"/>
          <w:lang w:val="en-US" w:eastAsia="zh-CN"/>
        </w:rPr>
      </w:pPr>
      <w:r>
        <w:rPr>
          <w:rFonts w:hint="eastAsia" w:ascii="仿宋_GB2312" w:hAnsi="仿宋_GB2312" w:eastAsia="仿宋_GB2312" w:cs="仿宋_GB2312"/>
          <w:b/>
          <w:sz w:val="32"/>
          <w:szCs w:val="32"/>
          <w:highlight w:val="none"/>
          <w:lang w:val="en-US" w:eastAsia="zh-CN"/>
        </w:rPr>
        <w:t>采购</w:t>
      </w:r>
      <w:r>
        <w:rPr>
          <w:rFonts w:hint="eastAsia" w:ascii="仿宋_GB2312" w:hAnsi="仿宋_GB2312" w:eastAsia="仿宋_GB2312" w:cs="仿宋_GB2312"/>
          <w:b/>
          <w:sz w:val="32"/>
          <w:szCs w:val="32"/>
          <w:highlight w:val="none"/>
        </w:rPr>
        <w:t>一览</w:t>
      </w:r>
      <w:r>
        <w:rPr>
          <w:rFonts w:hint="eastAsia" w:ascii="仿宋_GB2312" w:hAnsi="仿宋_GB2312" w:eastAsia="仿宋_GB2312" w:cs="仿宋_GB2312"/>
          <w:b/>
          <w:sz w:val="32"/>
          <w:szCs w:val="32"/>
          <w:highlight w:val="none"/>
          <w:lang w:val="en-US" w:eastAsia="zh-CN"/>
        </w:rPr>
        <w:t>表</w:t>
      </w:r>
    </w:p>
    <w:tbl>
      <w:tblPr>
        <w:tblW w:w="87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48"/>
        <w:gridCol w:w="990"/>
        <w:gridCol w:w="2160"/>
        <w:gridCol w:w="1725"/>
        <w:gridCol w:w="20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4" w:hRule="atLeast"/>
          <w:jc w:val="center"/>
        </w:trPr>
        <w:tc>
          <w:tcPr>
            <w:tcW w:w="1848" w:type="dxa"/>
            <w:shd w:val="clear" w:color="FFFFFF" w:fill="auto"/>
            <w:vAlign w:val="center"/>
          </w:tcPr>
          <w:p>
            <w:pPr>
              <w:widowControl w:val="0"/>
              <w:wordWrap/>
              <w:adjustRightInd w:val="0"/>
              <w:snapToGrid w:val="0"/>
              <w:spacing w:line="240" w:lineRule="auto"/>
              <w:jc w:val="center"/>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项 目 名 称</w:t>
            </w:r>
          </w:p>
        </w:tc>
        <w:tc>
          <w:tcPr>
            <w:tcW w:w="990" w:type="dxa"/>
            <w:shd w:val="clear" w:color="FFFFFF" w:fill="auto"/>
            <w:vAlign w:val="center"/>
          </w:tcPr>
          <w:p>
            <w:pPr>
              <w:widowControl w:val="0"/>
              <w:wordWrap/>
              <w:adjustRightInd w:val="0"/>
              <w:snapToGrid w:val="0"/>
              <w:spacing w:line="240" w:lineRule="auto"/>
              <w:jc w:val="center"/>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数量</w:t>
            </w:r>
          </w:p>
        </w:tc>
        <w:tc>
          <w:tcPr>
            <w:tcW w:w="2160" w:type="dxa"/>
            <w:shd w:val="clear" w:color="FFFFFF" w:fill="auto"/>
            <w:vAlign w:val="center"/>
          </w:tcPr>
          <w:p>
            <w:pPr>
              <w:widowControl w:val="0"/>
              <w:wordWrap/>
              <w:adjustRightInd w:val="0"/>
              <w:snapToGrid w:val="0"/>
              <w:spacing w:line="240" w:lineRule="auto"/>
              <w:jc w:val="center"/>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主要技术规格</w:t>
            </w:r>
          </w:p>
        </w:tc>
        <w:tc>
          <w:tcPr>
            <w:tcW w:w="1725" w:type="dxa"/>
            <w:shd w:val="clear" w:color="FFFFFF" w:fill="auto"/>
            <w:vAlign w:val="center"/>
          </w:tcPr>
          <w:p>
            <w:pPr>
              <w:widowControl w:val="0"/>
              <w:wordWrap/>
              <w:adjustRightInd w:val="0"/>
              <w:snapToGrid w:val="0"/>
              <w:spacing w:line="240" w:lineRule="auto"/>
              <w:jc w:val="center"/>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服务期</w:t>
            </w:r>
          </w:p>
        </w:tc>
        <w:tc>
          <w:tcPr>
            <w:tcW w:w="2040" w:type="dxa"/>
            <w:shd w:val="clear" w:color="FFFFFF" w:fill="auto"/>
            <w:vAlign w:val="center"/>
          </w:tcPr>
          <w:p>
            <w:pPr>
              <w:widowControl w:val="0"/>
              <w:wordWrap/>
              <w:adjustRightInd w:val="0"/>
              <w:snapToGrid w:val="0"/>
              <w:spacing w:line="240" w:lineRule="auto"/>
              <w:jc w:val="center"/>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控制价（最高限价）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3" w:hRule="atLeast"/>
          <w:jc w:val="center"/>
        </w:trPr>
        <w:tc>
          <w:tcPr>
            <w:tcW w:w="1848" w:type="dxa"/>
            <w:vAlign w:val="center"/>
          </w:tcPr>
          <w:p>
            <w:pPr>
              <w:widowControl w:val="0"/>
              <w:wordWrap/>
              <w:adjustRightInd w:val="0"/>
              <w:snapToGrid w:val="0"/>
              <w:spacing w:line="240" w:lineRule="auto"/>
              <w:jc w:val="center"/>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sz w:val="32"/>
                <w:szCs w:val="32"/>
                <w:lang w:val="en-US" w:eastAsia="zh-CN"/>
              </w:rPr>
              <w:t>医院短信推送服务</w:t>
            </w:r>
            <w:r>
              <w:rPr>
                <w:rFonts w:hint="eastAsia" w:ascii="仿宋_GB2312" w:hAnsi="仿宋_GB2312" w:eastAsia="仿宋_GB2312" w:cs="仿宋_GB2312"/>
                <w:sz w:val="32"/>
                <w:szCs w:val="32"/>
              </w:rPr>
              <w:t>采购项目</w:t>
            </w:r>
          </w:p>
        </w:tc>
        <w:tc>
          <w:tcPr>
            <w:tcW w:w="990" w:type="dxa"/>
            <w:vAlign w:val="center"/>
          </w:tcPr>
          <w:p>
            <w:pPr>
              <w:widowControl w:val="0"/>
              <w:wordWrap/>
              <w:adjustRightInd w:val="0"/>
              <w:snapToGrid w:val="0"/>
              <w:spacing w:line="240" w:lineRule="auto"/>
              <w:jc w:val="center"/>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w:t>
            </w:r>
          </w:p>
        </w:tc>
        <w:tc>
          <w:tcPr>
            <w:tcW w:w="2160" w:type="dxa"/>
            <w:vAlign w:val="center"/>
          </w:tcPr>
          <w:p>
            <w:pPr>
              <w:widowControl w:val="0"/>
              <w:wordWrap/>
              <w:adjustRightInd w:val="0"/>
              <w:snapToGrid w:val="0"/>
              <w:spacing w:line="240" w:lineRule="auto"/>
              <w:jc w:val="both"/>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详见附件或招标内容及要求</w:t>
            </w:r>
          </w:p>
        </w:tc>
        <w:tc>
          <w:tcPr>
            <w:tcW w:w="1725" w:type="dxa"/>
            <w:vAlign w:val="center"/>
          </w:tcPr>
          <w:p>
            <w:pPr>
              <w:widowControl w:val="0"/>
              <w:tabs>
                <w:tab w:val="left" w:pos="360"/>
              </w:tabs>
              <w:wordWrap/>
              <w:adjustRightInd w:val="0"/>
              <w:snapToGrid w:val="0"/>
              <w:spacing w:line="240" w:lineRule="auto"/>
              <w:jc w:val="center"/>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1年</w:t>
            </w:r>
          </w:p>
        </w:tc>
        <w:tc>
          <w:tcPr>
            <w:tcW w:w="2040" w:type="dxa"/>
            <w:vAlign w:val="center"/>
          </w:tcPr>
          <w:p>
            <w:pPr>
              <w:widowControl w:val="0"/>
              <w:wordWrap/>
              <w:adjustRightInd w:val="0"/>
              <w:snapToGrid w:val="0"/>
              <w:spacing w:line="240" w:lineRule="auto"/>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0.05元/条</w:t>
            </w:r>
          </w:p>
          <w:p>
            <w:pPr>
              <w:widowControl w:val="0"/>
              <w:wordWrap/>
              <w:adjustRightInd w:val="0"/>
              <w:snapToGrid w:val="0"/>
              <w:spacing w:line="240" w:lineRule="auto"/>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lang w:val="en-US" w:eastAsia="zh-CN"/>
              </w:rPr>
              <w:t>（根据中标人提供的每季度实际用量明细单进行结算。）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3" w:hRule="atLeast"/>
          <w:jc w:val="center"/>
        </w:trPr>
        <w:tc>
          <w:tcPr>
            <w:tcW w:w="8763" w:type="dxa"/>
            <w:gridSpan w:val="5"/>
            <w:vAlign w:val="center"/>
          </w:tcPr>
          <w:p>
            <w:pPr>
              <w:pStyle w:val="16"/>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ab/>
            </w:r>
            <w:r>
              <w:rPr>
                <w:rFonts w:hint="eastAsia" w:ascii="仿宋_GB2312" w:hAnsi="仿宋_GB2312" w:eastAsia="仿宋_GB2312" w:cs="仿宋_GB2312"/>
                <w:sz w:val="28"/>
                <w:szCs w:val="28"/>
                <w:highlight w:val="none"/>
                <w:lang w:val="en-US" w:eastAsia="zh-CN"/>
              </w:rPr>
              <w:t>备注说明：</w:t>
            </w:r>
            <w:r>
              <w:rPr>
                <w:rFonts w:hint="eastAsia" w:ascii="宋体" w:hAnsi="宋体" w:eastAsia="宋体" w:cs="宋体"/>
                <w:color w:val="000000"/>
                <w:sz w:val="28"/>
                <w:szCs w:val="28"/>
              </w:rPr>
              <w:t>报价含货物、运输、安装调试、验收、保险、税费等相关费用。</w:t>
            </w:r>
          </w:p>
        </w:tc>
      </w:tr>
    </w:tbl>
    <w:p>
      <w:pPr>
        <w:numPr>
          <w:ilvl w:val="0"/>
          <w:numId w:val="1"/>
        </w:numPr>
        <w:adjustRightInd w:val="0"/>
        <w:snapToGrid w:val="0"/>
        <w:spacing w:before="150" w:line="590" w:lineRule="exact"/>
        <w:ind w:firstLine="640" w:firstLineChars="200"/>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lang w:val="en-US" w:eastAsia="zh-CN"/>
        </w:rPr>
        <w:t>申请</w:t>
      </w:r>
      <w:r>
        <w:rPr>
          <w:rFonts w:hint="eastAsia" w:ascii="黑体" w:hAnsi="黑体" w:eastAsia="黑体" w:cs="黑体"/>
          <w:b w:val="0"/>
          <w:bCs w:val="0"/>
          <w:color w:val="000000"/>
          <w:sz w:val="32"/>
          <w:szCs w:val="32"/>
          <w:highlight w:val="none"/>
        </w:rPr>
        <w:t>人</w:t>
      </w:r>
      <w:r>
        <w:rPr>
          <w:rFonts w:hint="eastAsia" w:ascii="黑体" w:hAnsi="黑体" w:eastAsia="黑体" w:cs="黑体"/>
          <w:b w:val="0"/>
          <w:bCs w:val="0"/>
          <w:color w:val="000000"/>
          <w:sz w:val="32"/>
          <w:szCs w:val="32"/>
          <w:highlight w:val="none"/>
          <w:lang w:val="en-US" w:eastAsia="zh-CN"/>
        </w:rPr>
        <w:t>的</w:t>
      </w:r>
      <w:r>
        <w:rPr>
          <w:rFonts w:hint="eastAsia" w:ascii="黑体" w:hAnsi="黑体" w:eastAsia="黑体" w:cs="黑体"/>
          <w:b w:val="0"/>
          <w:bCs w:val="0"/>
          <w:color w:val="000000"/>
          <w:sz w:val="32"/>
          <w:szCs w:val="32"/>
          <w:highlight w:val="none"/>
        </w:rPr>
        <w:t>资格要求及审查办法</w:t>
      </w:r>
    </w:p>
    <w:p>
      <w:pPr>
        <w:widowControl w:val="0"/>
        <w:numPr>
          <w:numId w:val="0"/>
        </w:numPr>
        <w:wordWrap/>
        <w:adjustRightInd w:val="0"/>
        <w:snapToGrid w:val="0"/>
        <w:spacing w:line="590" w:lineRule="exact"/>
        <w:ind w:firstLine="640" w:firstLineChars="200"/>
        <w:textAlignment w:val="auto"/>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pP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1、</w:t>
      </w:r>
      <w:r>
        <w:rPr>
          <w:rFonts w:hint="eastAsia" w:ascii="仿宋_GB2312" w:hAnsi="仿宋_GB2312" w:eastAsia="仿宋_GB2312" w:cs="仿宋_GB2312"/>
          <w:i w:val="0"/>
          <w:iCs w:val="0"/>
          <w:caps w:val="0"/>
          <w:color w:val="auto"/>
          <w:spacing w:val="0"/>
          <w:sz w:val="32"/>
          <w:szCs w:val="32"/>
          <w:highlight w:val="none"/>
          <w:shd w:val="clear" w:color="090000" w:fill="FFFFFF"/>
        </w:rPr>
        <w:t>满足《中华人民共和国政府采购法》第二十二条规定</w:t>
      </w:r>
      <w:r>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t>。</w:t>
      </w:r>
    </w:p>
    <w:p>
      <w:pPr>
        <w:pStyle w:val="11"/>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pP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2、</w:t>
      </w:r>
      <w:r>
        <w:rPr>
          <w:rFonts w:hint="eastAsia" w:ascii="仿宋_GB2312" w:hAnsi="仿宋_GB2312" w:eastAsia="仿宋_GB2312" w:cs="仿宋_GB2312"/>
          <w:i w:val="0"/>
          <w:iCs w:val="0"/>
          <w:caps w:val="0"/>
          <w:color w:val="auto"/>
          <w:spacing w:val="0"/>
          <w:sz w:val="32"/>
          <w:szCs w:val="32"/>
          <w:highlight w:val="none"/>
          <w:shd w:val="clear" w:color="090000" w:fill="FFFFFF"/>
        </w:rPr>
        <w:t>落实政府采购政策需满足的资格要求</w:t>
      </w:r>
      <w:r>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t>。</w:t>
      </w:r>
    </w:p>
    <w:p>
      <w:pPr>
        <w:pStyle w:val="11"/>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i w:val="0"/>
          <w:iCs w:val="0"/>
          <w:caps w:val="0"/>
          <w:color w:val="auto"/>
          <w:spacing w:val="0"/>
          <w:sz w:val="32"/>
          <w:szCs w:val="32"/>
          <w:highlight w:val="none"/>
          <w:shd w:val="clear" w:color="090000" w:fill="FFFFFF"/>
        </w:rPr>
      </w:pP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3、</w:t>
      </w:r>
      <w:r>
        <w:rPr>
          <w:rFonts w:hint="eastAsia" w:ascii="仿宋_GB2312" w:hAnsi="仿宋_GB2312" w:eastAsia="仿宋_GB2312" w:cs="仿宋_GB2312"/>
          <w:i w:val="0"/>
          <w:iCs w:val="0"/>
          <w:caps w:val="0"/>
          <w:color w:val="auto"/>
          <w:spacing w:val="0"/>
          <w:sz w:val="32"/>
          <w:szCs w:val="32"/>
          <w:highlight w:val="none"/>
          <w:shd w:val="clear" w:color="090000" w:fill="FFFFFF"/>
        </w:rPr>
        <w:t>本采购包为专门面向中小企业采购，投标人须提供中小企业声明函。监狱企业、残疾人福利性单位视同小型、微型企业</w:t>
      </w:r>
      <w:r>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t>（</w:t>
      </w: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视项目选择）</w:t>
      </w:r>
      <w:r>
        <w:rPr>
          <w:rFonts w:hint="eastAsia" w:ascii="仿宋_GB2312" w:hAnsi="仿宋_GB2312" w:eastAsia="仿宋_GB2312" w:cs="仿宋_GB2312"/>
          <w:i w:val="0"/>
          <w:iCs w:val="0"/>
          <w:caps w:val="0"/>
          <w:color w:val="auto"/>
          <w:spacing w:val="0"/>
          <w:sz w:val="32"/>
          <w:szCs w:val="32"/>
          <w:highlight w:val="none"/>
          <w:shd w:val="clear" w:color="090000" w:fill="FFFFFF"/>
        </w:rPr>
        <w:t>。 </w:t>
      </w:r>
    </w:p>
    <w:p>
      <w:pPr>
        <w:pStyle w:val="11"/>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4、法定代表人（如为单位负责人，则提供单位负责人）身份证正反面复印件。</w:t>
      </w: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br/>
      </w: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ab/>
      </w: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（1）投标代表身份证正反面复印件</w:t>
      </w:r>
    </w:p>
    <w:p>
      <w:pPr>
        <w:pStyle w:val="11"/>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590" w:lineRule="exact"/>
        <w:ind w:right="0" w:firstLine="420" w:firstLineChars="0"/>
        <w:jc w:val="both"/>
        <w:textAlignment w:val="baseline"/>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（2）法定代表人授权书原件，投标代表是法定代表人（单位负责人）或投标人为自然人的，则无需提供。</w:t>
      </w:r>
    </w:p>
    <w:p>
      <w:pPr>
        <w:pStyle w:val="11"/>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590" w:lineRule="exact"/>
        <w:ind w:right="0" w:firstLine="640" w:firstLineChars="200"/>
        <w:jc w:val="both"/>
        <w:textAlignment w:val="baseline"/>
        <w:rPr>
          <w:rFonts w:hint="default" w:ascii="仿宋_GB2312" w:hAnsi="仿宋_GB2312" w:eastAsia="仿宋_GB2312" w:cs="仿宋_GB2312"/>
          <w:i w:val="0"/>
          <w:iCs w:val="0"/>
          <w:caps w:val="0"/>
          <w:color w:val="auto"/>
          <w:spacing w:val="0"/>
          <w:sz w:val="32"/>
          <w:szCs w:val="32"/>
          <w:highlight w:val="none"/>
          <w:shd w:val="clear" w:color="090000"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5、投标人须具有有效的《中华人民共和国增值电信业务经营许可证》；《中华人民共和国电信网码号资源使用证书》。</w:t>
      </w:r>
    </w:p>
    <w:p>
      <w:pPr>
        <w:pStyle w:val="11"/>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lang w:val="en-US" w:eastAsia="zh-CN"/>
        </w:rPr>
        <w:t>6、</w:t>
      </w:r>
      <w:r>
        <w:rPr>
          <w:rFonts w:hint="eastAsia" w:ascii="仿宋_GB2312" w:hAnsi="仿宋_GB2312" w:eastAsia="仿宋_GB2312" w:cs="仿宋_GB2312"/>
          <w:color w:val="auto"/>
          <w:sz w:val="32"/>
          <w:szCs w:val="32"/>
          <w:highlight w:val="none"/>
          <w:shd w:val="clear" w:color="auto" w:fill="FFFFFF"/>
        </w:rPr>
        <w:t>依法缴纳税收的相关材料（税务机构出具的投标人在报价截止前六个月任意一个月的依法缴纳税收的证明，或者提交从税务机构网上下载的依法缴纳税收情况证明）和依法缴纳社会保障资金的相关材料（报价截止前六个月任意一个月社保机构出具的社保缴费证明并加盖证明专用章，或者提交从社保机构网上下载的社保缴交情况证明）</w:t>
      </w:r>
    </w:p>
    <w:p>
      <w:pPr>
        <w:pStyle w:val="11"/>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7、投标人须提供具备履行合同所必需的设备和专业技术能力、参加政府采购活动近3年内在经营活动中没有重大违法记录的书面声明。</w:t>
      </w:r>
    </w:p>
    <w:p>
      <w:pPr>
        <w:pStyle w:val="11"/>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资格审查采用方式：资格后审。</w:t>
      </w:r>
    </w:p>
    <w:p>
      <w:pPr>
        <w:pStyle w:val="11"/>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pP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9、</w:t>
      </w:r>
      <w:r>
        <w:rPr>
          <w:rFonts w:hint="eastAsia" w:ascii="仿宋_GB2312" w:hAnsi="仿宋_GB2312" w:eastAsia="仿宋_GB2312" w:cs="仿宋_GB2312"/>
          <w:i w:val="0"/>
          <w:iCs w:val="0"/>
          <w:caps w:val="0"/>
          <w:color w:val="auto"/>
          <w:spacing w:val="0"/>
          <w:sz w:val="32"/>
          <w:szCs w:val="32"/>
          <w:highlight w:val="none"/>
          <w:shd w:val="clear" w:color="090000" w:fill="FFFFFF"/>
        </w:rPr>
        <w:t>投标人应在（招标文件要求的截止时点）前分别通过“信用中国”网站（www.creditchina.gov.cn）、中国政府采购网（www.ccgp.gov.cn）查询并打印相应的信用记录</w:t>
      </w:r>
      <w:r>
        <w:rPr>
          <w:rFonts w:hint="eastAsia" w:ascii="仿宋_GB2312" w:hAnsi="仿宋_GB2312" w:eastAsia="仿宋_GB2312" w:cs="仿宋_GB2312"/>
          <w:i w:val="0"/>
          <w:iCs w:val="0"/>
          <w:caps w:val="0"/>
          <w:color w:val="auto"/>
          <w:spacing w:val="0"/>
          <w:sz w:val="32"/>
          <w:szCs w:val="32"/>
          <w:highlight w:val="none"/>
          <w:shd w:val="clear" w:color="090000" w:fill="FFFFFF"/>
          <w:lang w:eastAsia="zh-CN"/>
        </w:rPr>
        <w:t>。</w:t>
      </w:r>
    </w:p>
    <w:p>
      <w:pPr>
        <w:pStyle w:val="11"/>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投标人应对投标文件资料的真实性负责，招标人在授予合同之前有权对其投标文件资料进行核实，如发现所提交的资料不真实，招标人将视其为以弄虚作假方式骗取中标，其中标无效，若给招标人造成损失的，应依法承担赔偿责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并列入医院供应商黑名单，院方有权在今后采购活动中拒绝接受其投标材料</w:t>
      </w:r>
      <w:r>
        <w:rPr>
          <w:rFonts w:hint="eastAsia" w:ascii="仿宋_GB2312" w:hAnsi="仿宋_GB2312" w:eastAsia="仿宋_GB2312" w:cs="仿宋_GB2312"/>
          <w:color w:val="auto"/>
          <w:sz w:val="32"/>
          <w:szCs w:val="32"/>
          <w:highlight w:val="none"/>
        </w:rPr>
        <w:t>。</w:t>
      </w:r>
    </w:p>
    <w:p>
      <w:pPr>
        <w:pStyle w:val="11"/>
        <w:widowControl/>
        <w:pBdr>
          <w:top w:val="none" w:color="auto" w:sz="0" w:space="0"/>
          <w:left w:val="none" w:color="auto" w:sz="0" w:space="0"/>
          <w:bottom w:val="none" w:color="auto" w:sz="0" w:space="0"/>
          <w:right w:val="none" w:color="auto" w:sz="0" w:space="0"/>
        </w:pBdr>
        <w:wordWrap w:val="0"/>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上述提供材料均须加盖公章。</w:t>
      </w:r>
    </w:p>
    <w:p>
      <w:pPr>
        <w:pStyle w:val="3"/>
        <w:widowControl/>
        <w:numPr>
          <w:ilvl w:val="0"/>
          <w:numId w:val="1"/>
        </w:numPr>
        <w:pBdr>
          <w:top w:val="none" w:color="auto" w:sz="0" w:space="0"/>
          <w:left w:val="none" w:color="auto" w:sz="0" w:space="0"/>
          <w:bottom w:val="none" w:color="auto" w:sz="0" w:space="0"/>
          <w:right w:val="none" w:color="auto" w:sz="0" w:space="0"/>
        </w:pBdr>
        <w:shd w:val="clear" w:color="070000" w:fill="FFFFFF"/>
        <w:spacing w:before="150" w:beforeAutospacing="0" w:after="0" w:afterAutospacing="0" w:line="750" w:lineRule="atLeast"/>
        <w:ind w:left="0" w:leftChars="0" w:right="0" w:firstLine="640" w:firstLineChars="200"/>
        <w:jc w:val="left"/>
        <w:textAlignment w:val="baseline"/>
        <w:rPr>
          <w:rStyle w:val="13"/>
          <w:rFonts w:hint="eastAsia" w:ascii="黑体" w:hAnsi="黑体" w:eastAsia="黑体" w:cs="黑体"/>
          <w:b w:val="0"/>
          <w:bCs w:val="0"/>
          <w:i w:val="0"/>
          <w:iCs w:val="0"/>
          <w:caps w:val="0"/>
          <w:color w:val="auto"/>
          <w:spacing w:val="0"/>
          <w:sz w:val="32"/>
          <w:szCs w:val="32"/>
          <w:shd w:val="clear" w:color="0B0000" w:fill="FFFFFF"/>
          <w:lang w:val="en-US" w:eastAsia="zh-CN"/>
        </w:rPr>
      </w:pPr>
      <w:r>
        <w:rPr>
          <w:rStyle w:val="13"/>
          <w:rFonts w:hint="eastAsia" w:ascii="黑体" w:hAnsi="黑体" w:eastAsia="黑体" w:cs="黑体"/>
          <w:b w:val="0"/>
          <w:bCs w:val="0"/>
          <w:i w:val="0"/>
          <w:iCs w:val="0"/>
          <w:caps w:val="0"/>
          <w:color w:val="auto"/>
          <w:spacing w:val="0"/>
          <w:sz w:val="32"/>
          <w:szCs w:val="32"/>
          <w:shd w:val="clear" w:color="0B0000" w:fill="FFFFFF"/>
        </w:rPr>
        <w:t>采购项目需要落实的政府采购政策</w:t>
      </w:r>
      <w:r>
        <w:rPr>
          <w:rStyle w:val="13"/>
          <w:rFonts w:hint="eastAsia" w:ascii="黑体" w:hAnsi="黑体" w:eastAsia="黑体" w:cs="黑体"/>
          <w:b w:val="0"/>
          <w:bCs w:val="0"/>
          <w:i w:val="0"/>
          <w:iCs w:val="0"/>
          <w:caps w:val="0"/>
          <w:color w:val="auto"/>
          <w:spacing w:val="0"/>
          <w:sz w:val="32"/>
          <w:szCs w:val="32"/>
          <w:shd w:val="clear" w:color="0B0000" w:fill="FFFFFF"/>
          <w:lang w:eastAsia="zh-CN"/>
        </w:rPr>
        <w:t>（</w:t>
      </w:r>
      <w:r>
        <w:rPr>
          <w:rStyle w:val="13"/>
          <w:rFonts w:hint="eastAsia" w:ascii="黑体" w:hAnsi="黑体" w:eastAsia="黑体" w:cs="黑体"/>
          <w:b w:val="0"/>
          <w:bCs w:val="0"/>
          <w:i w:val="0"/>
          <w:iCs w:val="0"/>
          <w:caps w:val="0"/>
          <w:color w:val="auto"/>
          <w:spacing w:val="0"/>
          <w:sz w:val="32"/>
          <w:szCs w:val="32"/>
          <w:shd w:val="clear" w:color="0B0000" w:fill="FFFFFF"/>
          <w:lang w:val="en-US" w:eastAsia="zh-CN"/>
        </w:rPr>
        <w:t>若有）</w:t>
      </w:r>
    </w:p>
    <w:p>
      <w:pPr>
        <w:numPr>
          <w:numId w:val="0"/>
        </w:numPr>
        <w:ind w:leftChars="200"/>
        <w:rPr>
          <w:rFonts w:hint="default"/>
          <w:lang w:val="en-US" w:eastAsia="zh-CN"/>
        </w:rPr>
      </w:pPr>
    </w:p>
    <w:p>
      <w:pPr>
        <w:numPr>
          <w:numId w:val="0"/>
        </w:numPr>
        <w:adjustRightInd w:val="0"/>
        <w:snapToGrid w:val="0"/>
        <w:spacing w:before="150" w:line="590" w:lineRule="exact"/>
        <w:ind w:firstLine="640" w:firstLineChars="200"/>
        <w:rPr>
          <w:rFonts w:hint="eastAsia" w:ascii="仿宋_GB2312" w:hAnsi="仿宋_GB2312" w:eastAsia="仿宋_GB2312" w:cs="仿宋_GB2312"/>
          <w:color w:val="000000"/>
          <w:sz w:val="32"/>
          <w:szCs w:val="32"/>
          <w:highlight w:val="none"/>
        </w:rPr>
      </w:pPr>
      <w:r>
        <w:rPr>
          <w:rFonts w:hint="eastAsia" w:ascii="黑体" w:hAnsi="黑体" w:eastAsia="黑体" w:cs="黑体"/>
          <w:b w:val="0"/>
          <w:bCs w:val="0"/>
          <w:color w:val="000000"/>
          <w:sz w:val="32"/>
          <w:szCs w:val="32"/>
          <w:highlight w:val="none"/>
          <w:lang w:val="en-US" w:eastAsia="zh-CN"/>
        </w:rPr>
        <w:t>四、采购</w:t>
      </w:r>
      <w:r>
        <w:rPr>
          <w:rFonts w:hint="eastAsia" w:ascii="黑体" w:hAnsi="黑体" w:eastAsia="黑体" w:cs="黑体"/>
          <w:b w:val="0"/>
          <w:bCs w:val="0"/>
          <w:color w:val="000000"/>
          <w:sz w:val="32"/>
          <w:szCs w:val="32"/>
          <w:highlight w:val="none"/>
        </w:rPr>
        <w:t>文件的获取  </w:t>
      </w:r>
      <w:r>
        <w:rPr>
          <w:rFonts w:hint="eastAsia" w:ascii="黑体" w:hAnsi="黑体" w:eastAsia="黑体" w:cs="黑体"/>
          <w:color w:val="000000"/>
          <w:sz w:val="32"/>
          <w:szCs w:val="32"/>
          <w:highlight w:val="none"/>
        </w:rPr>
        <w:t> </w:t>
      </w:r>
    </w:p>
    <w:p>
      <w:pPr>
        <w:numPr>
          <w:numId w:val="0"/>
        </w:numPr>
        <w:adjustRightInd w:val="0"/>
        <w:snapToGrid w:val="0"/>
        <w:spacing w:before="150" w:line="59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1、本项目不采用电子招投标。</w:t>
      </w:r>
    </w:p>
    <w:p>
      <w:pPr>
        <w:widowControl/>
        <w:tabs>
          <w:tab w:val="left" w:pos="900"/>
          <w:tab w:val="left" w:pos="1100"/>
        </w:tabs>
        <w:adjustRightInd w:val="0"/>
        <w:snapToGrid w:val="0"/>
        <w:spacing w:line="590" w:lineRule="exact"/>
        <w:ind w:firstLine="640" w:firstLineChars="200"/>
        <w:jc w:val="left"/>
        <w:rPr>
          <w:rFonts w:hint="eastAsia" w:ascii="黑体" w:hAnsi="黑体" w:eastAsia="黑体" w:cs="黑体"/>
          <w:b w:val="0"/>
          <w:bCs w:val="0"/>
          <w:strike w:val="0"/>
          <w:dstrike w:val="0"/>
          <w:color w:val="000000"/>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凡有意参加投标者，均可在福建省肿瘤医院院方网站（www.fjzl.com.cn）下载与本项目相关的招标信息（包括招标文件、招标文件补充说明等）。</w:t>
      </w:r>
    </w:p>
    <w:p>
      <w:pPr>
        <w:adjustRightInd w:val="0"/>
        <w:snapToGrid w:val="0"/>
        <w:spacing w:before="150" w:line="590" w:lineRule="exact"/>
        <w:ind w:firstLine="640" w:firstLineChars="200"/>
        <w:rPr>
          <w:rFonts w:hint="eastAsia" w:ascii="黑体" w:hAnsi="黑体" w:eastAsia="黑体" w:cs="黑体"/>
          <w:b w:val="0"/>
          <w:bCs w:val="0"/>
          <w:strike w:val="0"/>
          <w:dstrike w:val="0"/>
          <w:color w:val="000000"/>
          <w:sz w:val="32"/>
          <w:szCs w:val="32"/>
          <w:highlight w:val="none"/>
        </w:rPr>
      </w:pPr>
      <w:r>
        <w:rPr>
          <w:rFonts w:hint="eastAsia" w:ascii="黑体" w:hAnsi="黑体" w:eastAsia="黑体" w:cs="黑体"/>
          <w:b w:val="0"/>
          <w:bCs w:val="0"/>
          <w:color w:val="auto"/>
          <w:sz w:val="32"/>
          <w:szCs w:val="32"/>
          <w:highlight w:val="none"/>
        </w:rPr>
        <w:t>五、</w:t>
      </w:r>
      <w:r>
        <w:rPr>
          <w:rStyle w:val="13"/>
          <w:rFonts w:hint="eastAsia" w:ascii="黑体" w:hAnsi="黑体" w:eastAsia="黑体" w:cs="黑体"/>
          <w:b w:val="0"/>
          <w:bCs w:val="0"/>
          <w:i w:val="0"/>
          <w:iCs w:val="0"/>
          <w:caps w:val="0"/>
          <w:color w:val="auto"/>
          <w:spacing w:val="0"/>
          <w:sz w:val="32"/>
          <w:szCs w:val="32"/>
          <w:highlight w:val="none"/>
          <w:shd w:val="clear" w:color="0C0000" w:fill="FFFFFF"/>
        </w:rPr>
        <w:t>提交投标文件截止时间、开标时间和地点</w:t>
      </w:r>
      <w:r>
        <w:rPr>
          <w:rStyle w:val="13"/>
          <w:rFonts w:hint="eastAsia" w:ascii="黑体" w:hAnsi="黑体" w:eastAsia="黑体" w:cs="黑体"/>
          <w:b w:val="0"/>
          <w:bCs w:val="0"/>
          <w:i w:val="0"/>
          <w:iCs w:val="0"/>
          <w:caps w:val="0"/>
          <w:color w:val="auto"/>
          <w:spacing w:val="0"/>
          <w:sz w:val="32"/>
          <w:szCs w:val="32"/>
          <w:highlight w:val="none"/>
          <w:shd w:val="clear" w:color="0C0000" w:fill="FFFFFF"/>
          <w:lang w:eastAsia="zh-CN"/>
        </w:rPr>
        <w:t>、</w:t>
      </w:r>
      <w:r>
        <w:rPr>
          <w:rFonts w:hint="eastAsia" w:ascii="黑体" w:hAnsi="黑体" w:eastAsia="黑体" w:cs="黑体"/>
          <w:b w:val="0"/>
          <w:bCs w:val="0"/>
          <w:strike w:val="0"/>
          <w:dstrike w:val="0"/>
          <w:color w:val="000000"/>
          <w:sz w:val="32"/>
          <w:szCs w:val="32"/>
          <w:highlight w:val="none"/>
        </w:rPr>
        <w:t>答疑截止时间</w:t>
      </w:r>
    </w:p>
    <w:p>
      <w:pPr>
        <w:pStyle w:val="11"/>
        <w:widowControl/>
        <w:pBdr>
          <w:top w:val="none" w:color="auto" w:sz="0" w:space="0"/>
          <w:left w:val="none" w:color="auto" w:sz="0" w:space="0"/>
          <w:bottom w:val="none" w:color="auto" w:sz="0" w:space="0"/>
          <w:right w:val="none" w:color="auto" w:sz="0" w:space="0"/>
        </w:pBdr>
        <w:shd w:val="clear" w:color="070000" w:fill="FFFFFF"/>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b w:val="0"/>
          <w:bCs w:val="0"/>
          <w:i w:val="0"/>
          <w:iCs w:val="0"/>
          <w:caps w:val="0"/>
          <w:color w:val="auto"/>
          <w:spacing w:val="0"/>
          <w:sz w:val="32"/>
          <w:szCs w:val="32"/>
          <w:highlight w:val="none"/>
          <w:shd w:val="clear" w:color="0B0000" w:fill="FFFFFF"/>
          <w:lang w:val="en-US" w:eastAsia="zh-CN"/>
        </w:rPr>
      </w:pPr>
      <w:r>
        <w:rPr>
          <w:rStyle w:val="13"/>
          <w:rFonts w:hint="eastAsia" w:ascii="仿宋_GB2312" w:hAnsi="仿宋_GB2312" w:eastAsia="仿宋_GB2312" w:cs="仿宋_GB2312"/>
          <w:b w:val="0"/>
          <w:bCs w:val="0"/>
          <w:i w:val="0"/>
          <w:iCs w:val="0"/>
          <w:caps w:val="0"/>
          <w:color w:val="auto"/>
          <w:spacing w:val="0"/>
          <w:sz w:val="32"/>
          <w:szCs w:val="32"/>
          <w:highlight w:val="none"/>
          <w:shd w:val="clear" w:color="0C0000" w:fill="FFFFFF"/>
          <w:lang w:val="en-US" w:eastAsia="zh-CN"/>
        </w:rPr>
        <w:t>1、</w:t>
      </w:r>
      <w:r>
        <w:rPr>
          <w:rStyle w:val="13"/>
          <w:rFonts w:hint="eastAsia" w:ascii="仿宋_GB2312" w:hAnsi="仿宋_GB2312" w:eastAsia="仿宋_GB2312" w:cs="仿宋_GB2312"/>
          <w:b w:val="0"/>
          <w:bCs w:val="0"/>
          <w:i w:val="0"/>
          <w:iCs w:val="0"/>
          <w:caps w:val="0"/>
          <w:color w:val="auto"/>
          <w:spacing w:val="0"/>
          <w:sz w:val="32"/>
          <w:szCs w:val="32"/>
          <w:highlight w:val="none"/>
          <w:shd w:val="clear" w:color="0C0000" w:fill="FFFFFF"/>
        </w:rPr>
        <w:t>截止时间</w:t>
      </w:r>
      <w:r>
        <w:rPr>
          <w:rStyle w:val="13"/>
          <w:rFonts w:hint="eastAsia" w:ascii="仿宋_GB2312" w:hAnsi="仿宋_GB2312" w:eastAsia="仿宋_GB2312" w:cs="仿宋_GB2312"/>
          <w:b w:val="0"/>
          <w:bCs w:val="0"/>
          <w:i w:val="0"/>
          <w:iCs w:val="0"/>
          <w:caps w:val="0"/>
          <w:color w:val="auto"/>
          <w:spacing w:val="0"/>
          <w:sz w:val="32"/>
          <w:szCs w:val="32"/>
          <w:highlight w:val="none"/>
          <w:shd w:val="clear" w:color="0C0000" w:fill="FFFFFF"/>
          <w:lang w:eastAsia="zh-CN"/>
        </w:rPr>
        <w:t>：</w:t>
      </w:r>
      <w:r>
        <w:rPr>
          <w:rFonts w:hint="eastAsia" w:ascii="仿宋_GB2312" w:hAnsi="仿宋_GB2312" w:eastAsia="仿宋_GB2312" w:cs="仿宋_GB2312"/>
          <w:b w:val="0"/>
          <w:bCs w:val="0"/>
          <w:color w:val="auto"/>
          <w:sz w:val="32"/>
          <w:szCs w:val="32"/>
          <w:highlight w:val="none"/>
        </w:rPr>
        <w:t>20</w:t>
      </w:r>
      <w:r>
        <w:rPr>
          <w:rFonts w:hint="eastAsia" w:ascii="仿宋_GB2312" w:hAnsi="仿宋_GB2312" w:eastAsia="仿宋_GB2312" w:cs="仿宋_GB2312"/>
          <w:b w:val="0"/>
          <w:bCs w:val="0"/>
          <w:color w:val="auto"/>
          <w:sz w:val="32"/>
          <w:szCs w:val="32"/>
          <w:highlight w:val="none"/>
          <w:lang w:val="en-US" w:eastAsia="zh-CN"/>
        </w:rPr>
        <w:t>23</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lang w:val="en-US" w:eastAsia="zh-CN"/>
        </w:rPr>
        <w:t>12</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lang w:val="en-US" w:eastAsia="zh-CN"/>
        </w:rPr>
        <w:t>8</w:t>
      </w:r>
      <w:r>
        <w:rPr>
          <w:rFonts w:hint="eastAsia" w:ascii="仿宋_GB2312" w:hAnsi="仿宋_GB2312" w:eastAsia="仿宋_GB2312" w:cs="仿宋_GB2312"/>
          <w:b w:val="0"/>
          <w:bCs w:val="0"/>
          <w:color w:val="auto"/>
          <w:sz w:val="32"/>
          <w:szCs w:val="32"/>
          <w:highlight w:val="none"/>
        </w:rPr>
        <w:t>日</w:t>
      </w:r>
      <w:r>
        <w:rPr>
          <w:rFonts w:hint="eastAsia" w:ascii="仿宋_GB2312" w:hAnsi="仿宋_GB2312" w:eastAsia="仿宋_GB2312" w:cs="仿宋_GB2312"/>
          <w:b w:val="0"/>
          <w:bCs w:val="0"/>
          <w:color w:val="auto"/>
          <w:sz w:val="32"/>
          <w:szCs w:val="32"/>
          <w:highlight w:val="none"/>
          <w:lang w:val="en-US" w:eastAsia="zh-CN"/>
        </w:rPr>
        <w:t>17:00点</w:t>
      </w:r>
    </w:p>
    <w:p>
      <w:pPr>
        <w:pStyle w:val="11"/>
        <w:widowControl/>
        <w:pBdr>
          <w:top w:val="none" w:color="auto" w:sz="0" w:space="0"/>
          <w:left w:val="none" w:color="auto" w:sz="0" w:space="0"/>
          <w:bottom w:val="none" w:color="auto" w:sz="0" w:space="0"/>
          <w:right w:val="none" w:color="auto" w:sz="0" w:space="0"/>
        </w:pBdr>
        <w:shd w:val="clear" w:color="070000" w:fill="FFFFFF"/>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b w:val="0"/>
          <w:bCs w:val="0"/>
          <w:color w:val="auto"/>
          <w:sz w:val="32"/>
          <w:szCs w:val="32"/>
          <w:highlight w:val="none"/>
          <w:lang w:val="en-US" w:eastAsia="zh-CN"/>
        </w:rPr>
      </w:pPr>
      <w:r>
        <w:rPr>
          <w:rStyle w:val="13"/>
          <w:rFonts w:hint="eastAsia" w:ascii="仿宋_GB2312" w:hAnsi="仿宋_GB2312" w:eastAsia="仿宋_GB2312" w:cs="仿宋_GB2312"/>
          <w:b w:val="0"/>
          <w:bCs w:val="0"/>
          <w:i w:val="0"/>
          <w:iCs w:val="0"/>
          <w:caps w:val="0"/>
          <w:color w:val="auto"/>
          <w:spacing w:val="0"/>
          <w:sz w:val="32"/>
          <w:szCs w:val="32"/>
          <w:highlight w:val="none"/>
          <w:shd w:val="clear" w:color="0C0000" w:fill="FFFFFF"/>
          <w:lang w:val="en-US" w:eastAsia="zh-CN"/>
        </w:rPr>
        <w:t>2、</w:t>
      </w:r>
      <w:r>
        <w:rPr>
          <w:rStyle w:val="13"/>
          <w:rFonts w:hint="eastAsia" w:ascii="仿宋_GB2312" w:hAnsi="仿宋_GB2312" w:eastAsia="仿宋_GB2312" w:cs="仿宋_GB2312"/>
          <w:b w:val="0"/>
          <w:bCs w:val="0"/>
          <w:i w:val="0"/>
          <w:iCs w:val="0"/>
          <w:caps w:val="0"/>
          <w:color w:val="auto"/>
          <w:spacing w:val="0"/>
          <w:sz w:val="32"/>
          <w:szCs w:val="32"/>
          <w:highlight w:val="none"/>
          <w:shd w:val="clear" w:color="0C0000" w:fill="FFFFFF"/>
        </w:rPr>
        <w:t>开标时间</w:t>
      </w:r>
      <w:r>
        <w:rPr>
          <w:rStyle w:val="13"/>
          <w:rFonts w:hint="eastAsia" w:ascii="仿宋_GB2312" w:hAnsi="仿宋_GB2312" w:eastAsia="仿宋_GB2312" w:cs="仿宋_GB2312"/>
          <w:b w:val="0"/>
          <w:bCs w:val="0"/>
          <w:i w:val="0"/>
          <w:iCs w:val="0"/>
          <w:caps w:val="0"/>
          <w:color w:val="auto"/>
          <w:spacing w:val="0"/>
          <w:sz w:val="32"/>
          <w:szCs w:val="32"/>
          <w:highlight w:val="none"/>
          <w:shd w:val="clear" w:color="0C0000" w:fill="FFFFFF"/>
          <w:lang w:eastAsia="zh-CN"/>
        </w:rPr>
        <w:t>：</w:t>
      </w:r>
      <w:r>
        <w:rPr>
          <w:rFonts w:hint="eastAsia" w:ascii="仿宋_GB2312" w:hAnsi="仿宋_GB2312" w:eastAsia="仿宋_GB2312" w:cs="仿宋_GB2312"/>
          <w:b w:val="0"/>
          <w:bCs w:val="0"/>
          <w:color w:val="auto"/>
          <w:sz w:val="32"/>
          <w:szCs w:val="32"/>
          <w:highlight w:val="none"/>
        </w:rPr>
        <w:t>20</w:t>
      </w:r>
      <w:r>
        <w:rPr>
          <w:rFonts w:hint="eastAsia" w:ascii="仿宋_GB2312" w:hAnsi="仿宋_GB2312" w:eastAsia="仿宋_GB2312" w:cs="仿宋_GB2312"/>
          <w:b w:val="0"/>
          <w:bCs w:val="0"/>
          <w:color w:val="auto"/>
          <w:sz w:val="32"/>
          <w:szCs w:val="32"/>
          <w:highlight w:val="none"/>
          <w:lang w:val="en-US" w:eastAsia="zh-CN"/>
        </w:rPr>
        <w:t>23</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lang w:val="en-US" w:eastAsia="zh-CN"/>
        </w:rPr>
        <w:t>12</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lang w:val="en-US" w:eastAsia="zh-CN"/>
        </w:rPr>
        <w:t>12</w:t>
      </w:r>
      <w:r>
        <w:rPr>
          <w:rFonts w:hint="eastAsia" w:ascii="仿宋_GB2312" w:hAnsi="仿宋_GB2312" w:eastAsia="仿宋_GB2312" w:cs="仿宋_GB2312"/>
          <w:b w:val="0"/>
          <w:bCs w:val="0"/>
          <w:color w:val="auto"/>
          <w:sz w:val="32"/>
          <w:szCs w:val="32"/>
          <w:highlight w:val="none"/>
        </w:rPr>
        <w:t>日</w:t>
      </w:r>
      <w:r>
        <w:rPr>
          <w:rFonts w:hint="eastAsia" w:ascii="仿宋_GB2312" w:hAnsi="仿宋_GB2312" w:eastAsia="仿宋_GB2312" w:cs="仿宋_GB2312"/>
          <w:b w:val="0"/>
          <w:bCs w:val="0"/>
          <w:color w:val="auto"/>
          <w:sz w:val="32"/>
          <w:szCs w:val="32"/>
          <w:highlight w:val="none"/>
          <w:lang w:val="en-US" w:eastAsia="zh-CN"/>
        </w:rPr>
        <w:t xml:space="preserve"> 9:00点</w:t>
      </w:r>
    </w:p>
    <w:p>
      <w:pPr>
        <w:pStyle w:val="11"/>
        <w:widowControl/>
        <w:pBdr>
          <w:top w:val="none" w:color="auto" w:sz="0" w:space="0"/>
          <w:left w:val="none" w:color="auto" w:sz="0" w:space="0"/>
          <w:bottom w:val="none" w:color="auto" w:sz="0" w:space="0"/>
          <w:right w:val="none" w:color="auto" w:sz="0" w:space="0"/>
        </w:pBdr>
        <w:shd w:val="clear" w:color="070000" w:fill="FFFFFF"/>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i w:val="0"/>
          <w:iCs w:val="0"/>
          <w:caps w:val="0"/>
          <w:color w:val="auto"/>
          <w:spacing w:val="0"/>
          <w:sz w:val="32"/>
          <w:szCs w:val="32"/>
          <w:highlight w:val="none"/>
          <w:shd w:val="clear" w:color="090000" w:fill="FFFFFF"/>
          <w:lang w:val="en-US" w:eastAsia="zh-CN"/>
        </w:rPr>
        <w:t>3、</w:t>
      </w:r>
      <w:r>
        <w:rPr>
          <w:rFonts w:hint="eastAsia" w:ascii="仿宋_GB2312" w:hAnsi="仿宋_GB2312" w:eastAsia="仿宋_GB2312" w:cs="仿宋_GB2312"/>
          <w:i w:val="0"/>
          <w:iCs w:val="0"/>
          <w:caps w:val="0"/>
          <w:color w:val="auto"/>
          <w:spacing w:val="0"/>
          <w:sz w:val="32"/>
          <w:szCs w:val="32"/>
          <w:highlight w:val="none"/>
          <w:shd w:val="clear" w:color="090000" w:fill="FFFFFF"/>
        </w:rPr>
        <w:t>地点：</w:t>
      </w:r>
      <w:r>
        <w:rPr>
          <w:rFonts w:hint="eastAsia" w:ascii="仿宋_GB2312" w:hAnsi="仿宋_GB2312" w:eastAsia="仿宋_GB2312" w:cs="仿宋_GB2312"/>
          <w:color w:val="auto"/>
          <w:sz w:val="32"/>
          <w:szCs w:val="32"/>
          <w:highlight w:val="none"/>
        </w:rPr>
        <w:t>福建省肿瘤医院</w:t>
      </w:r>
      <w:r>
        <w:rPr>
          <w:rFonts w:hint="eastAsia" w:ascii="仿宋_GB2312" w:hAnsi="仿宋_GB2312" w:eastAsia="仿宋_GB2312" w:cs="仿宋_GB2312"/>
          <w:color w:val="auto"/>
          <w:sz w:val="32"/>
          <w:szCs w:val="32"/>
          <w:highlight w:val="none"/>
          <w:lang w:val="en-US" w:eastAsia="zh-CN"/>
        </w:rPr>
        <w:t>网络技术中心</w:t>
      </w:r>
      <w:r>
        <w:rPr>
          <w:rFonts w:hint="eastAsia" w:ascii="仿宋_GB2312" w:hAnsi="仿宋_GB2312" w:eastAsia="仿宋_GB2312" w:cs="仿宋_GB2312"/>
          <w:color w:val="auto"/>
          <w:sz w:val="32"/>
          <w:szCs w:val="32"/>
          <w:highlight w:val="none"/>
        </w:rPr>
        <w:t>会议室</w:t>
      </w:r>
    </w:p>
    <w:p>
      <w:pPr>
        <w:pStyle w:val="11"/>
        <w:widowControl/>
        <w:pBdr>
          <w:top w:val="none" w:color="auto" w:sz="0" w:space="0"/>
          <w:left w:val="none" w:color="auto" w:sz="0" w:space="0"/>
          <w:bottom w:val="none" w:color="auto" w:sz="0" w:space="0"/>
          <w:right w:val="none" w:color="auto" w:sz="0" w:space="0"/>
        </w:pBdr>
        <w:shd w:val="clear" w:color="070000" w:fill="FFFFFF"/>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rPr>
        <w:t>投标文件正本</w:t>
      </w:r>
      <w:r>
        <w:rPr>
          <w:rFonts w:hint="eastAsia" w:ascii="仿宋_GB2312" w:hAnsi="仿宋_GB2312" w:eastAsia="仿宋_GB2312" w:cs="仿宋_GB2312"/>
          <w:bCs/>
          <w:color w:val="000000"/>
          <w:sz w:val="32"/>
          <w:szCs w:val="32"/>
          <w:highlight w:val="none"/>
          <w:u w:val="single"/>
        </w:rPr>
        <w:t>壹</w:t>
      </w:r>
      <w:r>
        <w:rPr>
          <w:rFonts w:hint="eastAsia" w:ascii="仿宋_GB2312" w:hAnsi="仿宋_GB2312" w:eastAsia="仿宋_GB2312" w:cs="仿宋_GB2312"/>
          <w:color w:val="000000"/>
          <w:sz w:val="32"/>
          <w:szCs w:val="32"/>
          <w:highlight w:val="none"/>
        </w:rPr>
        <w:t>份,副本</w:t>
      </w:r>
      <w:r>
        <w:rPr>
          <w:rFonts w:hint="eastAsia" w:ascii="仿宋_GB2312" w:hAnsi="仿宋_GB2312" w:eastAsia="仿宋_GB2312" w:cs="仿宋_GB2312"/>
          <w:bCs/>
          <w:color w:val="000000"/>
          <w:sz w:val="32"/>
          <w:szCs w:val="32"/>
          <w:highlight w:val="none"/>
          <w:u w:val="single"/>
        </w:rPr>
        <w:t>壹</w:t>
      </w:r>
      <w:r>
        <w:rPr>
          <w:rFonts w:hint="eastAsia" w:ascii="仿宋_GB2312" w:hAnsi="仿宋_GB2312" w:eastAsia="仿宋_GB2312" w:cs="仿宋_GB2312"/>
          <w:color w:val="000000"/>
          <w:sz w:val="32"/>
          <w:szCs w:val="32"/>
          <w:highlight w:val="none"/>
        </w:rPr>
        <w:t>份胶装并密封加盖投标人公章。投标文件未胶装将视为无效。</w:t>
      </w:r>
    </w:p>
    <w:p>
      <w:pPr>
        <w:pStyle w:val="11"/>
        <w:widowControl/>
        <w:pBdr>
          <w:top w:val="none" w:color="auto" w:sz="0" w:space="0"/>
          <w:left w:val="none" w:color="auto" w:sz="0" w:space="0"/>
          <w:bottom w:val="none" w:color="auto" w:sz="0" w:space="0"/>
          <w:right w:val="none" w:color="auto" w:sz="0" w:space="0"/>
        </w:pBdr>
        <w:shd w:val="clear" w:color="070000" w:fill="FFFFFF"/>
        <w:wordWrap/>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rPr>
        <w:t>、未参加报名的潜在投标人，其投标文件将被拒绝。</w:t>
      </w:r>
    </w:p>
    <w:p>
      <w:pPr>
        <w:pStyle w:val="11"/>
        <w:widowControl/>
        <w:pBdr>
          <w:top w:val="none" w:color="auto" w:sz="0" w:space="0"/>
          <w:left w:val="none" w:color="auto" w:sz="0" w:space="0"/>
          <w:bottom w:val="none" w:color="auto" w:sz="0" w:space="0"/>
          <w:right w:val="none" w:color="auto" w:sz="0" w:space="0"/>
        </w:pBdr>
        <w:shd w:val="clear" w:color="070000" w:fill="FFFFFF"/>
        <w:wordWrap/>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strike w:val="0"/>
          <w:dstrike w:val="0"/>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6</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strike w:val="0"/>
          <w:dstrike w:val="0"/>
          <w:color w:val="000000"/>
          <w:sz w:val="32"/>
          <w:szCs w:val="32"/>
          <w:highlight w:val="none"/>
        </w:rPr>
        <w:t>投标人若要求澄清招标文件，应在获取招标文件截止时间后的2个工作日内提出，招标人将随时解答。</w:t>
      </w:r>
    </w:p>
    <w:p>
      <w:pPr>
        <w:pStyle w:val="11"/>
        <w:widowControl/>
        <w:pBdr>
          <w:top w:val="none" w:color="auto" w:sz="0" w:space="0"/>
          <w:left w:val="none" w:color="auto" w:sz="0" w:space="0"/>
          <w:bottom w:val="none" w:color="auto" w:sz="0" w:space="0"/>
          <w:right w:val="none" w:color="auto" w:sz="0" w:space="0"/>
        </w:pBdr>
        <w:shd w:val="clear" w:color="070000" w:fill="FFFFFF"/>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7、</w:t>
      </w:r>
      <w:r>
        <w:rPr>
          <w:rFonts w:hint="eastAsia" w:ascii="仿宋_GB2312" w:hAnsi="仿宋_GB2312" w:eastAsia="仿宋_GB2312" w:cs="仿宋_GB2312"/>
          <w:color w:val="000000"/>
          <w:sz w:val="32"/>
          <w:szCs w:val="32"/>
          <w:highlight w:val="none"/>
        </w:rPr>
        <w:t>若有涉及招标文件内容更正，请各潜在投标人密切关注福建省肿瘤医院官网通知，以最新公告为准。</w:t>
      </w:r>
    </w:p>
    <w:p>
      <w:pPr>
        <w:pStyle w:val="11"/>
        <w:widowControl/>
        <w:pBdr>
          <w:top w:val="none" w:color="auto" w:sz="0" w:space="0"/>
          <w:left w:val="none" w:color="auto" w:sz="0" w:space="0"/>
          <w:bottom w:val="none" w:color="auto" w:sz="0" w:space="0"/>
          <w:right w:val="none" w:color="auto" w:sz="0" w:space="0"/>
        </w:pBdr>
        <w:shd w:val="clear" w:color="070000" w:fill="FFFFFF"/>
        <w:adjustRightInd w:val="0"/>
        <w:snapToGrid w:val="0"/>
        <w:spacing w:before="0" w:beforeAutospacing="0" w:after="0" w:afterAutospacing="0" w:line="590" w:lineRule="exact"/>
        <w:ind w:right="0" w:firstLine="640" w:firstLineChars="200"/>
        <w:jc w:val="both"/>
        <w:textAlignment w:val="baseline"/>
        <w:rPr>
          <w:rFonts w:hint="eastAsia" w:ascii="仿宋_GB2312" w:hAnsi="仿宋_GB2312" w:eastAsia="仿宋_GB2312" w:cs="仿宋_GB2312"/>
          <w:color w:val="000000"/>
          <w:sz w:val="32"/>
          <w:szCs w:val="32"/>
          <w:highlight w:val="none"/>
          <w:lang w:val="en-US" w:eastAsia="zh-CN"/>
        </w:rPr>
      </w:pPr>
    </w:p>
    <w:p>
      <w:pPr>
        <w:adjustRightInd w:val="0"/>
        <w:snapToGrid w:val="0"/>
        <w:spacing w:before="150" w:line="590" w:lineRule="exact"/>
        <w:ind w:firstLine="640" w:firstLineChars="200"/>
        <w:rPr>
          <w:rFonts w:hint="eastAsia" w:ascii="黑体" w:hAnsi="黑体" w:eastAsia="黑体" w:cs="黑体"/>
          <w:b/>
          <w:bCs/>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六</w:t>
      </w:r>
      <w:r>
        <w:rPr>
          <w:rFonts w:hint="eastAsia" w:ascii="黑体" w:hAnsi="黑体" w:eastAsia="黑体" w:cs="黑体"/>
          <w:b w:val="0"/>
          <w:bCs w:val="0"/>
          <w:color w:val="000000"/>
          <w:sz w:val="32"/>
          <w:szCs w:val="32"/>
          <w:highlight w:val="none"/>
        </w:rPr>
        <w:t>、</w:t>
      </w:r>
      <w:r>
        <w:rPr>
          <w:rFonts w:hint="eastAsia" w:ascii="黑体" w:hAnsi="黑体" w:eastAsia="黑体" w:cs="黑体"/>
          <w:b w:val="0"/>
          <w:bCs w:val="0"/>
          <w:color w:val="000000"/>
          <w:sz w:val="32"/>
          <w:szCs w:val="32"/>
          <w:highlight w:val="none"/>
          <w:lang w:val="en-US" w:eastAsia="zh-CN"/>
        </w:rPr>
        <w:t>公告期限</w:t>
      </w:r>
    </w:p>
    <w:p>
      <w:pPr>
        <w:adjustRightInd w:val="0"/>
        <w:snapToGrid w:val="0"/>
        <w:spacing w:before="150" w:line="590" w:lineRule="exact"/>
        <w:ind w:firstLine="640" w:firstLineChars="200"/>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自本公告发布之日起5个工作日</w:t>
      </w:r>
    </w:p>
    <w:p>
      <w:pPr>
        <w:numPr>
          <w:ilvl w:val="0"/>
          <w:numId w:val="2"/>
        </w:numPr>
        <w:adjustRightInd w:val="0"/>
        <w:snapToGrid w:val="0"/>
        <w:spacing w:before="150" w:line="590" w:lineRule="exact"/>
        <w:ind w:firstLine="640" w:firstLineChars="200"/>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其他补充事宜</w:t>
      </w:r>
    </w:p>
    <w:p>
      <w:pPr>
        <w:adjustRightInd w:val="0"/>
        <w:snapToGrid w:val="0"/>
        <w:spacing w:before="150" w:line="590" w:lineRule="exact"/>
        <w:ind w:firstLine="640" w:firstLineChars="200"/>
        <w:rPr>
          <w:rFonts w:hint="eastAsia" w:ascii="仿宋_GB2312" w:hAnsi="仿宋_GB2312" w:eastAsia="仿宋_GB2312" w:cs="仿宋_GB2312"/>
          <w:sz w:val="32"/>
          <w:szCs w:val="32"/>
          <w:highlight w:val="none"/>
        </w:rPr>
      </w:pPr>
      <w:r>
        <w:rPr>
          <w:rFonts w:hint="eastAsia" w:ascii="黑体" w:hAnsi="黑体" w:eastAsia="黑体" w:cs="黑体"/>
          <w:b w:val="0"/>
          <w:bCs w:val="0"/>
          <w:color w:val="000000"/>
          <w:sz w:val="32"/>
          <w:szCs w:val="32"/>
          <w:highlight w:val="none"/>
          <w:lang w:val="en-US" w:eastAsia="zh-CN"/>
        </w:rPr>
        <w:t>八、</w:t>
      </w:r>
      <w:r>
        <w:rPr>
          <w:rFonts w:hint="eastAsia" w:ascii="黑体" w:hAnsi="黑体" w:eastAsia="黑体" w:cs="黑体"/>
          <w:b w:val="0"/>
          <w:bCs w:val="0"/>
          <w:color w:val="000000"/>
          <w:sz w:val="32"/>
          <w:szCs w:val="32"/>
          <w:highlight w:val="none"/>
        </w:rPr>
        <w:t>评标</w:t>
      </w:r>
      <w:r>
        <w:rPr>
          <w:rFonts w:hint="eastAsia" w:ascii="黑体" w:hAnsi="黑体" w:eastAsia="黑体" w:cs="黑体"/>
          <w:b w:val="0"/>
          <w:bCs w:val="0"/>
          <w:color w:val="000000"/>
          <w:sz w:val="32"/>
          <w:szCs w:val="32"/>
          <w:highlight w:val="none"/>
          <w:lang w:val="en-US" w:eastAsia="zh-CN"/>
        </w:rPr>
        <w:t>方法：</w:t>
      </w:r>
      <w:r>
        <w:rPr>
          <w:rFonts w:hint="eastAsia" w:ascii="仿宋_GB2312" w:hAnsi="仿宋_GB2312" w:eastAsia="仿宋_GB2312" w:cs="仿宋_GB2312"/>
          <w:color w:val="000000"/>
          <w:sz w:val="32"/>
          <w:szCs w:val="32"/>
          <w:highlight w:val="none"/>
        </w:rPr>
        <w:t>最低价中标</w:t>
      </w:r>
      <w:r>
        <w:rPr>
          <w:rFonts w:hint="eastAsia" w:ascii="仿宋_GB2312" w:hAnsi="仿宋_GB2312" w:eastAsia="仿宋_GB2312" w:cs="仿宋_GB2312"/>
          <w:bCs/>
          <w:sz w:val="32"/>
          <w:szCs w:val="32"/>
          <w:highlight w:val="none"/>
        </w:rPr>
        <w:t>（符合谈判文件各项要求的且报价最低的投标人）</w:t>
      </w:r>
    </w:p>
    <w:p>
      <w:pPr>
        <w:adjustRightInd w:val="0"/>
        <w:snapToGrid w:val="0"/>
        <w:spacing w:before="150" w:line="590" w:lineRule="exact"/>
        <w:ind w:firstLine="640" w:firstLineChars="200"/>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九</w:t>
      </w:r>
      <w:r>
        <w:rPr>
          <w:rFonts w:hint="eastAsia" w:ascii="黑体" w:hAnsi="黑体" w:eastAsia="黑体" w:cs="黑体"/>
          <w:b w:val="0"/>
          <w:bCs w:val="0"/>
          <w:color w:val="000000"/>
          <w:sz w:val="32"/>
          <w:szCs w:val="32"/>
          <w:highlight w:val="none"/>
        </w:rPr>
        <w:t>、合同</w:t>
      </w:r>
      <w:r>
        <w:rPr>
          <w:rFonts w:hint="eastAsia" w:ascii="黑体" w:hAnsi="黑体" w:eastAsia="黑体" w:cs="黑体"/>
          <w:b w:val="0"/>
          <w:bCs w:val="0"/>
          <w:color w:val="000000"/>
          <w:sz w:val="32"/>
          <w:szCs w:val="32"/>
          <w:highlight w:val="none"/>
          <w:lang w:val="en-US" w:eastAsia="zh-CN"/>
        </w:rPr>
        <w:t>签订及主要</w:t>
      </w:r>
      <w:r>
        <w:rPr>
          <w:rFonts w:hint="eastAsia" w:ascii="黑体" w:hAnsi="黑体" w:eastAsia="黑体" w:cs="黑体"/>
          <w:b w:val="0"/>
          <w:bCs w:val="0"/>
          <w:color w:val="000000"/>
          <w:sz w:val="32"/>
          <w:szCs w:val="32"/>
          <w:highlight w:val="none"/>
        </w:rPr>
        <w:t>条款</w:t>
      </w:r>
      <w:r>
        <w:rPr>
          <w:rFonts w:hint="eastAsia" w:ascii="黑体" w:hAnsi="黑体" w:eastAsia="黑体" w:cs="黑体"/>
          <w:b w:val="0"/>
          <w:bCs w:val="0"/>
          <w:color w:val="000000"/>
          <w:sz w:val="32"/>
          <w:szCs w:val="32"/>
          <w:highlight w:val="none"/>
          <w:lang w:val="en-US" w:eastAsia="zh-CN"/>
        </w:rPr>
        <w:t>要求（若有附件，可在附件中体现）</w:t>
      </w:r>
    </w:p>
    <w:p>
      <w:pPr>
        <w:adjustRightInd w:val="0"/>
        <w:snapToGrid w:val="0"/>
        <w:spacing w:before="150" w:line="590" w:lineRule="exact"/>
        <w:ind w:firstLine="48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、合同签订：中标人在接到中标通知后3天内，应派代表与招标人联系，商讨签订合同事宜。</w:t>
      </w:r>
    </w:p>
    <w:p>
      <w:pPr>
        <w:adjustRightInd w:val="0"/>
        <w:snapToGrid w:val="0"/>
        <w:spacing w:before="150" w:line="590" w:lineRule="exact"/>
        <w:ind w:firstLine="480"/>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2、如付款方式与条件等</w:t>
      </w:r>
    </w:p>
    <w:p>
      <w:pPr>
        <w:adjustRightInd w:val="0"/>
        <w:snapToGrid w:val="0"/>
        <w:spacing w:before="150" w:line="590" w:lineRule="exact"/>
        <w:ind w:firstLine="480"/>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十、联系方式</w:t>
      </w:r>
    </w:p>
    <w:p>
      <w:pPr>
        <w:adjustRightInd w:val="0"/>
        <w:snapToGrid w:val="0"/>
        <w:spacing w:before="150" w:line="59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凡有意参加投标者，请于202</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lang w:val="en-US" w:eastAsia="zh-CN"/>
        </w:rPr>
        <w:t>12</w:t>
      </w:r>
      <w:r>
        <w:rPr>
          <w:rFonts w:hint="eastAsia" w:ascii="仿宋_GB2312" w:hAnsi="仿宋_GB2312" w:eastAsia="仿宋_GB2312" w:cs="仿宋_GB2312"/>
          <w:color w:val="000000"/>
          <w:sz w:val="32"/>
          <w:szCs w:val="32"/>
          <w:highlight w:val="none"/>
        </w:rPr>
        <w:t>月</w:t>
      </w: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日至 202</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lang w:val="en-US" w:eastAsia="zh-CN"/>
        </w:rPr>
        <w:t>12</w:t>
      </w:r>
      <w:r>
        <w:rPr>
          <w:rFonts w:hint="eastAsia" w:ascii="仿宋_GB2312" w:hAnsi="仿宋_GB2312" w:eastAsia="仿宋_GB2312" w:cs="仿宋_GB2312"/>
          <w:color w:val="000000"/>
          <w:sz w:val="32"/>
          <w:szCs w:val="32"/>
          <w:highlight w:val="none"/>
        </w:rPr>
        <w:t>月</w:t>
      </w:r>
      <w:r>
        <w:rPr>
          <w:rFonts w:hint="eastAsia" w:ascii="仿宋_GB2312" w:hAnsi="仿宋_GB2312" w:eastAsia="仿宋_GB2312" w:cs="仿宋_GB2312"/>
          <w:color w:val="000000"/>
          <w:sz w:val="32"/>
          <w:szCs w:val="32"/>
          <w:highlight w:val="none"/>
          <w:lang w:val="en-US" w:eastAsia="zh-CN"/>
        </w:rPr>
        <w:t>8</w:t>
      </w:r>
      <w:r>
        <w:rPr>
          <w:rFonts w:hint="eastAsia" w:ascii="仿宋_GB2312" w:hAnsi="仿宋_GB2312" w:eastAsia="仿宋_GB2312" w:cs="仿宋_GB2312"/>
          <w:color w:val="000000"/>
          <w:sz w:val="32"/>
          <w:szCs w:val="32"/>
          <w:highlight w:val="none"/>
        </w:rPr>
        <w:t>日(节假日除外)8：00-12：00或14：00-17：00，携带加盖公章的营业执照复印件、介绍信前往福建省肿瘤医院</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lang w:val="en-US" w:eastAsia="zh-CN"/>
        </w:rPr>
        <w:t>网络技术中心</w:t>
      </w:r>
      <w:r>
        <w:rPr>
          <w:rFonts w:hint="eastAsia" w:ascii="仿宋_GB2312" w:hAnsi="仿宋_GB2312" w:eastAsia="仿宋_GB2312" w:cs="仿宋_GB2312"/>
          <w:color w:val="000000"/>
          <w:sz w:val="32"/>
          <w:szCs w:val="32"/>
          <w:highlight w:val="none"/>
        </w:rPr>
        <w:t>报名。</w:t>
      </w:r>
    </w:p>
    <w:p>
      <w:pPr>
        <w:adjustRightInd w:val="0"/>
        <w:snapToGrid w:val="0"/>
        <w:spacing w:before="150" w:line="59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项目联系人：</w:t>
      </w:r>
      <w:r>
        <w:rPr>
          <w:rFonts w:hint="eastAsia" w:ascii="仿宋_GB2312" w:hAnsi="仿宋_GB2312" w:eastAsia="仿宋_GB2312" w:cs="仿宋_GB2312"/>
          <w:color w:val="000000"/>
          <w:sz w:val="32"/>
          <w:szCs w:val="32"/>
          <w:highlight w:val="none"/>
          <w:lang w:val="en-US" w:eastAsia="zh-CN"/>
        </w:rPr>
        <w:t>金工</w:t>
      </w:r>
      <w:r>
        <w:rPr>
          <w:rFonts w:hint="eastAsia" w:ascii="仿宋_GB2312" w:hAnsi="仿宋_GB2312" w:eastAsia="仿宋_GB2312" w:cs="仿宋_GB2312"/>
          <w:color w:val="000000"/>
          <w:sz w:val="32"/>
          <w:szCs w:val="32"/>
          <w:highlight w:val="none"/>
        </w:rPr>
        <w:t xml:space="preserve">         联系电话： 0591-</w:t>
      </w:r>
      <w:r>
        <w:rPr>
          <w:rFonts w:hint="eastAsia" w:ascii="仿宋_GB2312" w:hAnsi="仿宋_GB2312" w:eastAsia="仿宋_GB2312" w:cs="仿宋_GB2312"/>
          <w:color w:val="000000"/>
          <w:sz w:val="32"/>
          <w:szCs w:val="32"/>
          <w:highlight w:val="none"/>
          <w:lang w:val="en-US" w:eastAsia="zh-CN"/>
        </w:rPr>
        <w:t>83660063-8822</w:t>
      </w:r>
    </w:p>
    <w:p>
      <w:pPr>
        <w:numPr>
          <w:ilvl w:val="0"/>
          <w:numId w:val="3"/>
        </w:numPr>
        <w:adjustRightInd w:val="0"/>
        <w:snapToGrid w:val="0"/>
        <w:spacing w:before="150" w:line="590" w:lineRule="exact"/>
        <w:ind w:firstLine="640" w:firstLineChars="200"/>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 xml:space="preserve">监督电话 </w:t>
      </w:r>
    </w:p>
    <w:p>
      <w:pPr>
        <w:adjustRightInd w:val="0"/>
        <w:snapToGrid w:val="0"/>
        <w:spacing w:before="150" w:line="590" w:lineRule="exact"/>
        <w:ind w:firstLine="640" w:firstLineChars="200"/>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采购报名、采购调研等采购过程中有任何异议，可联系我院监督科室。电话：83660063-8407；83660063-8467</w:t>
      </w:r>
      <w:r>
        <w:rPr>
          <w:rFonts w:hint="eastAsia" w:ascii="仿宋_GB2312" w:hAnsi="仿宋_GB2312" w:eastAsia="仿宋_GB2312" w:cs="仿宋_GB2312"/>
          <w:color w:val="000000"/>
          <w:sz w:val="32"/>
          <w:szCs w:val="32"/>
          <w:highlight w:val="none"/>
          <w:lang w:eastAsia="zh-CN"/>
        </w:rPr>
        <w:t>。</w:t>
      </w:r>
    </w:p>
    <w:p>
      <w:pPr>
        <w:adjustRightInd w:val="0"/>
        <w:snapToGrid w:val="0"/>
        <w:spacing w:before="150" w:line="590" w:lineRule="exact"/>
        <w:ind w:firstLine="48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 xml:space="preserve"> </w:t>
      </w:r>
    </w:p>
    <w:p>
      <w:pPr>
        <w:adjustRightInd w:val="0"/>
        <w:snapToGrid w:val="0"/>
        <w:spacing w:before="150" w:line="590" w:lineRule="exact"/>
        <w:ind w:firstLine="480"/>
        <w:rPr>
          <w:rFonts w:hint="eastAsia" w:ascii="仿宋_GB2312" w:hAnsi="仿宋_GB2312" w:eastAsia="仿宋_GB2312" w:cs="仿宋_GB2312"/>
          <w:color w:val="000000"/>
          <w:sz w:val="32"/>
          <w:szCs w:val="32"/>
          <w:highlight w:val="none"/>
          <w:lang w:val="en-US" w:eastAsia="zh-CN"/>
        </w:rPr>
      </w:pPr>
      <w:bookmarkStart w:id="0" w:name="_GoBack"/>
      <w:bookmarkEnd w:id="0"/>
      <w:r>
        <w:rPr>
          <w:rFonts w:hint="eastAsia" w:ascii="仿宋_GB2312" w:hAnsi="仿宋_GB2312" w:eastAsia="仿宋_GB2312" w:cs="仿宋_GB2312"/>
          <w:color w:val="000000"/>
          <w:sz w:val="32"/>
          <w:szCs w:val="32"/>
          <w:highlight w:val="none"/>
          <w:lang w:val="en-US" w:eastAsia="zh-CN"/>
        </w:rPr>
        <w:t>附件（招标内容及要求）</w:t>
      </w:r>
    </w:p>
    <w:p>
      <w:pPr>
        <w:adjustRightInd w:val="0"/>
        <w:snapToGrid w:val="0"/>
        <w:spacing w:before="150" w:line="590" w:lineRule="exact"/>
        <w:ind w:firstLine="480"/>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技术和服务要求</w:t>
      </w:r>
    </w:p>
    <w:p>
      <w:pPr>
        <w:adjustRightInd w:val="0"/>
        <w:snapToGrid w:val="0"/>
        <w:spacing w:before="150" w:line="590" w:lineRule="exact"/>
        <w:ind w:firstLine="480"/>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（一）技术要求</w:t>
      </w:r>
    </w:p>
    <w:p>
      <w:pPr>
        <w:adjustRightInd w:val="0"/>
        <w:snapToGrid w:val="0"/>
        <w:spacing w:before="150" w:line="590" w:lineRule="exact"/>
        <w:ind w:firstLine="48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投标人需提供1069的端口，满足7*24小时短信发送及实时状态报告与上行服务；同时也需提供1主3备短信端口，能对短信下发情况进行实时监控，在当前短信端口异常时能及时监控预警告知并实现自动切换至备用端口功能。</w:t>
      </w:r>
    </w:p>
    <w:p>
      <w:pPr>
        <w:adjustRightInd w:val="0"/>
        <w:snapToGrid w:val="0"/>
        <w:spacing w:before="150" w:line="590" w:lineRule="exact"/>
        <w:ind w:firstLine="48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2、短信平台须采用本地化部署，通过内网方式实现对接。提供内网中短信提交及与各个业务系统短信接口对接服务；</w:t>
      </w:r>
      <w:r>
        <w:rPr>
          <w:rFonts w:hint="eastAsia" w:ascii="仿宋_GB2312" w:hAnsi="仿宋_GB2312" w:eastAsia="仿宋_GB2312" w:cs="仿宋_GB2312"/>
          <w:color w:val="000000"/>
          <w:sz w:val="32"/>
          <w:szCs w:val="32"/>
          <w:highlight w:val="none"/>
          <w:lang w:val="en-US" w:eastAsia="zh-CN"/>
        </w:rPr>
        <w:cr/>
      </w:r>
      <w:r>
        <w:rPr>
          <w:rFonts w:hint="eastAsia" w:ascii="仿宋_GB2312" w:hAnsi="仿宋_GB2312" w:eastAsia="仿宋_GB2312" w:cs="仿宋_GB2312"/>
          <w:color w:val="000000"/>
          <w:sz w:val="32"/>
          <w:szCs w:val="32"/>
          <w:highlight w:val="none"/>
          <w:lang w:val="en-US" w:eastAsia="zh-CN"/>
        </w:rPr>
        <w:tab/>
      </w:r>
      <w:r>
        <w:rPr>
          <w:rFonts w:hint="eastAsia" w:ascii="仿宋_GB2312" w:hAnsi="仿宋_GB2312" w:eastAsia="仿宋_GB2312" w:cs="仿宋_GB2312"/>
          <w:color w:val="000000"/>
          <w:sz w:val="32"/>
          <w:szCs w:val="32"/>
          <w:highlight w:val="none"/>
          <w:lang w:val="en-US" w:eastAsia="zh-CN"/>
        </w:rPr>
        <w:t>3、本地化部署的短信平台须综合提供短信接口、WEB发送及管理平台、短信发送网关、异常告警监控功能，提供web页面、webservice、db等接口调用等短信发送方式。</w:t>
      </w:r>
      <w:r>
        <w:rPr>
          <w:rFonts w:hint="eastAsia" w:ascii="仿宋_GB2312" w:hAnsi="仿宋_GB2312" w:eastAsia="仿宋_GB2312" w:cs="仿宋_GB2312"/>
          <w:color w:val="000000"/>
          <w:sz w:val="32"/>
          <w:szCs w:val="32"/>
          <w:highlight w:val="none"/>
          <w:lang w:val="en-US" w:eastAsia="zh-CN"/>
        </w:rPr>
        <w:cr/>
      </w:r>
      <w:r>
        <w:rPr>
          <w:rFonts w:hint="eastAsia" w:ascii="仿宋_GB2312" w:hAnsi="仿宋_GB2312" w:eastAsia="仿宋_GB2312" w:cs="仿宋_GB2312"/>
          <w:color w:val="000000"/>
          <w:sz w:val="32"/>
          <w:szCs w:val="32"/>
          <w:highlight w:val="none"/>
          <w:lang w:val="en-US" w:eastAsia="zh-CN"/>
        </w:rPr>
        <w:tab/>
      </w:r>
      <w:r>
        <w:rPr>
          <w:rFonts w:hint="eastAsia" w:ascii="仿宋_GB2312" w:hAnsi="仿宋_GB2312" w:eastAsia="仿宋_GB2312" w:cs="仿宋_GB2312"/>
          <w:color w:val="000000"/>
          <w:sz w:val="32"/>
          <w:szCs w:val="32"/>
          <w:highlight w:val="none"/>
          <w:lang w:val="en-US" w:eastAsia="zh-CN"/>
        </w:rPr>
        <w:t>4、WEB平台应具有短信发送及查询、通讯录管理、短信定时发送、报表统计、上行短信查询、发送失败短信查询、权限管理、敏感词过滤、黑名单等功能。</w:t>
      </w:r>
    </w:p>
    <w:p>
      <w:pPr>
        <w:adjustRightInd w:val="0"/>
        <w:snapToGrid w:val="0"/>
        <w:spacing w:before="150" w:line="590" w:lineRule="exact"/>
        <w:ind w:firstLine="420" w:firstLineChars="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5、报表统计：自动生成短信日报、周报、月报。须支持按子帐号，按部门机构进行生成。</w:t>
      </w:r>
      <w:r>
        <w:rPr>
          <w:rFonts w:hint="eastAsia" w:ascii="仿宋_GB2312" w:hAnsi="仿宋_GB2312" w:eastAsia="仿宋_GB2312" w:cs="仿宋_GB2312"/>
          <w:color w:val="000000"/>
          <w:sz w:val="32"/>
          <w:szCs w:val="32"/>
          <w:highlight w:val="none"/>
          <w:lang w:val="en-US" w:eastAsia="zh-CN"/>
        </w:rPr>
        <w:cr/>
      </w:r>
      <w:r>
        <w:rPr>
          <w:rFonts w:hint="eastAsia" w:ascii="仿宋_GB2312" w:hAnsi="仿宋_GB2312" w:eastAsia="仿宋_GB2312" w:cs="仿宋_GB2312"/>
          <w:color w:val="000000"/>
          <w:sz w:val="32"/>
          <w:szCs w:val="32"/>
          <w:highlight w:val="none"/>
          <w:lang w:val="en-US" w:eastAsia="zh-CN"/>
        </w:rPr>
        <w:tab/>
      </w:r>
      <w:r>
        <w:rPr>
          <w:rFonts w:hint="eastAsia" w:ascii="仿宋_GB2312" w:hAnsi="仿宋_GB2312" w:eastAsia="仿宋_GB2312" w:cs="仿宋_GB2312"/>
          <w:color w:val="000000"/>
          <w:sz w:val="32"/>
          <w:szCs w:val="32"/>
          <w:highlight w:val="none"/>
          <w:lang w:val="en-US" w:eastAsia="zh-CN"/>
        </w:rPr>
        <w:t>6、权限管理：用户管理、角色管理、功能授权。</w:t>
      </w:r>
      <w:r>
        <w:rPr>
          <w:rFonts w:hint="eastAsia" w:ascii="仿宋_GB2312" w:hAnsi="仿宋_GB2312" w:eastAsia="仿宋_GB2312" w:cs="仿宋_GB2312"/>
          <w:color w:val="000000"/>
          <w:sz w:val="32"/>
          <w:szCs w:val="32"/>
          <w:highlight w:val="none"/>
          <w:lang w:val="en-US" w:eastAsia="zh-CN"/>
        </w:rPr>
        <w:cr/>
      </w:r>
      <w:r>
        <w:rPr>
          <w:rFonts w:hint="eastAsia" w:ascii="仿宋_GB2312" w:hAnsi="仿宋_GB2312" w:eastAsia="仿宋_GB2312" w:cs="仿宋_GB2312"/>
          <w:color w:val="000000"/>
          <w:sz w:val="32"/>
          <w:szCs w:val="32"/>
          <w:highlight w:val="none"/>
          <w:lang w:val="en-US" w:eastAsia="zh-CN"/>
        </w:rPr>
        <w:tab/>
      </w:r>
      <w:r>
        <w:rPr>
          <w:rFonts w:hint="eastAsia" w:ascii="仿宋_GB2312" w:hAnsi="仿宋_GB2312" w:eastAsia="仿宋_GB2312" w:cs="仿宋_GB2312"/>
          <w:color w:val="000000"/>
          <w:sz w:val="32"/>
          <w:szCs w:val="32"/>
          <w:highlight w:val="none"/>
          <w:lang w:val="en-US" w:eastAsia="zh-CN"/>
        </w:rPr>
        <w:t>7、平台可开设不同权限的子账户，且单独计费。</w:t>
      </w:r>
      <w:r>
        <w:rPr>
          <w:rFonts w:hint="eastAsia" w:ascii="仿宋_GB2312" w:hAnsi="仿宋_GB2312" w:eastAsia="仿宋_GB2312" w:cs="仿宋_GB2312"/>
          <w:color w:val="000000"/>
          <w:sz w:val="32"/>
          <w:szCs w:val="32"/>
          <w:highlight w:val="none"/>
          <w:lang w:val="en-US" w:eastAsia="zh-CN"/>
        </w:rPr>
        <w:cr/>
      </w:r>
      <w:r>
        <w:rPr>
          <w:rFonts w:hint="eastAsia" w:ascii="仿宋_GB2312" w:hAnsi="仿宋_GB2312" w:eastAsia="仿宋_GB2312" w:cs="仿宋_GB2312"/>
          <w:color w:val="000000"/>
          <w:sz w:val="32"/>
          <w:szCs w:val="32"/>
          <w:highlight w:val="none"/>
          <w:lang w:val="en-US" w:eastAsia="zh-CN"/>
        </w:rPr>
        <w:tab/>
      </w:r>
      <w:r>
        <w:rPr>
          <w:rFonts w:hint="eastAsia" w:ascii="仿宋_GB2312" w:hAnsi="仿宋_GB2312" w:eastAsia="仿宋_GB2312" w:cs="仿宋_GB2312"/>
          <w:color w:val="000000"/>
          <w:sz w:val="32"/>
          <w:szCs w:val="32"/>
          <w:highlight w:val="none"/>
          <w:lang w:val="en-US" w:eastAsia="zh-CN"/>
        </w:rPr>
        <w:t>8、上行短信：上行短信需与下行短信有正确的对应关系，可在WEB页面查询对应关系。</w:t>
      </w:r>
      <w:r>
        <w:rPr>
          <w:rFonts w:hint="eastAsia" w:ascii="仿宋_GB2312" w:hAnsi="仿宋_GB2312" w:eastAsia="仿宋_GB2312" w:cs="仿宋_GB2312"/>
          <w:color w:val="000000"/>
          <w:sz w:val="32"/>
          <w:szCs w:val="32"/>
          <w:highlight w:val="none"/>
          <w:lang w:val="en-US" w:eastAsia="zh-CN"/>
        </w:rPr>
        <w:cr/>
      </w:r>
      <w:r>
        <w:rPr>
          <w:rFonts w:hint="eastAsia" w:ascii="仿宋_GB2312" w:hAnsi="仿宋_GB2312" w:eastAsia="仿宋_GB2312" w:cs="仿宋_GB2312"/>
          <w:color w:val="000000"/>
          <w:sz w:val="32"/>
          <w:szCs w:val="32"/>
          <w:highlight w:val="none"/>
          <w:lang w:val="en-US" w:eastAsia="zh-CN"/>
        </w:rPr>
        <w:tab/>
      </w:r>
      <w:r>
        <w:rPr>
          <w:rFonts w:hint="eastAsia" w:ascii="仿宋_GB2312" w:hAnsi="仿宋_GB2312" w:eastAsia="仿宋_GB2312" w:cs="仿宋_GB2312"/>
          <w:color w:val="000000"/>
          <w:sz w:val="32"/>
          <w:szCs w:val="32"/>
          <w:highlight w:val="none"/>
          <w:lang w:val="en-US" w:eastAsia="zh-CN"/>
        </w:rPr>
        <w:t>9、在排除运营商故障、客户停机、黑名单、工信部规定的敏感字眼等因素以外，短信成功率需达到99.9%以上。</w:t>
      </w:r>
      <w:r>
        <w:rPr>
          <w:rFonts w:hint="eastAsia" w:ascii="仿宋_GB2312" w:hAnsi="仿宋_GB2312" w:eastAsia="仿宋_GB2312" w:cs="仿宋_GB2312"/>
          <w:color w:val="000000"/>
          <w:sz w:val="32"/>
          <w:szCs w:val="32"/>
          <w:highlight w:val="none"/>
          <w:lang w:val="en-US" w:eastAsia="zh-CN"/>
        </w:rPr>
        <w:cr/>
      </w:r>
      <w:r>
        <w:rPr>
          <w:rFonts w:hint="eastAsia" w:ascii="仿宋_GB2312" w:hAnsi="仿宋_GB2312" w:eastAsia="仿宋_GB2312" w:cs="仿宋_GB2312"/>
          <w:color w:val="000000"/>
          <w:sz w:val="32"/>
          <w:szCs w:val="32"/>
          <w:highlight w:val="none"/>
          <w:lang w:val="en-US" w:eastAsia="zh-CN"/>
        </w:rPr>
        <w:tab/>
      </w:r>
      <w:r>
        <w:rPr>
          <w:rFonts w:hint="eastAsia" w:ascii="仿宋_GB2312" w:hAnsi="仿宋_GB2312" w:eastAsia="仿宋_GB2312" w:cs="仿宋_GB2312"/>
          <w:color w:val="000000"/>
          <w:sz w:val="32"/>
          <w:szCs w:val="32"/>
          <w:highlight w:val="none"/>
          <w:lang w:val="en-US" w:eastAsia="zh-CN"/>
        </w:rPr>
        <w:t>10、短信网关提交短信后，排除运营商故障的情况下，短信应该30秒时间内送达。</w:t>
      </w:r>
      <w:r>
        <w:rPr>
          <w:rFonts w:hint="eastAsia" w:ascii="仿宋_GB2312" w:hAnsi="仿宋_GB2312" w:eastAsia="仿宋_GB2312" w:cs="仿宋_GB2312"/>
          <w:color w:val="000000"/>
          <w:sz w:val="32"/>
          <w:szCs w:val="32"/>
          <w:highlight w:val="none"/>
          <w:lang w:val="en-US" w:eastAsia="zh-CN"/>
        </w:rPr>
        <w:cr/>
      </w:r>
      <w:r>
        <w:rPr>
          <w:rFonts w:hint="eastAsia" w:ascii="仿宋_GB2312" w:hAnsi="仿宋_GB2312" w:eastAsia="仿宋_GB2312" w:cs="仿宋_GB2312"/>
          <w:color w:val="000000"/>
          <w:sz w:val="32"/>
          <w:szCs w:val="32"/>
          <w:highlight w:val="none"/>
          <w:lang w:val="en-US" w:eastAsia="zh-CN"/>
        </w:rPr>
        <w:tab/>
      </w:r>
      <w:r>
        <w:rPr>
          <w:rFonts w:hint="eastAsia" w:ascii="仿宋_GB2312" w:hAnsi="仿宋_GB2312" w:eastAsia="仿宋_GB2312" w:cs="仿宋_GB2312"/>
          <w:color w:val="000000"/>
          <w:sz w:val="32"/>
          <w:szCs w:val="32"/>
          <w:highlight w:val="none"/>
          <w:lang w:val="en-US" w:eastAsia="zh-CN"/>
        </w:rPr>
        <w:t>11、供应商提供短信网关中断告警机制，即短信网关完全宕机（发不出短信）时，有短信（从其他渠道发送）、邮件或者其他形式的通知发送至双方运维人员。</w:t>
      </w:r>
      <w:r>
        <w:rPr>
          <w:rFonts w:hint="eastAsia" w:ascii="仿宋_GB2312" w:hAnsi="仿宋_GB2312" w:eastAsia="仿宋_GB2312" w:cs="仿宋_GB2312"/>
          <w:color w:val="000000"/>
          <w:sz w:val="32"/>
          <w:szCs w:val="32"/>
          <w:highlight w:val="none"/>
          <w:lang w:val="en-US" w:eastAsia="zh-CN"/>
        </w:rPr>
        <w:cr/>
      </w:r>
      <w:r>
        <w:rPr>
          <w:rFonts w:hint="eastAsia" w:ascii="仿宋_GB2312" w:hAnsi="仿宋_GB2312" w:eastAsia="仿宋_GB2312" w:cs="仿宋_GB2312"/>
          <w:color w:val="000000"/>
          <w:sz w:val="32"/>
          <w:szCs w:val="32"/>
          <w:highlight w:val="none"/>
          <w:lang w:val="en-US" w:eastAsia="zh-CN"/>
        </w:rPr>
        <w:tab/>
      </w:r>
      <w:r>
        <w:rPr>
          <w:rFonts w:hint="eastAsia" w:ascii="仿宋_GB2312" w:hAnsi="仿宋_GB2312" w:eastAsia="仿宋_GB2312" w:cs="仿宋_GB2312"/>
          <w:color w:val="000000"/>
          <w:sz w:val="32"/>
          <w:szCs w:val="32"/>
          <w:highlight w:val="none"/>
          <w:lang w:val="en-US" w:eastAsia="zh-CN"/>
        </w:rPr>
        <w:t>12、搭建院内短信平台且可与运营商短信平台无缝对接。</w:t>
      </w:r>
    </w:p>
    <w:p>
      <w:pPr>
        <w:adjustRightInd w:val="0"/>
        <w:snapToGrid w:val="0"/>
        <w:spacing w:before="150" w:line="590" w:lineRule="exact"/>
        <w:ind w:firstLine="420" w:firstLineChars="0"/>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13、短信头部我院企业签名部分支持自定义，并可依我院要求随时进行修改。</w:t>
      </w:r>
    </w:p>
    <w:p>
      <w:pPr>
        <w:adjustRightInd w:val="0"/>
        <w:snapToGrid w:val="0"/>
        <w:spacing w:before="150" w:line="590" w:lineRule="exact"/>
        <w:ind w:firstLine="420" w:firstLineChars="0"/>
        <w:rPr>
          <w:rFonts w:hint="default"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14、短信条数计费标准：短信字数≤70个字符的按一条计费，字数＞70个字符的短信，超过70个字符后每67个字符按一条计费，单个标点、符号、阿拉伯数字、字母、汉字等均按一个字计算。</w:t>
      </w:r>
    </w:p>
    <w:p>
      <w:pPr>
        <w:adjustRightInd w:val="0"/>
        <w:snapToGrid w:val="0"/>
        <w:spacing w:before="150" w:line="590" w:lineRule="exact"/>
        <w:ind w:firstLine="480"/>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（二）服务要求</w:t>
      </w:r>
    </w:p>
    <w:p>
      <w:pPr>
        <w:adjustRightInd w:val="0"/>
        <w:snapToGrid w:val="0"/>
        <w:spacing w:before="150" w:line="590" w:lineRule="exact"/>
        <w:ind w:firstLine="480"/>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b w:val="0"/>
          <w:bCs w:val="0"/>
          <w:color w:val="000000"/>
          <w:kern w:val="2"/>
          <w:sz w:val="32"/>
          <w:szCs w:val="32"/>
          <w:highlight w:val="none"/>
          <w:lang w:val="en-US" w:eastAsia="zh-CN" w:bidi="ar-SA"/>
        </w:rPr>
        <w:t>能实现与我院门诊预约平台、院内信息系统等其他接入系统的无缝对接，不增加额外的项目对接费用。</w:t>
      </w:r>
    </w:p>
    <w:p>
      <w:pPr>
        <w:adjustRightInd w:val="0"/>
        <w:snapToGrid w:val="0"/>
        <w:spacing w:before="150" w:line="590" w:lineRule="exact"/>
        <w:ind w:firstLine="480"/>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2、提供7*24小时技术支持，及时响应相关问题。</w:t>
      </w:r>
    </w:p>
    <w:p>
      <w:pPr>
        <w:adjustRightInd w:val="0"/>
        <w:snapToGrid w:val="0"/>
        <w:spacing w:before="150" w:line="590" w:lineRule="exact"/>
        <w:ind w:firstLine="480"/>
        <w:rPr>
          <w:rFonts w:hint="eastAsia" w:ascii="仿宋_GB2312" w:hAnsi="仿宋_GB2312" w:eastAsia="仿宋_GB2312" w:cs="仿宋_GB2312"/>
          <w:color w:val="000000"/>
          <w:sz w:val="32"/>
          <w:szCs w:val="32"/>
          <w:highlight w:val="none"/>
          <w:lang w:val="en-US" w:eastAsia="zh-CN"/>
        </w:rPr>
      </w:pPr>
    </w:p>
    <w:p>
      <w:pPr>
        <w:adjustRightInd w:val="0"/>
        <w:snapToGrid w:val="0"/>
        <w:spacing w:before="150" w:line="590" w:lineRule="exact"/>
        <w:ind w:firstLine="48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备注：附件或招</w:t>
      </w:r>
      <w:r>
        <w:rPr>
          <w:rFonts w:hint="eastAsia" w:ascii="仿宋_GB2312" w:hAnsi="仿宋_GB2312" w:eastAsia="仿宋_GB2312" w:cs="仿宋_GB2312"/>
          <w:color w:val="auto"/>
          <w:sz w:val="32"/>
          <w:szCs w:val="32"/>
          <w:highlight w:val="none"/>
          <w:lang w:val="en-US" w:eastAsia="zh-CN"/>
        </w:rPr>
        <w:t>标内容及要求填写技术规格需求、评分标准验收标准、安装及调试、培训要求、质量保证、售后服务要求、技术资料要求、备品备件、交货期、付款方式及主要合同条款）。</w:t>
      </w:r>
    </w:p>
    <w:p>
      <w:pPr>
        <w:pStyle w:val="4"/>
        <w:adjustRightInd w:val="0"/>
        <w:snapToGrid w:val="0"/>
        <w:spacing w:line="590" w:lineRule="exact"/>
        <w:ind w:firstLine="0"/>
        <w:jc w:val="center"/>
        <w:rPr>
          <w:rFonts w:hint="eastAsia" w:ascii="仿宋_GB2312" w:hAnsi="仿宋_GB2312" w:eastAsia="仿宋_GB2312" w:cs="仿宋_GB2312"/>
          <w:b/>
          <w:sz w:val="32"/>
          <w:szCs w:val="32"/>
          <w:highlight w:val="none"/>
        </w:rPr>
      </w:pPr>
    </w:p>
    <w:p>
      <w:pPr>
        <w:pStyle w:val="4"/>
        <w:adjustRightInd w:val="0"/>
        <w:snapToGrid w:val="0"/>
        <w:spacing w:line="590" w:lineRule="exact"/>
        <w:ind w:firstLine="0"/>
        <w:jc w:val="center"/>
        <w:rPr>
          <w:rFonts w:hint="eastAsia" w:ascii="仿宋_GB2312" w:hAnsi="仿宋_GB2312" w:eastAsia="仿宋_GB2312" w:cs="仿宋_GB2312"/>
          <w:b/>
          <w:sz w:val="32"/>
          <w:szCs w:val="32"/>
          <w:highlight w:val="none"/>
        </w:rPr>
      </w:pPr>
    </w:p>
    <w:p>
      <w:pPr>
        <w:pStyle w:val="4"/>
        <w:adjustRightInd w:val="0"/>
        <w:snapToGrid w:val="0"/>
        <w:spacing w:line="590" w:lineRule="exact"/>
        <w:ind w:firstLine="0"/>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br w:type="page"/>
      </w:r>
    </w:p>
    <w:p>
      <w:pPr>
        <w:pStyle w:val="4"/>
        <w:adjustRightInd w:val="0"/>
        <w:snapToGrid w:val="0"/>
        <w:spacing w:line="590" w:lineRule="exact"/>
        <w:ind w:firstLine="0"/>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一、投标书</w:t>
      </w:r>
    </w:p>
    <w:p>
      <w:pPr>
        <w:adjustRightInd w:val="0"/>
        <w:snapToGrid w:val="0"/>
        <w:spacing w:line="59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致：福建省肿瘤医院</w:t>
      </w:r>
    </w:p>
    <w:p>
      <w:pPr>
        <w:adjustRightInd w:val="0"/>
        <w:snapToGrid w:val="0"/>
        <w:spacing w:line="59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1、根据你方项目的投标须知、招标文件等内容，遵照《中华人民共和国招标投标法》等有关规定，经踏勘项目现场和研究上述招标文件的投标须知、条款、数量清单及其他有关文件后，我方愿以人民币（大写）</w:t>
      </w:r>
      <w:r>
        <w:rPr>
          <w:rFonts w:hint="eastAsia" w:ascii="仿宋_GB2312" w:hAnsi="仿宋_GB2312" w:eastAsia="仿宋_GB2312" w:cs="仿宋_GB2312"/>
          <w:b/>
          <w:sz w:val="32"/>
          <w:szCs w:val="32"/>
          <w:highlight w:val="none"/>
          <w:u w:val="single"/>
        </w:rPr>
        <w:t xml:space="preserve">：      </w:t>
      </w:r>
      <w:r>
        <w:rPr>
          <w:rFonts w:hint="eastAsia" w:ascii="仿宋_GB2312" w:hAnsi="仿宋_GB2312" w:eastAsia="仿宋_GB2312" w:cs="仿宋_GB2312"/>
          <w:sz w:val="32"/>
          <w:szCs w:val="32"/>
          <w:highlight w:val="none"/>
          <w:u w:val="single"/>
        </w:rPr>
        <w:t xml:space="preserve">  （小写：           ）</w:t>
      </w:r>
      <w:r>
        <w:rPr>
          <w:rFonts w:hint="eastAsia" w:ascii="仿宋_GB2312" w:hAnsi="仿宋_GB2312" w:eastAsia="仿宋_GB2312" w:cs="仿宋_GB2312"/>
          <w:sz w:val="32"/>
          <w:szCs w:val="32"/>
          <w:highlight w:val="none"/>
        </w:rPr>
        <w:t>的投标报价并按上述条款、标准要求承包上述项目，并承担任何质量缺陷保修责任。</w:t>
      </w:r>
    </w:p>
    <w:p>
      <w:pPr>
        <w:adjustRightInd w:val="0"/>
        <w:snapToGrid w:val="0"/>
        <w:spacing w:line="590" w:lineRule="exact"/>
        <w:ind w:firstLine="608" w:firstLineChars="19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2、我方已详细审核全部招标文件及有关附件。</w:t>
      </w:r>
    </w:p>
    <w:p>
      <w:pPr>
        <w:adjustRightInd w:val="0"/>
        <w:snapToGrid w:val="0"/>
        <w:spacing w:line="590" w:lineRule="exact"/>
        <w:ind w:firstLine="608" w:firstLineChars="19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3、一旦我方中标，我方保证质量达到</w:t>
      </w:r>
      <w:r>
        <w:rPr>
          <w:rFonts w:hint="eastAsia" w:ascii="仿宋_GB2312" w:hAnsi="仿宋_GB2312" w:eastAsia="仿宋_GB2312" w:cs="仿宋_GB2312"/>
          <w:b/>
          <w:sz w:val="32"/>
          <w:szCs w:val="32"/>
          <w:highlight w:val="none"/>
          <w:u w:val="single"/>
        </w:rPr>
        <w:t>投标须知、投标文件等规定</w:t>
      </w:r>
      <w:r>
        <w:rPr>
          <w:rFonts w:hint="eastAsia" w:ascii="仿宋_GB2312" w:hAnsi="仿宋_GB2312" w:eastAsia="仿宋_GB2312" w:cs="仿宋_GB2312"/>
          <w:sz w:val="32"/>
          <w:szCs w:val="32"/>
          <w:highlight w:val="none"/>
        </w:rPr>
        <w:t>标准。</w:t>
      </w:r>
    </w:p>
    <w:p>
      <w:pPr>
        <w:adjustRightInd w:val="0"/>
        <w:snapToGrid w:val="0"/>
        <w:spacing w:line="590" w:lineRule="exact"/>
        <w:ind w:firstLine="608" w:firstLineChars="19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4、我方同意所提交的投标文件在招标文件的投标须知中规定的投标有效期内有效，在此期间内如果中标，我方将受此约束。</w:t>
      </w:r>
    </w:p>
    <w:p>
      <w:pPr>
        <w:adjustRightInd w:val="0"/>
        <w:snapToGrid w:val="0"/>
        <w:spacing w:line="590" w:lineRule="exact"/>
        <w:ind w:firstLine="426"/>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5、除非另外达成协议并生效，你方的中标通知书和本投标文件将成为约束双方的合同文件的组成部分。</w:t>
      </w:r>
    </w:p>
    <w:p>
      <w:pPr>
        <w:adjustRightInd w:val="0"/>
        <w:snapToGrid w:val="0"/>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附件：报价清单</w:t>
      </w:r>
    </w:p>
    <w:p>
      <w:pPr>
        <w:adjustRightInd w:val="0"/>
        <w:snapToGrid w:val="0"/>
        <w:spacing w:line="590" w:lineRule="exact"/>
        <w:ind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投标人（盖章）： </w:t>
      </w:r>
    </w:p>
    <w:p>
      <w:pPr>
        <w:adjustRightInd w:val="0"/>
        <w:snapToGrid w:val="0"/>
        <w:spacing w:line="590" w:lineRule="exact"/>
        <w:ind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单位地址： </w:t>
      </w:r>
    </w:p>
    <w:p>
      <w:pPr>
        <w:adjustRightInd w:val="0"/>
        <w:snapToGrid w:val="0"/>
        <w:spacing w:line="590" w:lineRule="exact"/>
        <w:ind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法定代表人（签字或盖章）：</w:t>
      </w:r>
    </w:p>
    <w:p>
      <w:pPr>
        <w:adjustRightInd w:val="0"/>
        <w:snapToGrid w:val="0"/>
        <w:spacing w:line="590" w:lineRule="exact"/>
        <w:ind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邮政编码：         </w:t>
      </w:r>
    </w:p>
    <w:p>
      <w:pPr>
        <w:adjustRightInd w:val="0"/>
        <w:snapToGrid w:val="0"/>
        <w:spacing w:line="590" w:lineRule="exact"/>
        <w:ind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电话：       </w:t>
      </w:r>
    </w:p>
    <w:p>
      <w:pPr>
        <w:adjustRightInd w:val="0"/>
        <w:snapToGrid w:val="0"/>
        <w:spacing w:line="590" w:lineRule="exact"/>
        <w:ind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传真：  </w:t>
      </w:r>
    </w:p>
    <w:p>
      <w:pPr>
        <w:adjustRightInd w:val="0"/>
        <w:snapToGrid w:val="0"/>
        <w:spacing w:line="590" w:lineRule="exact"/>
        <w:ind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开户银行名称： </w:t>
      </w:r>
    </w:p>
    <w:p>
      <w:pPr>
        <w:adjustRightInd w:val="0"/>
        <w:snapToGrid w:val="0"/>
        <w:spacing w:line="590" w:lineRule="exact"/>
        <w:ind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开户银行帐号： </w:t>
      </w:r>
    </w:p>
    <w:p>
      <w:pPr>
        <w:adjustRightInd w:val="0"/>
        <w:snapToGrid w:val="0"/>
        <w:spacing w:line="59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开户银行地址：</w:t>
      </w:r>
    </w:p>
    <w:p>
      <w:pPr>
        <w:adjustRightInd w:val="0"/>
        <w:snapToGrid w:val="0"/>
        <w:spacing w:line="590" w:lineRule="exact"/>
        <w:ind w:firstLine="3680" w:firstLineChars="1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开户银行电话： </w:t>
      </w:r>
    </w:p>
    <w:p>
      <w:pPr>
        <w:adjustRightInd w:val="0"/>
        <w:snapToGrid w:val="0"/>
        <w:spacing w:line="590" w:lineRule="exact"/>
        <w:ind w:firstLine="600"/>
        <w:rPr>
          <w:rFonts w:hint="eastAsia" w:ascii="仿宋_GB2312" w:hAnsi="仿宋_GB2312" w:eastAsia="仿宋_GB2312" w:cs="仿宋_GB2312"/>
          <w:sz w:val="32"/>
          <w:szCs w:val="32"/>
          <w:highlight w:val="none"/>
        </w:rPr>
      </w:pPr>
    </w:p>
    <w:p>
      <w:pPr>
        <w:adjustRightInd w:val="0"/>
        <w:snapToGrid w:val="0"/>
        <w:spacing w:line="590" w:lineRule="exact"/>
        <w:jc w:val="righ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日期：   年   月    日</w:t>
      </w:r>
    </w:p>
    <w:p>
      <w:pPr>
        <w:adjustRightInd w:val="0"/>
        <w:snapToGrid w:val="0"/>
        <w:spacing w:line="590" w:lineRule="exact"/>
        <w:rPr>
          <w:rFonts w:hint="eastAsia" w:ascii="仿宋_GB2312" w:hAnsi="仿宋_GB2312" w:eastAsia="仿宋_GB2312" w:cs="仿宋_GB2312"/>
          <w:sz w:val="32"/>
          <w:szCs w:val="32"/>
          <w:highlight w:val="none"/>
        </w:rPr>
      </w:pPr>
    </w:p>
    <w:p>
      <w:pPr>
        <w:adjustRightInd w:val="0"/>
        <w:snapToGrid w:val="0"/>
        <w:spacing w:line="59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附件：投标报价清单</w:t>
      </w:r>
    </w:p>
    <w:p>
      <w:pPr>
        <w:adjustRightInd w:val="0"/>
        <w:snapToGrid w:val="0"/>
        <w:spacing w:line="590" w:lineRule="exact"/>
        <w:rPr>
          <w:rFonts w:hint="eastAsia" w:ascii="仿宋_GB2312" w:hAnsi="仿宋_GB2312" w:eastAsia="仿宋_GB2312" w:cs="仿宋_GB2312"/>
          <w:sz w:val="32"/>
          <w:szCs w:val="32"/>
          <w:highlight w:val="none"/>
        </w:rPr>
      </w:pPr>
    </w:p>
    <w:tbl>
      <w:tblPr>
        <w:tblW w:w="78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9"/>
        <w:gridCol w:w="4399"/>
        <w:gridCol w:w="1417"/>
        <w:gridCol w:w="1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000000" w:sz="4" w:space="0"/>
              <w:right w:val="single" w:color="auto" w:sz="4" w:space="0"/>
            </w:tcBorders>
            <w:shd w:val="clear" w:color="FFFFFF" w:fill="auto"/>
            <w:vAlign w:val="center"/>
          </w:tcPr>
          <w:p>
            <w:pPr>
              <w:adjustRightInd w:val="0"/>
              <w:snapToGrid w:val="0"/>
              <w:spacing w:line="590" w:lineRule="exact"/>
              <w:jc w:val="center"/>
              <w:rPr>
                <w:rFonts w:hint="eastAsia" w:ascii="仿宋_GB2312" w:hAnsi="仿宋_GB2312" w:eastAsia="仿宋_GB2312" w:cs="仿宋_GB2312"/>
                <w:sz w:val="32"/>
                <w:szCs w:val="32"/>
                <w:highlight w:val="none"/>
              </w:rPr>
            </w:pPr>
          </w:p>
        </w:tc>
        <w:tc>
          <w:tcPr>
            <w:tcW w:w="4399" w:type="dxa"/>
            <w:tcBorders>
              <w:top w:val="single" w:color="auto" w:sz="4" w:space="0"/>
              <w:left w:val="single" w:color="000000" w:sz="4" w:space="0"/>
              <w:bottom w:val="single" w:color="000000" w:sz="4" w:space="0"/>
              <w:right w:val="single" w:color="000000" w:sz="4" w:space="0"/>
            </w:tcBorders>
            <w:shd w:val="clear" w:color="FFFFFF" w:fill="auto"/>
            <w:vAlign w:val="center"/>
          </w:tcPr>
          <w:p>
            <w:pPr>
              <w:adjustRightInd w:val="0"/>
              <w:snapToGrid w:val="0"/>
              <w:spacing w:line="590" w:lineRule="exact"/>
              <w:jc w:val="center"/>
              <w:rPr>
                <w:rFonts w:hint="eastAsia" w:ascii="仿宋_GB2312" w:hAnsi="仿宋_GB2312" w:eastAsia="仿宋_GB2312" w:cs="仿宋_GB2312"/>
                <w:sz w:val="32"/>
                <w:szCs w:val="32"/>
                <w:highlight w:val="none"/>
              </w:rPr>
            </w:pPr>
          </w:p>
        </w:tc>
        <w:tc>
          <w:tcPr>
            <w:tcW w:w="1417" w:type="dxa"/>
            <w:tcBorders>
              <w:top w:val="single" w:color="auto" w:sz="4" w:space="0"/>
              <w:left w:val="single" w:color="000000" w:sz="4" w:space="0"/>
              <w:bottom w:val="single" w:color="000000" w:sz="4" w:space="0"/>
              <w:right w:val="single" w:color="auto" w:sz="4" w:space="0"/>
            </w:tcBorders>
            <w:shd w:val="clear" w:color="FFFFFF" w:fill="auto"/>
            <w:vAlign w:val="center"/>
          </w:tcPr>
          <w:p>
            <w:pPr>
              <w:adjustRightInd w:val="0"/>
              <w:snapToGrid w:val="0"/>
              <w:spacing w:line="590" w:lineRule="exact"/>
              <w:jc w:val="center"/>
              <w:rPr>
                <w:rFonts w:hint="eastAsia" w:ascii="仿宋_GB2312" w:hAnsi="仿宋_GB2312" w:eastAsia="仿宋_GB2312" w:cs="仿宋_GB2312"/>
                <w:sz w:val="32"/>
                <w:szCs w:val="32"/>
                <w:highlight w:val="none"/>
              </w:rPr>
            </w:pPr>
          </w:p>
        </w:tc>
        <w:tc>
          <w:tcPr>
            <w:tcW w:w="1440" w:type="dxa"/>
            <w:tcBorders>
              <w:top w:val="single" w:color="auto" w:sz="4" w:space="0"/>
              <w:left w:val="single" w:color="000000" w:sz="4" w:space="0"/>
              <w:bottom w:val="single" w:color="000000" w:sz="4" w:space="0"/>
              <w:right w:val="single" w:color="auto" w:sz="4" w:space="0"/>
            </w:tcBorders>
            <w:shd w:val="clear" w:color="FFFFFF" w:fill="auto"/>
            <w:vAlign w:val="center"/>
          </w:tcPr>
          <w:p>
            <w:pPr>
              <w:adjustRightInd w:val="0"/>
              <w:snapToGrid w:val="0"/>
              <w:spacing w:line="590" w:lineRule="exact"/>
              <w:jc w:val="center"/>
              <w:rPr>
                <w:rFonts w:hint="eastAsia" w:ascii="仿宋_GB2312" w:hAnsi="仿宋_GB2312" w:eastAsia="仿宋_GB2312" w:cs="仿宋_GB2312"/>
                <w:sz w:val="32"/>
                <w:szCs w:val="3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vAlign w:val="center"/>
          </w:tcPr>
          <w:p>
            <w:pPr>
              <w:adjustRightInd w:val="0"/>
              <w:snapToGrid w:val="0"/>
              <w:spacing w:line="590" w:lineRule="exact"/>
              <w:jc w:val="center"/>
              <w:rPr>
                <w:rFonts w:hint="eastAsia" w:ascii="仿宋_GB2312" w:hAnsi="仿宋_GB2312" w:eastAsia="仿宋_GB2312" w:cs="仿宋_GB2312"/>
                <w:sz w:val="32"/>
                <w:szCs w:val="32"/>
                <w:highlight w:val="none"/>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vAlign w:val="center"/>
          </w:tcPr>
          <w:p>
            <w:pPr>
              <w:pStyle w:val="10"/>
              <w:shd w:val="clear" w:color="auto" w:fill="FFFFFF"/>
              <w:adjustRightInd w:val="0"/>
              <w:snapToGrid w:val="0"/>
              <w:spacing w:line="590" w:lineRule="exact"/>
              <w:rPr>
                <w:rFonts w:hint="eastAsia" w:ascii="仿宋_GB2312" w:hAnsi="仿宋_GB2312" w:eastAsia="仿宋_GB2312" w:cs="仿宋_GB2312"/>
                <w:kern w:val="2"/>
                <w:sz w:val="32"/>
                <w:szCs w:val="32"/>
                <w:highlight w:val="none"/>
                <w:lang w:val="en-US" w:eastAsia="zh-CN"/>
              </w:rPr>
            </w:pPr>
          </w:p>
        </w:tc>
        <w:tc>
          <w:tcPr>
            <w:tcW w:w="1417" w:type="dxa"/>
            <w:tcBorders>
              <w:top w:val="single" w:color="auto" w:sz="4" w:space="0"/>
              <w:left w:val="single" w:color="000000" w:sz="4" w:space="0"/>
              <w:bottom w:val="single" w:color="auto" w:sz="4" w:space="0"/>
              <w:right w:val="single" w:color="auto" w:sz="4" w:space="0"/>
            </w:tcBorders>
            <w:shd w:val="clear" w:color="FFFFFF" w:fill="auto"/>
            <w:vAlign w:val="top"/>
          </w:tcPr>
          <w:p>
            <w:pPr>
              <w:adjustRightInd w:val="0"/>
              <w:snapToGrid w:val="0"/>
              <w:spacing w:line="590" w:lineRule="exact"/>
              <w:jc w:val="center"/>
              <w:rPr>
                <w:rFonts w:hint="eastAsia" w:ascii="仿宋_GB2312" w:hAnsi="仿宋_GB2312" w:eastAsia="仿宋_GB2312" w:cs="仿宋_GB2312"/>
                <w:sz w:val="32"/>
                <w:szCs w:val="32"/>
                <w:highlight w:val="none"/>
              </w:rPr>
            </w:pPr>
          </w:p>
        </w:tc>
        <w:tc>
          <w:tcPr>
            <w:tcW w:w="1440" w:type="dxa"/>
            <w:tcBorders>
              <w:top w:val="single" w:color="auto" w:sz="4" w:space="0"/>
              <w:left w:val="single" w:color="000000" w:sz="4" w:space="0"/>
              <w:bottom w:val="single" w:color="auto" w:sz="4" w:space="0"/>
              <w:right w:val="single" w:color="auto" w:sz="4" w:space="0"/>
            </w:tcBorders>
            <w:shd w:val="clear" w:color="FFFFFF" w:fill="auto"/>
            <w:vAlign w:val="top"/>
          </w:tcPr>
          <w:p>
            <w:pPr>
              <w:adjustRightInd w:val="0"/>
              <w:snapToGrid w:val="0"/>
              <w:spacing w:line="590" w:lineRule="exact"/>
              <w:jc w:val="center"/>
              <w:rPr>
                <w:rFonts w:hint="eastAsia" w:ascii="仿宋_GB2312" w:hAnsi="仿宋_GB2312" w:eastAsia="仿宋_GB2312" w:cs="仿宋_GB2312"/>
                <w:sz w:val="32"/>
                <w:szCs w:val="3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vAlign w:val="center"/>
          </w:tcPr>
          <w:p>
            <w:pPr>
              <w:adjustRightInd w:val="0"/>
              <w:snapToGrid w:val="0"/>
              <w:spacing w:line="590" w:lineRule="exact"/>
              <w:jc w:val="center"/>
              <w:rPr>
                <w:rFonts w:hint="eastAsia" w:ascii="仿宋_GB2312" w:hAnsi="仿宋_GB2312" w:eastAsia="仿宋_GB2312" w:cs="仿宋_GB2312"/>
                <w:sz w:val="32"/>
                <w:szCs w:val="32"/>
                <w:highlight w:val="none"/>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vAlign w:val="center"/>
          </w:tcPr>
          <w:p>
            <w:pPr>
              <w:pStyle w:val="10"/>
              <w:shd w:val="clear" w:color="auto" w:fill="FFFFFF"/>
              <w:adjustRightInd w:val="0"/>
              <w:snapToGrid w:val="0"/>
              <w:spacing w:line="590" w:lineRule="exact"/>
              <w:rPr>
                <w:rFonts w:hint="eastAsia" w:ascii="仿宋_GB2312" w:hAnsi="仿宋_GB2312" w:eastAsia="仿宋_GB2312" w:cs="仿宋_GB2312"/>
                <w:kern w:val="2"/>
                <w:sz w:val="32"/>
                <w:szCs w:val="32"/>
                <w:highlight w:val="none"/>
                <w:lang w:val="en-US" w:eastAsia="zh-CN"/>
              </w:rPr>
            </w:pPr>
          </w:p>
        </w:tc>
        <w:tc>
          <w:tcPr>
            <w:tcW w:w="1417" w:type="dxa"/>
            <w:tcBorders>
              <w:top w:val="single" w:color="auto" w:sz="4" w:space="0"/>
              <w:left w:val="single" w:color="000000" w:sz="4" w:space="0"/>
              <w:bottom w:val="single" w:color="auto" w:sz="4" w:space="0"/>
              <w:right w:val="single" w:color="auto" w:sz="4" w:space="0"/>
            </w:tcBorders>
            <w:shd w:val="clear" w:color="FFFFFF" w:fill="auto"/>
            <w:vAlign w:val="top"/>
          </w:tcPr>
          <w:p>
            <w:pPr>
              <w:adjustRightInd w:val="0"/>
              <w:snapToGrid w:val="0"/>
              <w:spacing w:line="590" w:lineRule="exact"/>
              <w:jc w:val="center"/>
              <w:rPr>
                <w:rFonts w:hint="eastAsia" w:ascii="仿宋_GB2312" w:hAnsi="仿宋_GB2312" w:eastAsia="仿宋_GB2312" w:cs="仿宋_GB2312"/>
                <w:sz w:val="32"/>
                <w:szCs w:val="32"/>
                <w:highlight w:val="none"/>
              </w:rPr>
            </w:pPr>
          </w:p>
        </w:tc>
        <w:tc>
          <w:tcPr>
            <w:tcW w:w="1440" w:type="dxa"/>
            <w:tcBorders>
              <w:top w:val="single" w:color="auto" w:sz="4" w:space="0"/>
              <w:left w:val="single" w:color="000000" w:sz="4" w:space="0"/>
              <w:bottom w:val="single" w:color="auto" w:sz="4" w:space="0"/>
              <w:right w:val="single" w:color="auto" w:sz="4" w:space="0"/>
            </w:tcBorders>
            <w:shd w:val="clear" w:color="FFFFFF" w:fill="auto"/>
            <w:vAlign w:val="top"/>
          </w:tcPr>
          <w:p>
            <w:pPr>
              <w:adjustRightInd w:val="0"/>
              <w:snapToGrid w:val="0"/>
              <w:spacing w:line="590" w:lineRule="exact"/>
              <w:jc w:val="center"/>
              <w:rPr>
                <w:rFonts w:hint="eastAsia" w:ascii="仿宋_GB2312" w:hAnsi="仿宋_GB2312" w:eastAsia="仿宋_GB2312" w:cs="仿宋_GB2312"/>
                <w:sz w:val="32"/>
                <w:szCs w:val="32"/>
                <w:highlight w:val="none"/>
              </w:rPr>
            </w:pPr>
          </w:p>
        </w:tc>
      </w:tr>
    </w:tbl>
    <w:p>
      <w:pPr>
        <w:adjustRightInd w:val="0"/>
        <w:snapToGrid w:val="0"/>
        <w:spacing w:line="590" w:lineRule="exact"/>
        <w:jc w:val="center"/>
        <w:rPr>
          <w:rFonts w:hint="eastAsia" w:ascii="仿宋_GB2312" w:hAnsi="仿宋_GB2312" w:eastAsia="仿宋_GB2312" w:cs="仿宋_GB2312"/>
          <w:sz w:val="32"/>
          <w:szCs w:val="32"/>
          <w:highlight w:val="none"/>
        </w:rPr>
      </w:pPr>
    </w:p>
    <w:p>
      <w:pPr>
        <w:adjustRightInd w:val="0"/>
        <w:snapToGrid w:val="0"/>
        <w:spacing w:line="590" w:lineRule="exact"/>
        <w:jc w:val="center"/>
        <w:rPr>
          <w:rFonts w:hint="eastAsia" w:ascii="仿宋_GB2312" w:hAnsi="仿宋_GB2312" w:eastAsia="仿宋_GB2312" w:cs="仿宋_GB2312"/>
          <w:b/>
          <w:sz w:val="32"/>
          <w:szCs w:val="32"/>
          <w:highlight w:val="none"/>
        </w:rPr>
      </w:pPr>
    </w:p>
    <w:p>
      <w:pPr>
        <w:adjustRightInd w:val="0"/>
        <w:snapToGrid w:val="0"/>
        <w:spacing w:line="590" w:lineRule="exact"/>
        <w:jc w:val="center"/>
        <w:rPr>
          <w:rFonts w:hint="eastAsia" w:ascii="仿宋_GB2312" w:hAnsi="仿宋_GB2312" w:eastAsia="仿宋_GB2312" w:cs="仿宋_GB2312"/>
          <w:b/>
          <w:sz w:val="32"/>
          <w:szCs w:val="32"/>
          <w:highlight w:val="none"/>
        </w:rPr>
      </w:pPr>
    </w:p>
    <w:p>
      <w:pPr>
        <w:adjustRightInd w:val="0"/>
        <w:snapToGrid w:val="0"/>
        <w:spacing w:line="590" w:lineRule="exact"/>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二、投标委托代表人资格证明书</w:t>
      </w:r>
    </w:p>
    <w:p>
      <w:pPr>
        <w:adjustRightInd w:val="0"/>
        <w:snapToGrid w:val="0"/>
        <w:spacing w:line="590" w:lineRule="exact"/>
        <w:rPr>
          <w:rFonts w:hint="eastAsia" w:ascii="仿宋_GB2312" w:hAnsi="仿宋_GB2312" w:eastAsia="仿宋_GB2312" w:cs="仿宋_GB2312"/>
          <w:sz w:val="32"/>
          <w:szCs w:val="32"/>
          <w:highlight w:val="none"/>
        </w:rPr>
      </w:pPr>
    </w:p>
    <w:p>
      <w:pPr>
        <w:adjustRightInd w:val="0"/>
        <w:snapToGrid w:val="0"/>
        <w:spacing w:line="590" w:lineRule="exact"/>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单位名称：</w:t>
      </w:r>
    </w:p>
    <w:p>
      <w:pPr>
        <w:adjustRightInd w:val="0"/>
        <w:snapToGrid w:val="0"/>
        <w:spacing w:line="590" w:lineRule="exact"/>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地址：</w:t>
      </w:r>
    </w:p>
    <w:p>
      <w:pPr>
        <w:adjustRightInd w:val="0"/>
        <w:snapToGrid w:val="0"/>
        <w:spacing w:line="59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姓名：    性别：年龄：  职务：   系委托代表人。为施工、竣工和保修项目，签署上述项目的投标文件、进行合同谈判、签署合同和处理与之有关的一切事务。</w:t>
      </w:r>
    </w:p>
    <w:p>
      <w:pPr>
        <w:adjustRightInd w:val="0"/>
        <w:snapToGrid w:val="0"/>
        <w:spacing w:line="590" w:lineRule="exact"/>
        <w:rPr>
          <w:rFonts w:hint="eastAsia" w:ascii="仿宋_GB2312" w:hAnsi="仿宋_GB2312" w:eastAsia="仿宋_GB2312" w:cs="仿宋_GB2312"/>
          <w:sz w:val="32"/>
          <w:szCs w:val="32"/>
          <w:highlight w:val="none"/>
        </w:rPr>
      </w:pPr>
    </w:p>
    <w:p>
      <w:pPr>
        <w:adjustRightInd w:val="0"/>
        <w:snapToGrid w:val="0"/>
        <w:spacing w:line="590" w:lineRule="exact"/>
        <w:ind w:firstLine="6240" w:firstLineChars="19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投标人（盖章）：   </w:t>
      </w:r>
    </w:p>
    <w:p>
      <w:pPr>
        <w:adjustRightInd w:val="0"/>
        <w:snapToGrid w:val="0"/>
        <w:spacing w:line="590" w:lineRule="exact"/>
        <w:ind w:firstLine="6560" w:firstLineChars="20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年   月  日</w:t>
      </w:r>
    </w:p>
    <w:p>
      <w:pPr>
        <w:adjustRightInd w:val="0"/>
        <w:snapToGrid w:val="0"/>
        <w:spacing w:line="590" w:lineRule="exact"/>
        <w:jc w:val="center"/>
        <w:rPr>
          <w:rFonts w:hint="eastAsia" w:ascii="仿宋_GB2312" w:hAnsi="仿宋_GB2312" w:eastAsia="仿宋_GB2312" w:cs="仿宋_GB2312"/>
          <w:b/>
          <w:sz w:val="32"/>
          <w:szCs w:val="32"/>
          <w:highlight w:val="none"/>
        </w:rPr>
      </w:pPr>
    </w:p>
    <w:p>
      <w:pPr>
        <w:adjustRightInd w:val="0"/>
        <w:snapToGrid w:val="0"/>
        <w:spacing w:line="590" w:lineRule="exact"/>
        <w:jc w:val="center"/>
        <w:rPr>
          <w:rFonts w:hint="eastAsia" w:ascii="仿宋_GB2312" w:hAnsi="仿宋_GB2312" w:eastAsia="仿宋_GB2312" w:cs="仿宋_GB2312"/>
          <w:b/>
          <w:sz w:val="32"/>
          <w:szCs w:val="32"/>
          <w:highlight w:val="none"/>
        </w:rPr>
      </w:pPr>
    </w:p>
    <w:p>
      <w:pPr>
        <w:adjustRightInd w:val="0"/>
        <w:snapToGrid w:val="0"/>
        <w:spacing w:line="590" w:lineRule="exact"/>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三、投标承诺书</w:t>
      </w:r>
    </w:p>
    <w:p>
      <w:pPr>
        <w:tabs>
          <w:tab w:val="left" w:pos="5355"/>
        </w:tabs>
        <w:adjustRightInd w:val="0"/>
        <w:snapToGrid w:val="0"/>
        <w:spacing w:before="100" w:beforeAutospacing="1" w:after="100" w:afterAutospacing="1" w:line="59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我司承诺对项目的院内公开招标最终确定的综合评定最优结果表示认可，并承诺不会对福建省肿瘤医院在本项目招标过程中的工作模式以及终止本项目招标的可能提出疑议。</w:t>
      </w:r>
    </w:p>
    <w:p>
      <w:pPr>
        <w:tabs>
          <w:tab w:val="left" w:pos="5355"/>
        </w:tabs>
        <w:adjustRightInd w:val="0"/>
        <w:snapToGrid w:val="0"/>
        <w:spacing w:before="100" w:beforeAutospacing="1" w:after="100" w:afterAutospacing="1"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Cs/>
          <w:sz w:val="32"/>
          <w:szCs w:val="32"/>
          <w:highlight w:val="none"/>
        </w:rPr>
        <w:t>我司承诺本投标所有的相关承诺书、投标文件等都作为本项目合同不可分割的部分，并承诺本项目合同、承诺书、投标书、方案等相关资料中发生歧义、冲突的条款、指标均以福建省肿瘤医院解释或要求为标准。投标人承诺中标后能够完全配合本项目施工的进度开展工作。</w:t>
      </w:r>
    </w:p>
    <w:p>
      <w:pPr>
        <w:tabs>
          <w:tab w:val="left" w:pos="5355"/>
        </w:tabs>
        <w:adjustRightInd w:val="0"/>
        <w:snapToGrid w:val="0"/>
        <w:spacing w:before="100" w:beforeAutospacing="1" w:after="100" w:afterAutospacing="1"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Cs/>
          <w:sz w:val="32"/>
          <w:szCs w:val="32"/>
          <w:highlight w:val="none"/>
        </w:rPr>
        <w:t>我司承诺福建省肿瘤医院在授予我司合同时有权利增加补充相关内容。</w:t>
      </w:r>
    </w:p>
    <w:p>
      <w:pPr>
        <w:tabs>
          <w:tab w:val="left" w:pos="5355"/>
        </w:tabs>
        <w:adjustRightInd w:val="0"/>
        <w:snapToGrid w:val="0"/>
        <w:spacing w:before="100" w:beforeAutospacing="1" w:after="100" w:afterAutospacing="1" w:line="59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投标人名称（全称并加公章）：</w:t>
      </w:r>
    </w:p>
    <w:p>
      <w:pPr>
        <w:tabs>
          <w:tab w:val="left" w:pos="5355"/>
        </w:tabs>
        <w:adjustRightInd w:val="0"/>
        <w:snapToGrid w:val="0"/>
        <w:spacing w:before="100" w:beforeAutospacing="1" w:after="100" w:afterAutospacing="1" w:line="59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投标人代表签字：</w:t>
      </w:r>
    </w:p>
    <w:p>
      <w:pPr>
        <w:tabs>
          <w:tab w:val="left" w:pos="5355"/>
        </w:tabs>
        <w:adjustRightInd w:val="0"/>
        <w:snapToGrid w:val="0"/>
        <w:spacing w:before="100" w:beforeAutospacing="1" w:after="100" w:afterAutospacing="1" w:line="590" w:lineRule="exact"/>
        <w:rPr>
          <w:rFonts w:hint="eastAsia" w:ascii="仿宋_GB2312" w:hAnsi="仿宋_GB2312" w:eastAsia="仿宋_GB2312" w:cs="仿宋_GB2312"/>
          <w:b/>
          <w:sz w:val="32"/>
          <w:szCs w:val="32"/>
          <w:highlight w:val="none"/>
        </w:rPr>
      </w:pPr>
      <w:r>
        <w:rPr>
          <w:rFonts w:hint="eastAsia" w:ascii="仿宋_GB2312" w:hAnsi="仿宋_GB2312" w:eastAsia="仿宋_GB2312" w:cs="仿宋_GB2312"/>
          <w:sz w:val="32"/>
          <w:szCs w:val="32"/>
          <w:highlight w:val="none"/>
        </w:rPr>
        <w:t>日期：     年    月   日</w:t>
      </w:r>
    </w:p>
    <w:p>
      <w:pPr>
        <w:adjustRightInd w:val="0"/>
        <w:snapToGrid w:val="0"/>
        <w:spacing w:line="590" w:lineRule="exact"/>
        <w:rPr>
          <w:rFonts w:hint="eastAsia" w:ascii="仿宋_GB2312" w:hAnsi="仿宋_GB2312" w:eastAsia="仿宋_GB2312" w:cs="仿宋_GB2312"/>
          <w:sz w:val="32"/>
          <w:szCs w:val="32"/>
          <w:highlight w:val="none"/>
        </w:rPr>
      </w:pPr>
    </w:p>
    <w:p>
      <w:pPr>
        <w:adjustRightInd w:val="0"/>
        <w:snapToGrid w:val="0"/>
        <w:spacing w:line="590" w:lineRule="exact"/>
        <w:rPr>
          <w:rFonts w:hint="eastAsia" w:ascii="仿宋_GB2312" w:hAnsi="仿宋_GB2312" w:eastAsia="仿宋_GB2312" w:cs="仿宋_GB2312"/>
          <w:sz w:val="32"/>
          <w:szCs w:val="32"/>
          <w:highlight w:val="none"/>
        </w:rPr>
      </w:pPr>
    </w:p>
    <w:p>
      <w:pPr>
        <w:adjustRightInd w:val="0"/>
        <w:snapToGrid w:val="0"/>
        <w:spacing w:line="590" w:lineRule="exact"/>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四、投标方案</w:t>
      </w:r>
    </w:p>
    <w:p>
      <w:pPr>
        <w:adjustRightInd w:val="0"/>
        <w:snapToGrid w:val="0"/>
        <w:spacing w:line="590" w:lineRule="exact"/>
        <w:ind w:firstLine="640" w:firstLineChars="200"/>
        <w:rPr>
          <w:rFonts w:hint="eastAsia" w:ascii="仿宋_GB2312" w:hAnsi="仿宋_GB2312" w:eastAsia="仿宋_GB2312" w:cs="仿宋_GB2312"/>
          <w:sz w:val="32"/>
          <w:szCs w:val="32"/>
          <w:highlight w:val="none"/>
        </w:rPr>
      </w:pPr>
    </w:p>
    <w:p>
      <w:pPr>
        <w:tabs>
          <w:tab w:val="left" w:pos="1600"/>
        </w:tabs>
        <w:adjustRightInd w:val="0"/>
        <w:snapToGrid w:val="0"/>
        <w:spacing w:line="590" w:lineRule="exact"/>
        <w:ind w:left="330" w:firstLine="240"/>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五、投标人提交的其它材料</w:t>
      </w:r>
    </w:p>
    <w:p>
      <w:pPr>
        <w:adjustRightInd w:val="0"/>
        <w:snapToGrid w:val="0"/>
        <w:spacing w:line="590" w:lineRule="exact"/>
        <w:rPr>
          <w:rFonts w:hint="eastAsia" w:ascii="仿宋_GB2312" w:hAnsi="仿宋_GB2312" w:eastAsia="仿宋_GB2312" w:cs="仿宋_GB2312"/>
          <w:sz w:val="32"/>
          <w:szCs w:val="32"/>
          <w:highlight w:val="none"/>
        </w:rPr>
      </w:pPr>
    </w:p>
    <w:p>
      <w:pPr>
        <w:adjustRightInd w:val="0"/>
        <w:snapToGrid w:val="0"/>
        <w:spacing w:line="590" w:lineRule="exact"/>
        <w:rPr>
          <w:rFonts w:hint="eastAsia" w:ascii="仿宋_GB2312" w:hAnsi="仿宋_GB2312" w:eastAsia="仿宋_GB2312" w:cs="仿宋_GB2312"/>
          <w:sz w:val="32"/>
          <w:szCs w:val="32"/>
          <w:highlight w:val="none"/>
        </w:rPr>
      </w:pPr>
    </w:p>
    <w:sectPr>
      <w:pgSz w:w="11906" w:h="16838"/>
      <w:pgMar w:top="1814" w:right="1587"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86896950">
    <w:nsid w:val="648C0136"/>
    <w:multiLevelType w:val="singleLevel"/>
    <w:tmpl w:val="648C0136"/>
    <w:lvl w:ilvl="0" w:tentative="1">
      <w:start w:val="11"/>
      <w:numFmt w:val="chineseCounting"/>
      <w:suff w:val="nothing"/>
      <w:lvlText w:val="%1、"/>
      <w:lvlJc w:val="left"/>
    </w:lvl>
  </w:abstractNum>
  <w:abstractNum w:abstractNumId="3996564523">
    <w:nsid w:val="EE36BC2B"/>
    <w:multiLevelType w:val="singleLevel"/>
    <w:tmpl w:val="EE36BC2B"/>
    <w:lvl w:ilvl="0" w:tentative="1">
      <w:start w:val="7"/>
      <w:numFmt w:val="chineseCounting"/>
      <w:suff w:val="nothing"/>
      <w:lvlText w:val="%1、"/>
      <w:lvlJc w:val="left"/>
      <w:rPr>
        <w:rFonts w:hint="eastAsia"/>
      </w:rPr>
    </w:lvl>
  </w:abstractNum>
  <w:abstractNum w:abstractNumId="2215036519">
    <w:nsid w:val="8406C667"/>
    <w:multiLevelType w:val="singleLevel"/>
    <w:tmpl w:val="8406C667"/>
    <w:lvl w:ilvl="0" w:tentative="1">
      <w:start w:val="2"/>
      <w:numFmt w:val="chineseCounting"/>
      <w:suff w:val="nothing"/>
      <w:lvlText w:val="%1、"/>
      <w:lvlJc w:val="left"/>
      <w:rPr>
        <w:rFonts w:hint="eastAsia"/>
      </w:rPr>
    </w:lvl>
  </w:abstractNum>
  <w:num w:numId="1">
    <w:abstractNumId w:val="2215036519"/>
  </w:num>
  <w:num w:numId="2">
    <w:abstractNumId w:val="3996564523"/>
  </w:num>
  <w:num w:numId="3">
    <w:abstractNumId w:val="16868969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YzUxYTcwMGY1YjY2MmNhMzRiNWMyNDk3ZDFlMDJiMTYifQ=="/>
  </w:docVar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annotation subject"/>
    <w:lsdException w:qFormat="1" w:uiPriority="99" w:name="Balloon Text"/>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rPr>
  </w:style>
  <w:style w:type="character" w:default="1" w:styleId="12">
    <w:name w:val="Default Paragraph Font"/>
    <w:semiHidden/>
    <w:unhideWhenUsed/>
    <w:qFormat/>
    <w:uiPriority w:val="1"/>
  </w:style>
  <w:style w:type="paragraph" w:styleId="4">
    <w:name w:val="Normal Indent"/>
    <w:basedOn w:val="1"/>
    <w:link w:val="20"/>
    <w:qFormat/>
    <w:uiPriority w:val="0"/>
    <w:pPr>
      <w:widowControl/>
      <w:ind w:firstLine="420"/>
      <w:jc w:val="left"/>
    </w:pPr>
    <w:rPr>
      <w:kern w:val="0"/>
      <w:sz w:val="20"/>
      <w:szCs w:val="20"/>
    </w:rPr>
  </w:style>
  <w:style w:type="paragraph" w:styleId="5">
    <w:name w:val="Plain Text"/>
    <w:basedOn w:val="1"/>
    <w:link w:val="21"/>
    <w:unhideWhenUsed/>
    <w:qFormat/>
    <w:uiPriority w:val="0"/>
    <w:rPr>
      <w:rFonts w:ascii="宋体" w:hAnsi="Courier New" w:eastAsia="微软雅黑"/>
      <w:kern w:val="0"/>
      <w:sz w:val="22"/>
      <w:szCs w:val="20"/>
    </w:rPr>
  </w:style>
  <w:style w:type="paragraph" w:styleId="6">
    <w:name w:val="Balloon Text"/>
    <w:basedOn w:val="1"/>
    <w:link w:val="24"/>
    <w:semiHidden/>
    <w:unhideWhenUsed/>
    <w:qFormat/>
    <w:uiPriority w:val="99"/>
    <w:rPr>
      <w:sz w:val="18"/>
      <w:szCs w:val="18"/>
    </w:rPr>
  </w:style>
  <w:style w:type="paragraph" w:styleId="7">
    <w:name w:val="footer"/>
    <w:basedOn w:val="1"/>
    <w:link w:val="18"/>
    <w:semiHidden/>
    <w:unhideWhenUsed/>
    <w:uiPriority w:val="99"/>
    <w:pPr>
      <w:tabs>
        <w:tab w:val="center" w:pos="4153"/>
        <w:tab w:val="right" w:pos="8306"/>
      </w:tabs>
      <w:snapToGrid w:val="0"/>
      <w:jc w:val="left"/>
    </w:pPr>
    <w:rPr>
      <w:sz w:val="18"/>
      <w:szCs w:val="18"/>
    </w:rPr>
  </w:style>
  <w:style w:type="paragraph" w:styleId="8">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Message Header"/>
    <w:basedOn w:val="1"/>
    <w:link w:val="19"/>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kern w:val="0"/>
      <w:sz w:val="24"/>
    </w:rPr>
  </w:style>
  <w:style w:type="paragraph" w:styleId="10">
    <w:name w:val="HTML Preformatted"/>
    <w:basedOn w:val="1"/>
    <w:link w:val="2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1">
    <w:name w:val="Normal (Web)"/>
    <w:basedOn w:val="1"/>
    <w:qFormat/>
    <w:uiPriority w:val="0"/>
    <w:pPr>
      <w:spacing w:before="100" w:beforeAutospacing="1" w:after="100" w:afterAutospacing="1"/>
      <w:jc w:val="left"/>
    </w:pPr>
    <w:rPr>
      <w:kern w:val="0"/>
      <w:sz w:val="24"/>
    </w:rPr>
  </w:style>
  <w:style w:type="character" w:styleId="13">
    <w:name w:val="Strong"/>
    <w:basedOn w:val="12"/>
    <w:qFormat/>
    <w:uiPriority w:val="22"/>
    <w:rPr>
      <w:b/>
    </w:rPr>
  </w:style>
  <w:style w:type="character" w:styleId="14">
    <w:name w:val="Hyperlink"/>
    <w:qFormat/>
    <w:uiPriority w:val="0"/>
    <w:rPr>
      <w:color w:val="0000FF"/>
      <w:u w:val="single"/>
    </w:rPr>
  </w:style>
  <w:style w:type="paragraph" w:customStyle="1" w:styleId="15">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paragraph" w:customStyle="1" w:styleId="16">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character" w:customStyle="1" w:styleId="17">
    <w:name w:val="页眉 Char"/>
    <w:basedOn w:val="12"/>
    <w:link w:val="8"/>
    <w:semiHidden/>
    <w:qFormat/>
    <w:uiPriority w:val="99"/>
    <w:rPr>
      <w:sz w:val="18"/>
      <w:szCs w:val="18"/>
    </w:rPr>
  </w:style>
  <w:style w:type="character" w:customStyle="1" w:styleId="18">
    <w:name w:val="页脚 Char"/>
    <w:basedOn w:val="12"/>
    <w:link w:val="7"/>
    <w:semiHidden/>
    <w:qFormat/>
    <w:uiPriority w:val="99"/>
    <w:rPr>
      <w:sz w:val="18"/>
      <w:szCs w:val="18"/>
    </w:rPr>
  </w:style>
  <w:style w:type="character" w:customStyle="1" w:styleId="19">
    <w:name w:val="信息标题 Char"/>
    <w:basedOn w:val="12"/>
    <w:link w:val="9"/>
    <w:qFormat/>
    <w:uiPriority w:val="99"/>
    <w:rPr>
      <w:rFonts w:ascii="Cambria" w:hAnsi="Cambria" w:eastAsia="宋体" w:cs="Times New Roman"/>
      <w:kern w:val="0"/>
      <w:sz w:val="24"/>
      <w:szCs w:val="24"/>
      <w:shd w:val="pct20" w:color="auto" w:fill="auto"/>
    </w:rPr>
  </w:style>
  <w:style w:type="character" w:customStyle="1" w:styleId="20">
    <w:name w:val="正文缩进 Char"/>
    <w:link w:val="4"/>
    <w:qFormat/>
    <w:uiPriority w:val="0"/>
    <w:rPr>
      <w:rFonts w:ascii="Times New Roman" w:hAnsi="Times New Roman" w:eastAsia="宋体" w:cs="Times New Roman"/>
      <w:kern w:val="0"/>
      <w:sz w:val="20"/>
      <w:szCs w:val="20"/>
    </w:rPr>
  </w:style>
  <w:style w:type="character" w:customStyle="1" w:styleId="21">
    <w:name w:val="纯文本 Char"/>
    <w:basedOn w:val="12"/>
    <w:link w:val="5"/>
    <w:qFormat/>
    <w:uiPriority w:val="0"/>
    <w:rPr>
      <w:rFonts w:ascii="宋体" w:hAnsi="Courier New" w:eastAsia="微软雅黑" w:cs="Times New Roman"/>
      <w:kern w:val="0"/>
      <w:sz w:val="22"/>
      <w:szCs w:val="20"/>
    </w:rPr>
  </w:style>
  <w:style w:type="character" w:customStyle="1" w:styleId="22">
    <w:name w:val="HTML 预设格式 Char"/>
    <w:basedOn w:val="12"/>
    <w:link w:val="10"/>
    <w:qFormat/>
    <w:uiPriority w:val="0"/>
    <w:rPr>
      <w:rFonts w:ascii="宋体" w:hAnsi="宋体" w:eastAsia="宋体" w:cs="Times New Roman"/>
      <w:kern w:val="0"/>
      <w:sz w:val="24"/>
      <w:szCs w:val="24"/>
    </w:rPr>
  </w:style>
  <w:style w:type="character" w:customStyle="1" w:styleId="23">
    <w:name w:val="font01"/>
    <w:basedOn w:val="12"/>
    <w:qFormat/>
    <w:uiPriority w:val="0"/>
    <w:rPr>
      <w:rFonts w:hint="eastAsia" w:ascii="宋体" w:hAnsi="宋体" w:eastAsia="宋体" w:cs="宋体"/>
      <w:color w:val="000000"/>
      <w:sz w:val="20"/>
      <w:szCs w:val="20"/>
      <w:u w:val="none"/>
    </w:rPr>
  </w:style>
  <w:style w:type="character" w:customStyle="1" w:styleId="24">
    <w:name w:val="批注框文本 Char"/>
    <w:basedOn w:val="12"/>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9</Pages>
  <Words>2212</Words>
  <Characters>2293</Characters>
  <Lines>38</Lines>
  <Paragraphs>10</Paragraphs>
  <ScaleCrop>false</ScaleCrop>
  <LinksUpToDate>false</LinksUpToDate>
  <CharactersWithSpaces>0</CharactersWithSpaces>
  <Application>WPS Office 专业版_8.1.0.0_{F1E327BC-269C-435d-A152-05C5408002CA}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2023-05-12T08:18:00Z</dcterms:created>
  <dc:creator>HP Inc.</dc:creator>
  <cp:lastModifiedBy>G</cp:lastModifiedBy>
  <cp:lastPrinted>2023-06-05T23:51:00Z</cp:lastPrinted>
  <dcterms:modified xsi:type="dcterms:W3CDTF">2023-12-01T05:48:01Z</dcterms:modified>
  <dc:title>福建省肿瘤医院         采购项目</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2052-8.1.0.0</vt:lpwstr>
  </property>
  <property fmtid="{D5CDD505-2E9C-101B-9397-08002B2CF9AE}" pid="3" name="ICV">
    <vt:lpwstr>DD76277DE69B4DB985E920C74FD95501_13</vt:lpwstr>
  </property>
</Properties>
</file>