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福建省肿瘤医院</w:t>
      </w:r>
    </w:p>
    <w:p>
      <w:pPr>
        <w:pStyle w:val="2"/>
        <w:jc w:val="center"/>
        <w:rPr>
          <w:rFonts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网络安全防火墙设备网超品牌论证公告</w:t>
      </w:r>
    </w:p>
    <w:p>
      <w:pPr>
        <w:pStyle w:val="2"/>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项目名称：网络安全防火墙设备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rPr>
              <w:t>调研报名时间：2024年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 xml:space="preserve">日 </w:t>
            </w:r>
            <w:r>
              <w:rPr>
                <w:rFonts w:hint="eastAsia" w:ascii="仿宋_GB2312" w:hAnsi="仿宋_GB2312" w:eastAsia="仿宋_GB2312" w:cs="仿宋_GB2312"/>
                <w:color w:val="auto"/>
                <w:spacing w:val="-8"/>
                <w:kern w:val="0"/>
                <w:sz w:val="32"/>
                <w:szCs w:val="32"/>
                <w:highlight w:val="none"/>
                <w:shd w:val="clear" w:color="auto" w:fill="FFFFFF"/>
              </w:rPr>
              <w:t>(节假日除外)8：00-12：00或14：00-17：</w:t>
            </w:r>
            <w:r>
              <w:rPr>
                <w:rFonts w:hint="eastAsia" w:ascii="仿宋_GB2312" w:hAnsi="仿宋_GB2312" w:eastAsia="仿宋_GB2312" w:cs="仿宋_GB2312"/>
                <w:color w:val="auto"/>
                <w:spacing w:val="-8"/>
                <w:kern w:val="0"/>
                <w:sz w:val="32"/>
                <w:szCs w:val="32"/>
                <w:highlight w:val="none"/>
                <w:shd w:val="clear" w:color="auto" w:fill="FFFFFF"/>
                <w:lang w:val="en-US" w:eastAsia="zh-CN"/>
              </w:rPr>
              <w:t>0</w:t>
            </w:r>
            <w:r>
              <w:rPr>
                <w:rFonts w:hint="eastAsia" w:ascii="仿宋_GB2312" w:hAnsi="仿宋_GB2312" w:eastAsia="仿宋_GB2312" w:cs="仿宋_GB2312"/>
                <w:color w:val="auto"/>
                <w:spacing w:val="-8"/>
                <w:kern w:val="0"/>
                <w:sz w:val="32"/>
                <w:szCs w:val="32"/>
                <w:highlight w:val="none"/>
                <w:shd w:val="clear" w:color="auto" w:fill="FFFFFF"/>
              </w:rPr>
              <w:t>0(北京时间）</w:t>
            </w:r>
          </w:p>
          <w:p>
            <w:pPr>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auto"/>
                <w:kern w:val="0"/>
                <w:sz w:val="32"/>
                <w:szCs w:val="32"/>
                <w:highlight w:val="none"/>
              </w:rPr>
              <w:t>调研会时间： 2024年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15</w:t>
            </w:r>
            <w:bookmarkStart w:id="0" w:name="_GoBack"/>
            <w:bookmarkEnd w:id="0"/>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编：350014</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报名联系电话：0591-83660063-8822</w:t>
      </w:r>
    </w:p>
    <w:p>
      <w:pPr>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 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rPr>
        <w:t>金 工</w:t>
      </w:r>
    </w:p>
    <w:p>
      <w:pPr>
        <w:pStyle w:val="11"/>
        <w:rPr>
          <w:rFonts w:ascii="仿宋_GB2312" w:hAnsi="仿宋_GB2312" w:cs="仿宋_GB2312"/>
          <w:sz w:val="32"/>
          <w:szCs w:val="32"/>
        </w:rPr>
      </w:pPr>
      <w:r>
        <w:rPr>
          <w:rFonts w:hint="eastAsia" w:ascii="仿宋_GB2312" w:hAnsi="仿宋_GB2312" w:cs="仿宋_GB2312"/>
          <w:sz w:val="32"/>
          <w:szCs w:val="32"/>
        </w:rPr>
        <w:br w:type="page"/>
      </w:r>
    </w:p>
    <w:p>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exact"/>
        </w:trPr>
        <w:tc>
          <w:tcPr>
            <w:tcW w:w="2697" w:type="dxa"/>
            <w:vAlign w:val="center"/>
          </w:tcPr>
          <w:p>
            <w:pPr>
              <w:snapToGrid w:val="0"/>
              <w:spacing w:line="312"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名称</w:t>
            </w:r>
          </w:p>
        </w:tc>
        <w:tc>
          <w:tcPr>
            <w:tcW w:w="1590"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94"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exact"/>
        </w:trPr>
        <w:tc>
          <w:tcPr>
            <w:tcW w:w="2697" w:type="dxa"/>
            <w:vAlign w:val="center"/>
          </w:tcPr>
          <w:p>
            <w:pPr>
              <w:snapToGrid w:val="0"/>
              <w:spacing w:line="312" w:lineRule="auto"/>
              <w:jc w:val="center"/>
              <w:rPr>
                <w:rFonts w:ascii="宋体" w:hAnsi="宋体" w:cs="宋体"/>
                <w:color w:val="000000"/>
                <w:kern w:val="0"/>
                <w:sz w:val="22"/>
                <w:szCs w:val="22"/>
              </w:rPr>
            </w:pPr>
            <w:r>
              <w:rPr>
                <w:rFonts w:hint="eastAsia" w:ascii="宋体" w:hAnsi="宋体" w:cs="宋体"/>
                <w:b/>
                <w:bCs/>
                <w:color w:val="000000"/>
                <w:kern w:val="0"/>
                <w:sz w:val="22"/>
                <w:szCs w:val="22"/>
              </w:rPr>
              <w:t>（一）</w:t>
            </w:r>
          </w:p>
        </w:tc>
        <w:tc>
          <w:tcPr>
            <w:tcW w:w="3178" w:type="dxa"/>
            <w:vAlign w:val="center"/>
          </w:tcPr>
          <w:p>
            <w:pPr>
              <w:snapToGrid w:val="0"/>
              <w:spacing w:line="312" w:lineRule="auto"/>
              <w:rPr>
                <w:rFonts w:ascii="宋体" w:hAnsi="宋体" w:cs="宋体"/>
                <w:kern w:val="0"/>
                <w:sz w:val="24"/>
              </w:rPr>
            </w:pPr>
            <w:r>
              <w:rPr>
                <w:rFonts w:hint="eastAsia" w:ascii="宋体" w:hAnsi="宋体" w:cs="宋体"/>
                <w:kern w:val="0"/>
                <w:sz w:val="24"/>
              </w:rPr>
              <w:t>网络安全防火墙设备</w:t>
            </w:r>
          </w:p>
        </w:tc>
        <w:tc>
          <w:tcPr>
            <w:tcW w:w="1590" w:type="dxa"/>
            <w:vAlign w:val="center"/>
          </w:tcPr>
          <w:p>
            <w:pPr>
              <w:autoSpaceDN w:val="0"/>
              <w:snapToGrid w:val="0"/>
              <w:spacing w:line="312" w:lineRule="auto"/>
              <w:textAlignment w:val="center"/>
              <w:rPr>
                <w:rFonts w:ascii="宋体" w:hAnsi="宋体" w:cs="宋体"/>
                <w:color w:val="000000"/>
                <w:sz w:val="24"/>
              </w:rPr>
            </w:pPr>
            <w:r>
              <w:rPr>
                <w:rFonts w:hint="eastAsia" w:ascii="宋体" w:hAnsi="宋体" w:cs="宋体"/>
                <w:color w:val="000000"/>
                <w:sz w:val="24"/>
              </w:rPr>
              <w:t>1项</w:t>
            </w:r>
          </w:p>
        </w:tc>
        <w:tc>
          <w:tcPr>
            <w:tcW w:w="1894" w:type="dxa"/>
            <w:vAlign w:val="center"/>
          </w:tcPr>
          <w:p>
            <w:pPr>
              <w:autoSpaceDN w:val="0"/>
              <w:snapToGrid w:val="0"/>
              <w:spacing w:line="312" w:lineRule="auto"/>
              <w:textAlignment w:val="center"/>
              <w:rPr>
                <w:rFonts w:ascii="宋体" w:hAnsi="宋体" w:cs="宋体"/>
                <w:color w:val="000000"/>
                <w:sz w:val="24"/>
              </w:rPr>
            </w:pPr>
            <w:r>
              <w:rPr>
                <w:rFonts w:hint="eastAsia" w:ascii="宋体" w:hAnsi="宋体" w:cs="宋体"/>
                <w:color w:val="000000"/>
                <w:sz w:val="24"/>
              </w:rPr>
              <w:t>80</w:t>
            </w:r>
          </w:p>
        </w:tc>
      </w:tr>
    </w:tbl>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pPr>
        <w:pStyle w:val="11"/>
        <w:snapToGrid w:val="0"/>
        <w:spacing w:line="360" w:lineRule="auto"/>
        <w:outlineLvl w:val="0"/>
        <w:rPr>
          <w:rFonts w:ascii="宋体" w:hAnsi="宋体" w:eastAsia="宋体" w:cs="宋体"/>
          <w:sz w:val="28"/>
          <w:szCs w:val="28"/>
        </w:rPr>
      </w:pPr>
      <w:r>
        <w:rPr>
          <w:rFonts w:hint="eastAsia" w:ascii="宋体" w:hAnsi="宋体" w:eastAsia="宋体" w:cs="宋体"/>
          <w:sz w:val="28"/>
          <w:szCs w:val="28"/>
        </w:rPr>
        <w:t>（一）合同包（一）</w:t>
      </w:r>
    </w:p>
    <w:tbl>
      <w:tblPr>
        <w:tblW w:w="9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6"/>
        <w:gridCol w:w="1641"/>
        <w:gridCol w:w="1197"/>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56"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1641"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项目</w:t>
            </w:r>
          </w:p>
        </w:tc>
        <w:tc>
          <w:tcPr>
            <w:tcW w:w="1197"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数量</w:t>
            </w:r>
          </w:p>
        </w:tc>
        <w:tc>
          <w:tcPr>
            <w:tcW w:w="5262"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56"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rPr>
              <w:t>1</w:t>
            </w:r>
          </w:p>
        </w:tc>
        <w:tc>
          <w:tcPr>
            <w:tcW w:w="1641" w:type="dxa"/>
            <w:vAlign w:val="center"/>
          </w:tcPr>
          <w:p>
            <w:pPr>
              <w:snapToGrid w:val="0"/>
              <w:spacing w:line="312" w:lineRule="auto"/>
              <w:jc w:val="left"/>
              <w:rPr>
                <w:rFonts w:ascii="宋体" w:hAnsi="宋体" w:cs="宋体"/>
                <w:kern w:val="0"/>
                <w:sz w:val="22"/>
                <w:szCs w:val="22"/>
              </w:rPr>
            </w:pPr>
            <w:r>
              <w:rPr>
                <w:rFonts w:hint="eastAsia" w:ascii="宋体" w:hAnsi="宋体" w:cs="宋体"/>
                <w:kern w:val="0"/>
                <w:sz w:val="22"/>
                <w:szCs w:val="22"/>
              </w:rPr>
              <w:t>内网万兆防火墙</w:t>
            </w:r>
          </w:p>
        </w:tc>
        <w:tc>
          <w:tcPr>
            <w:tcW w:w="1197"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rPr>
              <w:t>2台</w:t>
            </w:r>
          </w:p>
        </w:tc>
        <w:tc>
          <w:tcPr>
            <w:tcW w:w="5262" w:type="dxa"/>
            <w:vAlign w:val="top"/>
          </w:tcPr>
          <w:p>
            <w:pPr>
              <w:snapToGrid w:val="0"/>
              <w:spacing w:line="312"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2U标准机架式设备，模块化设计；标配≥2个千兆电口，≥4个SFP+万兆接口，≥3个网络模块扩展槽，≥2个USB口，≥1个控制口，≥16G内存、≥128G SSD、≥4T企业级硬盘，冗余电源；整机最大网络吞吐≥30Gbps，最大并发连接数≥500万，每秒新建连接数≥8万，全威胁处理吞吐≥4Gbps</w:t>
            </w:r>
            <w:r>
              <w:rPr>
                <w:rFonts w:hint="eastAsia" w:ascii="宋体" w:hAnsi="宋体" w:cs="宋体"/>
                <w:kern w:val="0"/>
                <w:sz w:val="24"/>
              </w:rPr>
              <w:t>；支持入侵防护及病毒防护功能;</w:t>
            </w:r>
          </w:p>
          <w:p>
            <w:pPr>
              <w:snapToGrid w:val="0"/>
              <w:spacing w:line="312" w:lineRule="auto"/>
              <w:rPr>
                <w:rFonts w:ascii="宋体" w:hAnsi="宋体" w:cs="宋体"/>
                <w:sz w:val="24"/>
                <w:szCs w:val="32"/>
              </w:rPr>
            </w:pPr>
            <w:r>
              <w:rPr>
                <w:rFonts w:hint="eastAsia" w:ascii="宋体" w:hAnsi="宋体" w:cs="宋体"/>
                <w:sz w:val="24"/>
                <w:szCs w:val="32"/>
              </w:rPr>
              <w:t>2.支持IPv4和IPv6双栈，具有独立的IPv6路由、IPv6对象、IPv6安全策略配置；支持IPv6 over IPv4、IPv6 TO IPv4遂道,支持6TO6地址转换；</w:t>
            </w:r>
          </w:p>
          <w:p>
            <w:pPr>
              <w:snapToGrid w:val="0"/>
              <w:spacing w:line="312" w:lineRule="auto"/>
              <w:rPr>
                <w:rFonts w:ascii="宋体" w:hAnsi="宋体" w:cs="宋体"/>
                <w:sz w:val="24"/>
                <w:szCs w:val="32"/>
              </w:rPr>
            </w:pPr>
            <w:r>
              <w:rPr>
                <w:rFonts w:hint="eastAsia" w:ascii="宋体" w:hAnsi="宋体" w:cs="宋体"/>
                <w:sz w:val="24"/>
                <w:szCs w:val="32"/>
              </w:rPr>
              <w:t>3.</w:t>
            </w:r>
            <w:r>
              <w:rPr>
                <w:rFonts w:ascii="宋体" w:hAnsi="宋体" w:cs="宋体"/>
                <w:sz w:val="24"/>
                <w:szCs w:val="32"/>
              </w:rPr>
              <w:t>支持多ISP线路接入，支持链路主备切换和自动负载均衡，支持ARPing、Ping、HTTPing等多种方法进行链路状态检测；用户认证支持Web认证、客户端认证，支持本地和LDAP、RADIUS等第三方认证，支持用户自助注册；</w:t>
            </w:r>
          </w:p>
          <w:p>
            <w:pPr>
              <w:snapToGrid w:val="0"/>
              <w:spacing w:line="312" w:lineRule="auto"/>
              <w:rPr>
                <w:rFonts w:ascii="宋体" w:hAnsi="宋体" w:cs="宋体"/>
                <w:sz w:val="24"/>
                <w:szCs w:val="32"/>
              </w:rPr>
            </w:pPr>
            <w:r>
              <w:rPr>
                <w:rFonts w:hint="eastAsia" w:ascii="宋体" w:hAnsi="宋体" w:cs="宋体"/>
                <w:sz w:val="24"/>
                <w:szCs w:val="32"/>
              </w:rPr>
              <w:t>4.</w:t>
            </w:r>
            <w:r>
              <w:rPr>
                <w:rFonts w:ascii="宋体" w:hAnsi="宋体" w:cs="宋体"/>
                <w:sz w:val="24"/>
                <w:szCs w:val="32"/>
              </w:rPr>
              <w:t>内置威胁情报库，包含恶意域名、恶意IP等情报信息，可高效识别威胁；内置全球IP地域库,可根据地域库对来自或访问特定地域的IP进行控制，支持地域取反操作；</w:t>
            </w:r>
          </w:p>
          <w:p>
            <w:pPr>
              <w:snapToGrid w:val="0"/>
              <w:spacing w:line="312" w:lineRule="auto"/>
              <w:rPr>
                <w:rFonts w:ascii="宋体" w:hAnsi="宋体" w:cs="宋体"/>
                <w:sz w:val="24"/>
                <w:szCs w:val="32"/>
              </w:rPr>
            </w:pPr>
            <w:r>
              <w:rPr>
                <w:rFonts w:hint="eastAsia" w:ascii="宋体" w:hAnsi="宋体" w:cs="宋体"/>
                <w:sz w:val="24"/>
                <w:szCs w:val="32"/>
              </w:rPr>
              <w:t>5.</w:t>
            </w:r>
            <w:r>
              <w:rPr>
                <w:rFonts w:ascii="宋体" w:hAnsi="宋体" w:cs="宋体"/>
                <w:sz w:val="24"/>
                <w:szCs w:val="32"/>
              </w:rPr>
              <w:t>支持黑名单机制，可快速添加或导入恶意IP、域名，进行永久或临时封锁；</w:t>
            </w:r>
          </w:p>
          <w:p>
            <w:pPr>
              <w:snapToGrid w:val="0"/>
              <w:spacing w:line="312" w:lineRule="auto"/>
              <w:rPr>
                <w:rFonts w:ascii="宋体" w:hAnsi="宋体" w:cs="宋体"/>
                <w:sz w:val="24"/>
                <w:szCs w:val="32"/>
              </w:rPr>
            </w:pPr>
            <w:r>
              <w:rPr>
                <w:rFonts w:hint="eastAsia" w:ascii="宋体" w:hAnsi="宋体" w:cs="宋体"/>
                <w:sz w:val="24"/>
                <w:szCs w:val="32"/>
              </w:rPr>
              <w:t>6.</w:t>
            </w:r>
            <w:r>
              <w:rPr>
                <w:rFonts w:ascii="宋体" w:hAnsi="宋体" w:cs="宋体"/>
                <w:sz w:val="24"/>
                <w:szCs w:val="32"/>
              </w:rPr>
              <w:t>支持单用户和多用户的最大带宽限制、最大新建会话限制、最大并发会话限制；支持基于用户、地址、服务、应用的流量控制，支持保证带宽、三级弹性带宽控制；</w:t>
            </w:r>
          </w:p>
          <w:p>
            <w:pPr>
              <w:pStyle w:val="11"/>
              <w:rPr>
                <w:rFonts w:ascii="宋体" w:hAnsi="宋体" w:eastAsia="宋体" w:cs="宋体"/>
                <w:szCs w:val="32"/>
              </w:rPr>
            </w:pPr>
            <w:r>
              <w:rPr>
                <w:rFonts w:hint="eastAsia" w:ascii="宋体" w:hAnsi="宋体" w:eastAsia="宋体" w:cs="宋体"/>
                <w:szCs w:val="32"/>
              </w:rPr>
              <w:t>7.</w:t>
            </w:r>
            <w:r>
              <w:rPr>
                <w:rFonts w:ascii="宋体" w:hAnsi="宋体" w:eastAsia="宋体" w:cs="宋体"/>
                <w:szCs w:val="32"/>
              </w:rPr>
              <w:t>基于连接状态检测机制，可根据客户端、服务端、网络服务等条件统计分析当前连链接状态；支持分别对IPV4、IPV6的连接进行统计分析</w:t>
            </w:r>
            <w:r>
              <w:rPr>
                <w:rFonts w:hint="eastAsia" w:ascii="宋体" w:hAnsi="宋体" w:eastAsia="宋体" w:cs="宋体"/>
                <w:szCs w:val="32"/>
              </w:rPr>
              <w:t>。</w:t>
            </w:r>
          </w:p>
          <w:p>
            <w:pPr>
              <w:snapToGrid w:val="0"/>
              <w:spacing w:line="312" w:lineRule="auto"/>
              <w:jc w:val="left"/>
              <w:rPr>
                <w:rFonts w:ascii="宋体" w:hAnsi="宋体" w:cs="宋体"/>
                <w:sz w:val="24"/>
                <w:szCs w:val="32"/>
              </w:rPr>
            </w:pPr>
            <w:r>
              <w:rPr>
                <w:rFonts w:hint="eastAsia" w:ascii="宋体" w:hAnsi="宋体" w:cs="宋体"/>
                <w:sz w:val="24"/>
                <w:szCs w:val="32"/>
              </w:rPr>
              <w:t>8.提供三年IPS、AV、应用识别特征库升级服务；三年硬件质保。</w:t>
            </w:r>
          </w:p>
          <w:p>
            <w:pPr>
              <w:pStyle w:val="11"/>
              <w:rPr>
                <w:rFonts w:ascii="宋体" w:hAnsi="宋体" w:eastAsia="宋体" w:cs="宋体"/>
                <w:kern w:val="0"/>
                <w:szCs w:val="24"/>
              </w:rPr>
            </w:pPr>
            <w:r>
              <w:rPr>
                <w:rFonts w:hint="eastAsia" w:ascii="宋体" w:hAnsi="宋体" w:cs="宋体"/>
                <w:szCs w:val="24"/>
              </w:rPr>
              <w:t>9.</w:t>
            </w:r>
            <w:r>
              <w:rPr>
                <w:rFonts w:hint="eastAsia" w:ascii="宋体" w:hAnsi="宋体" w:eastAsia="宋体" w:cs="宋体"/>
                <w:szCs w:val="24"/>
              </w:rPr>
              <w:t>支持与我院现有态势感知平台实现联动处置，形成自动封堵策略，提升网络安全协同防御水平；（提供承诺函，并承担定制接口所需费用）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56"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rPr>
              <w:t>2</w:t>
            </w:r>
          </w:p>
        </w:tc>
        <w:tc>
          <w:tcPr>
            <w:tcW w:w="1641" w:type="dxa"/>
            <w:vAlign w:val="center"/>
          </w:tcPr>
          <w:p>
            <w:pPr>
              <w:snapToGrid w:val="0"/>
              <w:spacing w:line="312" w:lineRule="auto"/>
              <w:jc w:val="left"/>
              <w:rPr>
                <w:rFonts w:ascii="宋体" w:hAnsi="宋体" w:cs="宋体"/>
                <w:kern w:val="0"/>
                <w:sz w:val="22"/>
                <w:szCs w:val="22"/>
              </w:rPr>
            </w:pPr>
            <w:r>
              <w:rPr>
                <w:rFonts w:hint="eastAsia" w:ascii="宋体" w:hAnsi="宋体" w:cs="宋体"/>
                <w:kern w:val="0"/>
                <w:sz w:val="22"/>
                <w:szCs w:val="22"/>
              </w:rPr>
              <w:t>内网无线防火墙</w:t>
            </w:r>
          </w:p>
        </w:tc>
        <w:tc>
          <w:tcPr>
            <w:tcW w:w="1197"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rPr>
              <w:t>2台</w:t>
            </w:r>
          </w:p>
        </w:tc>
        <w:tc>
          <w:tcPr>
            <w:tcW w:w="5262" w:type="dxa"/>
            <w:vAlign w:val="top"/>
          </w:tcPr>
          <w:p>
            <w:pPr>
              <w:snapToGrid w:val="0"/>
              <w:spacing w:line="312" w:lineRule="auto"/>
              <w:jc w:val="left"/>
              <w:rPr>
                <w:rFonts w:ascii="宋体" w:hAnsi="宋体" w:cs="宋体"/>
                <w:color w:val="FF0000"/>
                <w:kern w:val="0"/>
                <w:sz w:val="24"/>
              </w:rPr>
            </w:pPr>
            <w:r>
              <w:rPr>
                <w:rFonts w:hint="eastAsia" w:ascii="宋体" w:hAnsi="宋体" w:cs="宋体"/>
                <w:kern w:val="0"/>
                <w:sz w:val="24"/>
              </w:rPr>
              <w:t>1.2U标准机架式设备，标配</w:t>
            </w:r>
            <w:r>
              <w:rPr>
                <w:rFonts w:ascii="宋体" w:hAnsi="宋体" w:cs="宋体"/>
                <w:kern w:val="0"/>
                <w:sz w:val="24"/>
              </w:rPr>
              <w:t>≥</w:t>
            </w:r>
            <w:r>
              <w:rPr>
                <w:rFonts w:hint="eastAsia" w:ascii="宋体" w:hAnsi="宋体" w:cs="宋体"/>
                <w:kern w:val="0"/>
                <w:sz w:val="24"/>
              </w:rPr>
              <w:t>1个管理口、</w:t>
            </w:r>
            <w:r>
              <w:rPr>
                <w:rFonts w:ascii="宋体" w:hAnsi="宋体" w:cs="宋体"/>
                <w:kern w:val="0"/>
                <w:sz w:val="24"/>
              </w:rPr>
              <w:t>≥</w:t>
            </w:r>
            <w:r>
              <w:rPr>
                <w:rFonts w:hint="eastAsia" w:ascii="宋体" w:hAnsi="宋体" w:cs="宋体"/>
                <w:kern w:val="0"/>
                <w:sz w:val="24"/>
              </w:rPr>
              <w:t>1个IPMI接口、</w:t>
            </w:r>
            <w:r>
              <w:rPr>
                <w:rFonts w:ascii="宋体" w:hAnsi="宋体" w:cs="宋体"/>
                <w:kern w:val="0"/>
                <w:sz w:val="24"/>
              </w:rPr>
              <w:t>≥</w:t>
            </w:r>
            <w:r>
              <w:rPr>
                <w:rFonts w:hint="eastAsia" w:ascii="宋体" w:hAnsi="宋体" w:cs="宋体"/>
                <w:kern w:val="0"/>
                <w:sz w:val="24"/>
              </w:rPr>
              <w:t>16个千兆电口、</w:t>
            </w:r>
            <w:r>
              <w:rPr>
                <w:rFonts w:ascii="宋体" w:hAnsi="宋体" w:cs="宋体"/>
                <w:kern w:val="0"/>
                <w:sz w:val="24"/>
              </w:rPr>
              <w:t>≥</w:t>
            </w:r>
            <w:r>
              <w:rPr>
                <w:rFonts w:hint="eastAsia" w:ascii="宋体" w:hAnsi="宋体" w:cs="宋体"/>
                <w:kern w:val="0"/>
                <w:sz w:val="24"/>
              </w:rPr>
              <w:t>6个SFP+接口、支持</w:t>
            </w:r>
            <w:r>
              <w:rPr>
                <w:rFonts w:ascii="宋体" w:hAnsi="宋体" w:cs="宋体"/>
                <w:kern w:val="0"/>
                <w:sz w:val="24"/>
              </w:rPr>
              <w:t>≥</w:t>
            </w:r>
            <w:r>
              <w:rPr>
                <w:rFonts w:hint="eastAsia" w:ascii="宋体" w:hAnsi="宋体" w:cs="宋体"/>
                <w:kern w:val="0"/>
                <w:sz w:val="24"/>
              </w:rPr>
              <w:t>4对bypass；</w:t>
            </w:r>
            <w:r>
              <w:rPr>
                <w:rFonts w:ascii="宋体" w:hAnsi="宋体" w:cs="宋体"/>
                <w:kern w:val="0"/>
                <w:sz w:val="24"/>
              </w:rPr>
              <w:t>≥</w:t>
            </w:r>
            <w:r>
              <w:rPr>
                <w:rFonts w:hint="eastAsia" w:ascii="宋体" w:hAnsi="宋体" w:cs="宋体"/>
                <w:kern w:val="0"/>
                <w:sz w:val="24"/>
              </w:rPr>
              <w:t>2个扩展槽，</w:t>
            </w:r>
            <w:r>
              <w:rPr>
                <w:rFonts w:ascii="宋体" w:hAnsi="宋体" w:cs="宋体"/>
                <w:kern w:val="0"/>
                <w:sz w:val="24"/>
              </w:rPr>
              <w:t>≥</w:t>
            </w:r>
            <w:r>
              <w:rPr>
                <w:rFonts w:hint="eastAsia" w:ascii="宋体" w:hAnsi="宋体" w:cs="宋体"/>
                <w:kern w:val="0"/>
                <w:sz w:val="24"/>
              </w:rPr>
              <w:t>2个USB口，</w:t>
            </w:r>
            <w:r>
              <w:rPr>
                <w:rFonts w:ascii="宋体" w:hAnsi="宋体" w:cs="宋体"/>
                <w:kern w:val="0"/>
                <w:sz w:val="24"/>
              </w:rPr>
              <w:t>≥</w:t>
            </w:r>
            <w:r>
              <w:rPr>
                <w:rFonts w:hint="eastAsia" w:ascii="宋体" w:hAnsi="宋体" w:cs="宋体"/>
                <w:kern w:val="0"/>
                <w:sz w:val="24"/>
              </w:rPr>
              <w:t>1个控制口，</w:t>
            </w:r>
            <w:r>
              <w:rPr>
                <w:rFonts w:ascii="宋体" w:hAnsi="宋体" w:cs="宋体"/>
                <w:kern w:val="0"/>
                <w:sz w:val="24"/>
              </w:rPr>
              <w:t>≥</w:t>
            </w:r>
            <w:r>
              <w:rPr>
                <w:rFonts w:hint="eastAsia" w:ascii="宋体" w:hAnsi="宋体" w:cs="宋体"/>
                <w:kern w:val="0"/>
                <w:sz w:val="24"/>
              </w:rPr>
              <w:t>16G内存、</w:t>
            </w:r>
            <w:r>
              <w:rPr>
                <w:rFonts w:ascii="宋体" w:hAnsi="宋体" w:cs="宋体"/>
                <w:kern w:val="0"/>
                <w:sz w:val="24"/>
              </w:rPr>
              <w:t>≥</w:t>
            </w:r>
            <w:r>
              <w:rPr>
                <w:rFonts w:hint="eastAsia" w:ascii="宋体" w:hAnsi="宋体" w:cs="宋体"/>
                <w:kern w:val="0"/>
                <w:sz w:val="24"/>
              </w:rPr>
              <w:t>64G SSD、</w:t>
            </w:r>
            <w:r>
              <w:rPr>
                <w:rFonts w:ascii="宋体" w:hAnsi="宋体" w:cs="宋体"/>
                <w:kern w:val="0"/>
                <w:sz w:val="24"/>
              </w:rPr>
              <w:t>≥</w:t>
            </w:r>
            <w:r>
              <w:rPr>
                <w:rFonts w:hint="eastAsia" w:ascii="宋体" w:hAnsi="宋体" w:cs="宋体"/>
                <w:kern w:val="0"/>
                <w:sz w:val="24"/>
              </w:rPr>
              <w:t>4T企业级硬盘，冗余电源；</w:t>
            </w:r>
            <w:r>
              <w:rPr>
                <w:rFonts w:ascii="宋体" w:hAnsi="宋体" w:cs="宋体"/>
                <w:kern w:val="0"/>
                <w:sz w:val="24"/>
              </w:rPr>
              <w:t>含三年IPS、AV、应用识别特征库升级服务、三年质保。</w:t>
            </w:r>
          </w:p>
          <w:p>
            <w:pPr>
              <w:snapToGrid w:val="0"/>
              <w:spacing w:line="312" w:lineRule="auto"/>
              <w:rPr>
                <w:rFonts w:ascii="宋体" w:hAnsi="宋体" w:cs="宋体"/>
                <w:sz w:val="24"/>
                <w:szCs w:val="32"/>
              </w:rPr>
            </w:pPr>
            <w:r>
              <w:rPr>
                <w:rFonts w:hint="eastAsia" w:ascii="宋体" w:hAnsi="宋体" w:cs="宋体"/>
                <w:sz w:val="24"/>
                <w:szCs w:val="32"/>
              </w:rPr>
              <w:t>2.支持IPv4和IPv6双栈，具有独立的IPv6路由、IPv6对象、IPv6安全策略配置；支持IPv6 over IPv4、IPv6 TO IPv4遂道,支持6TO6地址转换；</w:t>
            </w:r>
          </w:p>
          <w:p>
            <w:pPr>
              <w:snapToGrid w:val="0"/>
              <w:spacing w:line="312" w:lineRule="auto"/>
              <w:rPr>
                <w:rFonts w:ascii="宋体" w:hAnsi="宋体" w:cs="宋体"/>
                <w:sz w:val="24"/>
                <w:szCs w:val="32"/>
              </w:rPr>
            </w:pPr>
            <w:r>
              <w:rPr>
                <w:rFonts w:hint="eastAsia" w:ascii="宋体" w:hAnsi="宋体" w:cs="宋体"/>
                <w:sz w:val="24"/>
                <w:szCs w:val="32"/>
              </w:rPr>
              <w:t>3.</w:t>
            </w:r>
            <w:r>
              <w:rPr>
                <w:rFonts w:ascii="宋体" w:hAnsi="宋体" w:cs="宋体"/>
                <w:sz w:val="24"/>
                <w:szCs w:val="32"/>
              </w:rPr>
              <w:t>支持多ISP线路接入，支持链路主备切换和自动负载均衡，支持ARPing、Ping、HTTPing等多种方法进行链路状态检测；用户认证支持Web认证、客户端认证，支持本地和LDAP、RADIUS等第三方认证，支持用户自助注册；</w:t>
            </w:r>
          </w:p>
          <w:p>
            <w:pPr>
              <w:snapToGrid w:val="0"/>
              <w:spacing w:line="312" w:lineRule="auto"/>
              <w:rPr>
                <w:rFonts w:ascii="宋体" w:hAnsi="宋体" w:cs="宋体"/>
                <w:sz w:val="24"/>
                <w:szCs w:val="32"/>
              </w:rPr>
            </w:pPr>
            <w:r>
              <w:rPr>
                <w:rFonts w:hint="eastAsia" w:ascii="宋体" w:hAnsi="宋体" w:cs="宋体"/>
                <w:sz w:val="24"/>
                <w:szCs w:val="32"/>
              </w:rPr>
              <w:t>4.</w:t>
            </w:r>
            <w:r>
              <w:rPr>
                <w:rFonts w:ascii="宋体" w:hAnsi="宋体" w:cs="宋体"/>
                <w:sz w:val="24"/>
                <w:szCs w:val="32"/>
              </w:rPr>
              <w:t>内置威胁情报库，包含恶意域名、恶意IP等情报信息，可高效识别威胁；内置全球IP地域库,可根据地域库对来自或访问特定地域的IP进行控制，支持地域取反操作；</w:t>
            </w:r>
          </w:p>
          <w:p>
            <w:pPr>
              <w:snapToGrid w:val="0"/>
              <w:spacing w:line="312" w:lineRule="auto"/>
              <w:rPr>
                <w:rFonts w:ascii="宋体" w:hAnsi="宋体" w:cs="宋体"/>
                <w:sz w:val="24"/>
                <w:szCs w:val="32"/>
              </w:rPr>
            </w:pPr>
            <w:r>
              <w:rPr>
                <w:rFonts w:hint="eastAsia" w:ascii="宋体" w:hAnsi="宋体" w:cs="宋体"/>
                <w:sz w:val="24"/>
                <w:szCs w:val="32"/>
              </w:rPr>
              <w:t>5.</w:t>
            </w:r>
            <w:r>
              <w:rPr>
                <w:rFonts w:ascii="宋体" w:hAnsi="宋体" w:cs="宋体"/>
                <w:sz w:val="24"/>
                <w:szCs w:val="32"/>
              </w:rPr>
              <w:t>支持黑名单机制，可快速添加或导入恶意IP、域名，进行永久或临时封锁；</w:t>
            </w:r>
          </w:p>
          <w:p>
            <w:pPr>
              <w:snapToGrid w:val="0"/>
              <w:spacing w:line="312" w:lineRule="auto"/>
              <w:rPr>
                <w:rFonts w:ascii="宋体" w:hAnsi="宋体" w:cs="宋体"/>
                <w:sz w:val="24"/>
                <w:szCs w:val="32"/>
              </w:rPr>
            </w:pPr>
            <w:r>
              <w:rPr>
                <w:rFonts w:hint="eastAsia" w:ascii="宋体" w:hAnsi="宋体" w:cs="宋体"/>
                <w:sz w:val="24"/>
                <w:szCs w:val="32"/>
              </w:rPr>
              <w:t>6.</w:t>
            </w:r>
            <w:r>
              <w:rPr>
                <w:rFonts w:ascii="宋体" w:hAnsi="宋体" w:cs="宋体"/>
                <w:sz w:val="24"/>
                <w:szCs w:val="32"/>
              </w:rPr>
              <w:t>支持单用户和多用户的最大带宽限制、最大新建会话限制、最大并发会话限制；支持基于用户、地址、服务、应用的流量控制，支持保证带宽、三级弹性带宽控制；</w:t>
            </w:r>
          </w:p>
          <w:p>
            <w:pPr>
              <w:snapToGrid w:val="0"/>
              <w:spacing w:line="312" w:lineRule="auto"/>
              <w:jc w:val="left"/>
              <w:rPr>
                <w:rFonts w:ascii="宋体" w:hAnsi="宋体" w:cs="宋体"/>
                <w:sz w:val="24"/>
                <w:szCs w:val="32"/>
              </w:rPr>
            </w:pPr>
            <w:r>
              <w:rPr>
                <w:rFonts w:hint="eastAsia" w:ascii="宋体" w:hAnsi="宋体" w:cs="宋体"/>
                <w:sz w:val="24"/>
                <w:szCs w:val="32"/>
              </w:rPr>
              <w:t>7.</w:t>
            </w:r>
            <w:r>
              <w:rPr>
                <w:rFonts w:ascii="宋体" w:hAnsi="宋体" w:cs="宋体"/>
                <w:sz w:val="24"/>
                <w:szCs w:val="32"/>
              </w:rPr>
              <w:t>基于连接状态检测机制，可根据客户端、服务端、网络服务等条件统计分析当前连链接状态；支持分别对IPV4、IPV6的连接进行统计分析</w:t>
            </w:r>
            <w:r>
              <w:rPr>
                <w:rFonts w:hint="eastAsia" w:ascii="宋体" w:hAnsi="宋体" w:cs="宋体"/>
                <w:sz w:val="24"/>
                <w:szCs w:val="32"/>
              </w:rPr>
              <w:t>。</w:t>
            </w:r>
          </w:p>
          <w:p>
            <w:pPr>
              <w:snapToGrid w:val="0"/>
              <w:spacing w:line="312" w:lineRule="auto"/>
              <w:jc w:val="left"/>
              <w:rPr>
                <w:rFonts w:ascii="宋体" w:hAnsi="宋体" w:cs="宋体"/>
                <w:sz w:val="24"/>
                <w:szCs w:val="32"/>
              </w:rPr>
            </w:pPr>
            <w:r>
              <w:rPr>
                <w:rFonts w:hint="eastAsia" w:ascii="宋体" w:hAnsi="宋体" w:cs="宋体"/>
                <w:sz w:val="24"/>
                <w:szCs w:val="32"/>
              </w:rPr>
              <w:t>8.提供三年IPS、AV、应用识别特征库升级服务；三年硬件质保。</w:t>
            </w:r>
          </w:p>
          <w:p>
            <w:pPr>
              <w:snapToGrid w:val="0"/>
              <w:spacing w:line="312" w:lineRule="auto"/>
              <w:jc w:val="left"/>
              <w:rPr>
                <w:rFonts w:ascii="宋体" w:hAnsi="宋体" w:cs="宋体"/>
                <w:kern w:val="0"/>
                <w:sz w:val="24"/>
              </w:rPr>
            </w:pPr>
            <w:r>
              <w:rPr>
                <w:rFonts w:hint="eastAsia" w:ascii="宋体" w:hAnsi="宋体" w:cs="宋体"/>
                <w:sz w:val="24"/>
              </w:rPr>
              <w:t>9.支持与我院现有态势感知平台实现联动处置，形成自动封堵策略，提升网络安全协同防御水平；（提供承诺函，并承担定制接口所需费用）</w:t>
            </w:r>
          </w:p>
        </w:tc>
      </w:tr>
    </w:tbl>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其他要求</w:t>
      </w:r>
    </w:p>
    <w:p>
      <w:pPr>
        <w:pStyle w:val="15"/>
        <w:spacing w:before="0" w:beforeAutospacing="0" w:after="0" w:afterAutospacing="0" w:line="480" w:lineRule="atLeast"/>
        <w:ind w:firstLine="640"/>
        <w:jc w:val="both"/>
      </w:pPr>
      <w:r>
        <w:rPr>
          <w:rStyle w:val="18"/>
          <w:rFonts w:hint="eastAsia" w:ascii="仿宋_GB2312" w:eastAsia="仿宋_GB2312"/>
          <w:sz w:val="32"/>
          <w:szCs w:val="32"/>
        </w:rPr>
        <w:t>1、本项目为交钥匙工程，设备安装、系统集成、软件客户化均由乙方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pStyle w:val="15"/>
        <w:spacing w:before="0" w:beforeAutospacing="0" w:after="0" w:afterAutospacing="0" w:line="480" w:lineRule="atLeast"/>
        <w:ind w:firstLine="640"/>
        <w:jc w:val="both"/>
      </w:pPr>
      <w:r>
        <w:rPr>
          <w:rStyle w:val="18"/>
          <w:rFonts w:hint="eastAsia" w:ascii="仿宋_GB2312" w:eastAsia="仿宋_GB2312"/>
          <w:sz w:val="32"/>
          <w:szCs w:val="32"/>
        </w:rPr>
        <w:t>2、本项目系统需符合《信息安全技术网络安全等级保护基本要求》GB/T22239-2019（三级）要求（下文简称：三级等保2.0），并在三级等保2.0评审中协助完成本系统评审工作。在我院网络安全应急、攻防保障中，需提供技术驻点服务，次数不限。</w:t>
      </w:r>
    </w:p>
    <w:p>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为保证对接兼容性，供应商须承诺本次采购的防火墙支持与医院内网部署的安全感知与运营管理平台无缝对接、配合，实现网络安全运维自动告警、阻断，提升安全防护能力和抗攻击水平，并承担定制接口所需费用；若涉及需对医院现有系统平台进行改造的，经采购人同意后，由成交人负责，因此产生的费用由成交人自行承担。成交后均按响应承诺执行，否则按虚假应标处理(供应商仅在响应表中体现此项要求或未按要求提供承诺函的均按未提供处理)；</w:t>
      </w:r>
    </w:p>
    <w:p>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为保证对接兼容性，供应商须承诺本次采购的内网万兆防火墙支持与医院现有的内网核心防火墙无缝对接，实现高效、安全、可靠的安全配置导入导出功能，确保防火墙安全配置能够顺利迁移或恢复。成交后均按响应承诺执行，否则按虚假应标处理(供应商仅在响应表中体现此项要求或未按要求提供承诺函的均按未提供处理)；</w:t>
      </w:r>
    </w:p>
    <w:p>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为了方便管理和维护，提升运维管理工作效率，供应商须承诺防火墙厂商具有集中管理软件，可支持对本次部署的防火墙、医院现有的医保接入防火墙、政务外网接入防火墙等进行安全策略统一下发、集中管理，版本及特征库统一升级，状态集中监控；成交后均按响应承诺执行，否则按虚假应标处理(供应商仅在响应表中体现此项要求或未按要求提供承诺函的均按未提供处理)；</w:t>
      </w:r>
    </w:p>
    <w:p>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6.本项目涉及的安全设备安装调试并经验收合格后，应对采购方的相关人员提供关于系统应用时技术和操作方面的培训。相关培训费用应包含在投标总价中。</w:t>
      </w:r>
    </w:p>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7、参加调研会的公司应准备PPT材料（含方案介绍、安全能力、应用案例、报价等）、技术参数等材料，每公司讲解时间30分钟（含答疑10分钟）；同时上述材料须交予院方留档（提供U盘留档）。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1"/>
        <w:rPr>
          <w:rFonts w:ascii="仿宋_GB2312" w:hAnsi="仿宋_GB2312" w:cs="仿宋_GB2312"/>
          <w:bCs/>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ZkNzQ4ZWFiZmQ4NTRhOWRkZTk3YTMwMjlmMmZhYm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vision"/>
    <w:hidden/>
    <w:unhideWhenUsed/>
    <w:uiPriority w:val="99"/>
    <w:rPr>
      <w:rFonts w:ascii="Calibri" w:hAnsi="Calibri" w:cs="黑体"/>
      <w:kern w:val="2"/>
      <w:sz w:val="21"/>
      <w:szCs w:val="24"/>
    </w:rPr>
  </w:style>
  <w:style w:type="character" w:customStyle="1" w:styleId="17">
    <w:name w:val="页眉 字符"/>
    <w:basedOn w:val="9"/>
    <w:link w:val="7"/>
    <w:qFormat/>
    <w:uiPriority w:val="0"/>
    <w:rPr>
      <w:rFonts w:ascii="Calibri" w:hAnsi="Calibri" w:cs="黑体"/>
      <w:kern w:val="2"/>
      <w:sz w:val="18"/>
      <w:szCs w:val="18"/>
    </w:rPr>
  </w:style>
  <w:style w:type="character" w:customStyle="1" w:styleId="18">
    <w:name w:val="b-free-read-leaf"/>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513</Words>
  <Characters>2927</Characters>
  <Lines>24</Lines>
  <Paragraphs>6</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2024-04-23T07:13:00Z</dcterms:created>
  <dc:creator>Admin</dc:creator>
  <cp:lastModifiedBy>Admin</cp:lastModifiedBy>
  <cp:lastPrinted>2023-06-20T07:45:00Z</cp:lastPrinted>
  <dcterms:modified xsi:type="dcterms:W3CDTF">2024-04-24T08:10:56Z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7B6D08EC22354A3C8392365746CFEF46_13</vt:lpwstr>
  </property>
</Properties>
</file>