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福建省肿瘤医院</w:t>
      </w:r>
      <w:bookmarkStart w:id="0" w:name="_GoBack"/>
      <w:bookmarkEnd w:id="0"/>
    </w:p>
    <w:p>
      <w:pPr>
        <w:pStyle w:val="2"/>
        <w:jc w:val="center"/>
        <w:rPr>
          <w:rFonts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bCs/>
          <w:color w:val="auto"/>
          <w:sz w:val="44"/>
          <w:szCs w:val="44"/>
          <w:highlight w:val="none"/>
          <w:lang w:val="en-US" w:eastAsia="zh-CN"/>
        </w:rPr>
        <w:t>门诊LED屏</w:t>
      </w:r>
      <w:r>
        <w:rPr>
          <w:rFonts w:hint="eastAsia" w:ascii="方正小标宋简体" w:hAnsi="方正小标宋简体" w:eastAsia="方正小标宋简体" w:cs="方正小标宋简体"/>
          <w:b w:val="0"/>
          <w:kern w:val="2"/>
          <w:szCs w:val="44"/>
        </w:rPr>
        <w:t>网超品牌论证公告</w:t>
      </w:r>
    </w:p>
    <w:p>
      <w:pPr>
        <w:pStyle w:val="2"/>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1"/>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医院门诊LED屏</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000000"/>
                <w:kern w:val="0"/>
                <w:sz w:val="32"/>
                <w:szCs w:val="32"/>
              </w:rPr>
              <w:t>调研报名时间：2024年</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24</w:t>
            </w:r>
            <w:r>
              <w:rPr>
                <w:rFonts w:hint="eastAsia" w:ascii="仿宋_GB2312" w:hAnsi="仿宋_GB2312" w:eastAsia="仿宋_GB2312" w:cs="仿宋_GB2312"/>
                <w:color w:val="auto"/>
                <w:kern w:val="0"/>
                <w:sz w:val="32"/>
                <w:szCs w:val="32"/>
                <w:highlight w:val="none"/>
              </w:rPr>
              <w:t>日至</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rPr>
              <w:t xml:space="preserve">日 </w:t>
            </w:r>
            <w:r>
              <w:rPr>
                <w:rFonts w:hint="eastAsia" w:ascii="仿宋_GB2312" w:hAnsi="仿宋_GB2312" w:eastAsia="仿宋_GB2312" w:cs="仿宋_GB2312"/>
                <w:color w:val="auto"/>
                <w:spacing w:val="-8"/>
                <w:kern w:val="0"/>
                <w:sz w:val="32"/>
                <w:szCs w:val="32"/>
                <w:highlight w:val="none"/>
                <w:shd w:val="clear" w:color="auto" w:fill="FFFFFF"/>
              </w:rPr>
              <w:t>(节假日除外)8：00-12：00或14：00-17：</w:t>
            </w:r>
            <w:r>
              <w:rPr>
                <w:rFonts w:hint="eastAsia" w:ascii="仿宋_GB2312" w:hAnsi="仿宋_GB2312" w:eastAsia="仿宋_GB2312" w:cs="仿宋_GB2312"/>
                <w:color w:val="auto"/>
                <w:spacing w:val="-8"/>
                <w:kern w:val="0"/>
                <w:sz w:val="32"/>
                <w:szCs w:val="32"/>
                <w:highlight w:val="none"/>
                <w:shd w:val="clear" w:color="auto" w:fill="FFFFFF"/>
                <w:lang w:val="en-US" w:eastAsia="zh-CN"/>
              </w:rPr>
              <w:t>0</w:t>
            </w:r>
            <w:r>
              <w:rPr>
                <w:rFonts w:hint="eastAsia" w:ascii="仿宋_GB2312" w:hAnsi="仿宋_GB2312" w:eastAsia="仿宋_GB2312" w:cs="仿宋_GB2312"/>
                <w:color w:val="auto"/>
                <w:spacing w:val="-8"/>
                <w:kern w:val="0"/>
                <w:sz w:val="32"/>
                <w:szCs w:val="32"/>
                <w:highlight w:val="none"/>
                <w:shd w:val="clear" w:color="auto" w:fill="FFFFFF"/>
              </w:rPr>
              <w:t>0(北京时间）</w:t>
            </w:r>
          </w:p>
          <w:p>
            <w:pPr>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auto"/>
                <w:kern w:val="0"/>
                <w:sz w:val="32"/>
                <w:szCs w:val="32"/>
                <w:highlight w:val="none"/>
              </w:rPr>
              <w:t>调研会时间： 2024年</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15</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编：350014</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报名联系电话：0591-83660063-8822</w:t>
      </w:r>
    </w:p>
    <w:p>
      <w:pPr>
        <w:shd w:val="clear" w:color="auto" w:fill="FFFFFF"/>
        <w:spacing w:line="440" w:lineRule="atLeas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联系人：金 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lang w:val="en-US" w:eastAsia="zh-CN"/>
        </w:rPr>
        <w:t>陈 工</w:t>
      </w:r>
    </w:p>
    <w:p>
      <w:pPr>
        <w:pStyle w:val="15"/>
        <w:rPr>
          <w:rFonts w:ascii="仿宋_GB2312" w:hAnsi="仿宋_GB2312" w:cs="仿宋_GB2312"/>
          <w:sz w:val="32"/>
          <w:szCs w:val="32"/>
        </w:rPr>
      </w:pPr>
      <w:r>
        <w:rPr>
          <w:rFonts w:hint="eastAsia" w:ascii="仿宋_GB2312" w:hAnsi="仿宋_GB2312" w:cs="仿宋_GB2312"/>
          <w:sz w:val="32"/>
          <w:szCs w:val="32"/>
        </w:rPr>
        <w:br w:type="page"/>
      </w:r>
    </w:p>
    <w:p>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shd w:val="clear" w:color="auto" w:fill="FFFFFF"/>
        <w:autoSpaceDE w:val="0"/>
        <w:snapToGrid w:val="0"/>
        <w:spacing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exact"/>
        </w:trPr>
        <w:tc>
          <w:tcPr>
            <w:tcW w:w="2697" w:type="dxa"/>
            <w:vAlign w:val="center"/>
          </w:tcPr>
          <w:p>
            <w:pPr>
              <w:snapToGrid w:val="0"/>
              <w:spacing w:line="312" w:lineRule="auto"/>
              <w:jc w:val="center"/>
              <w:rPr>
                <w:rFonts w:ascii="宋体" w:hAnsi="宋体" w:cs="宋体"/>
                <w:b/>
                <w:bCs/>
                <w:sz w:val="24"/>
              </w:rPr>
            </w:pPr>
            <w:r>
              <w:rPr>
                <w:rFonts w:hint="eastAsia" w:ascii="宋体" w:hAnsi="宋体" w:cs="宋体"/>
                <w:b/>
                <w:bCs/>
                <w:color w:val="000000"/>
                <w:kern w:val="0"/>
                <w:sz w:val="24"/>
              </w:rPr>
              <w:t>合同包</w:t>
            </w:r>
          </w:p>
        </w:tc>
        <w:tc>
          <w:tcPr>
            <w:tcW w:w="3178" w:type="dxa"/>
            <w:vAlign w:val="center"/>
          </w:tcPr>
          <w:p>
            <w:pPr>
              <w:snapToGrid w:val="0"/>
              <w:spacing w:line="312" w:lineRule="auto"/>
              <w:jc w:val="center"/>
              <w:rPr>
                <w:rFonts w:ascii="宋体" w:hAnsi="宋体" w:cs="宋体"/>
                <w:b/>
                <w:bCs/>
                <w:kern w:val="0"/>
                <w:sz w:val="24"/>
              </w:rPr>
            </w:pPr>
            <w:r>
              <w:rPr>
                <w:rFonts w:hint="eastAsia" w:ascii="宋体" w:hAnsi="宋体" w:cs="宋体"/>
                <w:b/>
                <w:bCs/>
                <w:color w:val="000000"/>
                <w:kern w:val="0"/>
                <w:sz w:val="24"/>
              </w:rPr>
              <w:t>名称</w:t>
            </w:r>
          </w:p>
        </w:tc>
        <w:tc>
          <w:tcPr>
            <w:tcW w:w="1590" w:type="dxa"/>
            <w:vAlign w:val="center"/>
          </w:tcPr>
          <w:p>
            <w:pPr>
              <w:snapToGrid w:val="0"/>
              <w:spacing w:line="312" w:lineRule="auto"/>
              <w:jc w:val="center"/>
              <w:rPr>
                <w:rFonts w:ascii="宋体" w:hAnsi="宋体" w:cs="宋体"/>
                <w:b/>
                <w:bCs/>
                <w:kern w:val="0"/>
                <w:sz w:val="24"/>
              </w:rPr>
            </w:pPr>
            <w:r>
              <w:rPr>
                <w:rFonts w:hint="eastAsia" w:ascii="宋体" w:hAnsi="宋体" w:cs="宋体"/>
                <w:b/>
                <w:bCs/>
                <w:color w:val="000000"/>
                <w:kern w:val="0"/>
                <w:sz w:val="24"/>
              </w:rPr>
              <w:t>数量</w:t>
            </w:r>
          </w:p>
        </w:tc>
        <w:tc>
          <w:tcPr>
            <w:tcW w:w="1894" w:type="dxa"/>
            <w:vAlign w:val="center"/>
          </w:tcPr>
          <w:p>
            <w:pPr>
              <w:snapToGrid w:val="0"/>
              <w:spacing w:line="312" w:lineRule="auto"/>
              <w:jc w:val="center"/>
              <w:rPr>
                <w:rFonts w:ascii="宋体" w:hAnsi="宋体" w:cs="宋体"/>
                <w:b/>
                <w:bCs/>
                <w:kern w:val="0"/>
                <w:sz w:val="24"/>
              </w:rPr>
            </w:pPr>
            <w:r>
              <w:rPr>
                <w:rFonts w:hint="eastAsia" w:ascii="宋体" w:hAnsi="宋体" w:cs="宋体"/>
                <w:b/>
                <w:bCs/>
                <w:color w:val="000000"/>
                <w:kern w:val="0"/>
                <w:sz w:val="24"/>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exact"/>
        </w:trPr>
        <w:tc>
          <w:tcPr>
            <w:tcW w:w="2697" w:type="dxa"/>
            <w:vAlign w:val="center"/>
          </w:tcPr>
          <w:p>
            <w:pPr>
              <w:snapToGrid w:val="0"/>
              <w:spacing w:line="312" w:lineRule="auto"/>
              <w:jc w:val="center"/>
              <w:rPr>
                <w:rFonts w:ascii="宋体" w:hAnsi="宋体" w:cs="宋体"/>
                <w:color w:val="000000"/>
                <w:kern w:val="0"/>
                <w:sz w:val="22"/>
                <w:szCs w:val="22"/>
              </w:rPr>
            </w:pPr>
            <w:r>
              <w:rPr>
                <w:rFonts w:hint="eastAsia" w:ascii="宋体" w:hAnsi="宋体" w:cs="宋体"/>
                <w:b/>
                <w:bCs/>
                <w:color w:val="000000"/>
                <w:kern w:val="0"/>
                <w:sz w:val="22"/>
                <w:szCs w:val="22"/>
              </w:rPr>
              <w:t>（一）</w:t>
            </w:r>
          </w:p>
        </w:tc>
        <w:tc>
          <w:tcPr>
            <w:tcW w:w="3178" w:type="dxa"/>
            <w:vAlign w:val="center"/>
          </w:tcPr>
          <w:p>
            <w:pPr>
              <w:snapToGrid w:val="0"/>
              <w:spacing w:line="312" w:lineRule="auto"/>
              <w:rPr>
                <w:rFonts w:ascii="宋体" w:hAnsi="宋体" w:cs="宋体"/>
                <w:kern w:val="0"/>
                <w:sz w:val="24"/>
              </w:rPr>
            </w:pPr>
            <w:r>
              <w:rPr>
                <w:rFonts w:hint="eastAsia" w:ascii="仿宋_GB2312" w:hAnsi="仿宋_GB2312" w:eastAsia="仿宋_GB2312" w:cs="仿宋_GB2312"/>
                <w:color w:val="000000"/>
                <w:kern w:val="0"/>
                <w:sz w:val="32"/>
                <w:szCs w:val="32"/>
                <w:lang w:val="en-US" w:eastAsia="zh-CN"/>
              </w:rPr>
              <w:t>医院门诊LED屏</w:t>
            </w:r>
          </w:p>
        </w:tc>
        <w:tc>
          <w:tcPr>
            <w:tcW w:w="1590" w:type="dxa"/>
            <w:vAlign w:val="center"/>
          </w:tcPr>
          <w:p>
            <w:pPr>
              <w:autoSpaceDN w:val="0"/>
              <w:snapToGrid w:val="0"/>
              <w:spacing w:line="312" w:lineRule="auto"/>
              <w:textAlignment w:val="center"/>
              <w:rPr>
                <w:rFonts w:ascii="宋体" w:hAnsi="宋体" w:cs="宋体"/>
                <w:color w:val="000000"/>
                <w:sz w:val="24"/>
              </w:rPr>
            </w:pPr>
            <w:r>
              <w:rPr>
                <w:rFonts w:hint="eastAsia" w:ascii="宋体" w:hAnsi="宋体" w:cs="宋体"/>
                <w:color w:val="000000"/>
                <w:sz w:val="24"/>
              </w:rPr>
              <w:t>1项</w:t>
            </w:r>
          </w:p>
        </w:tc>
        <w:tc>
          <w:tcPr>
            <w:tcW w:w="1894" w:type="dxa"/>
            <w:vAlign w:val="center"/>
          </w:tcPr>
          <w:p>
            <w:pPr>
              <w:autoSpaceDN w:val="0"/>
              <w:snapToGrid w:val="0"/>
              <w:spacing w:line="312" w:lineRule="auto"/>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25</w:t>
            </w:r>
          </w:p>
        </w:tc>
      </w:tr>
    </w:tbl>
    <w:p>
      <w:pPr>
        <w:shd w:val="clear" w:color="auto" w:fill="FFFFFF"/>
        <w:autoSpaceDE w:val="0"/>
        <w:snapToGrid w:val="0"/>
        <w:spacing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p>
    <w:p>
      <w:pPr>
        <w:pStyle w:val="15"/>
        <w:snapToGrid w:val="0"/>
        <w:spacing w:line="360" w:lineRule="auto"/>
        <w:outlineLvl w:val="0"/>
        <w:rPr>
          <w:rFonts w:hint="eastAsia" w:ascii="宋体" w:hAnsi="宋体" w:eastAsia="宋体" w:cs="宋体"/>
          <w:sz w:val="28"/>
          <w:szCs w:val="28"/>
        </w:rPr>
      </w:pPr>
      <w:r>
        <w:rPr>
          <w:rFonts w:hint="eastAsia" w:ascii="宋体" w:hAnsi="宋体" w:eastAsia="宋体" w:cs="宋体"/>
          <w:sz w:val="28"/>
          <w:szCs w:val="28"/>
        </w:rPr>
        <w:t>（一）合同包（一）</w:t>
      </w:r>
    </w:p>
    <w:tbl>
      <w:tblPr>
        <w:tblpPr w:leftFromText="180" w:rightFromText="180" w:vertAnchor="text" w:horzAnchor="page" w:tblpX="1803" w:tblpY="50"/>
        <w:tblOverlap w:val="never"/>
        <w:tblW w:w="89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7"/>
        <w:gridCol w:w="1016"/>
        <w:gridCol w:w="5636"/>
        <w:gridCol w:w="717"/>
        <w:gridCol w:w="418"/>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2" w:hRule="atLeast"/>
        </w:trPr>
        <w:tc>
          <w:tcPr>
            <w:tcW w:w="417" w:type="dxa"/>
            <w:tcBorders>
              <w:top w:val="single" w:color="000000" w:sz="4" w:space="0"/>
              <w:left w:val="single" w:color="000000" w:sz="8"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1016"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设备名称</w:t>
            </w:r>
          </w:p>
        </w:tc>
        <w:tc>
          <w:tcPr>
            <w:tcW w:w="5636"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技术参数</w:t>
            </w:r>
          </w:p>
        </w:tc>
        <w:tc>
          <w:tcPr>
            <w:tcW w:w="717"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数量</w:t>
            </w:r>
          </w:p>
        </w:tc>
        <w:tc>
          <w:tcPr>
            <w:tcW w:w="418"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单位</w:t>
            </w:r>
          </w:p>
        </w:tc>
        <w:tc>
          <w:tcPr>
            <w:tcW w:w="740" w:type="dxa"/>
            <w:tcBorders>
              <w:top w:val="single" w:color="000000" w:sz="4" w:space="0"/>
              <w:left w:val="single" w:color="000000" w:sz="4" w:space="0"/>
              <w:bottom w:val="single" w:color="000000" w:sz="4" w:space="0"/>
              <w:right w:val="single" w:color="000000" w:sz="8" w:space="0"/>
            </w:tcBorders>
            <w:shd w:val="clear" w:color="auto" w:fill="D9D9D9"/>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417"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LED显示屏</w:t>
            </w:r>
          </w:p>
        </w:tc>
        <w:tc>
          <w:tcPr>
            <w:tcW w:w="5636" w:type="dxa"/>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1.点间距:3.</w:t>
            </w:r>
            <w:r>
              <w:rPr>
                <w:rFonts w:hint="eastAsia" w:ascii="宋体" w:hAnsi="宋体" w:cs="宋体"/>
                <w:i w:val="0"/>
                <w:iCs w:val="0"/>
                <w:color w:val="000000"/>
                <w:kern w:val="0"/>
                <w:sz w:val="20"/>
                <w:szCs w:val="20"/>
                <w:u w:val="none"/>
                <w:lang w:val="en-US" w:eastAsia="zh-CN"/>
              </w:rPr>
              <w:t>0</w:t>
            </w:r>
            <w:r>
              <w:rPr>
                <w:rFonts w:hint="eastAsia" w:ascii="宋体" w:hAnsi="宋体" w:eastAsia="宋体" w:cs="宋体"/>
                <w:i w:val="0"/>
                <w:iCs w:val="0"/>
                <w:color w:val="000000"/>
                <w:kern w:val="0"/>
                <w:sz w:val="20"/>
                <w:szCs w:val="20"/>
                <w:u w:val="none"/>
                <w:lang w:val="en-US" w:eastAsia="zh-CN"/>
              </w:rPr>
              <w:t>mm，屏体显示面积：长≥14米*高≥1.</w:t>
            </w:r>
            <w:r>
              <w:rPr>
                <w:rFonts w:hint="eastAsia" w:ascii="宋体" w:hAnsi="宋体" w:cs="宋体"/>
                <w:i w:val="0"/>
                <w:iCs w:val="0"/>
                <w:color w:val="000000"/>
                <w:kern w:val="0"/>
                <w:sz w:val="20"/>
                <w:szCs w:val="20"/>
                <w:u w:val="none"/>
                <w:lang w:val="en-US" w:eastAsia="zh-CN"/>
              </w:rPr>
              <w:t>3</w:t>
            </w:r>
            <w:r>
              <w:rPr>
                <w:rFonts w:hint="eastAsia" w:ascii="宋体" w:hAnsi="宋体" w:eastAsia="宋体" w:cs="宋体"/>
                <w:i w:val="0"/>
                <w:iCs w:val="0"/>
                <w:color w:val="000000"/>
                <w:kern w:val="0"/>
                <w:sz w:val="20"/>
                <w:szCs w:val="20"/>
                <w:u w:val="none"/>
                <w:lang w:val="en-US" w:eastAsia="zh-CN"/>
              </w:rPr>
              <w:t>米=≥18.</w:t>
            </w:r>
            <w:r>
              <w:rPr>
                <w:rFonts w:hint="eastAsia" w:ascii="宋体" w:hAnsi="宋体" w:cs="宋体"/>
                <w:i w:val="0"/>
                <w:iCs w:val="0"/>
                <w:color w:val="000000"/>
                <w:kern w:val="0"/>
                <w:sz w:val="20"/>
                <w:szCs w:val="20"/>
                <w:u w:val="none"/>
                <w:lang w:val="en-US" w:eastAsia="zh-CN"/>
              </w:rPr>
              <w:t>2</w:t>
            </w:r>
            <w:r>
              <w:rPr>
                <w:rFonts w:hint="eastAsia" w:ascii="宋体" w:hAnsi="宋体" w:eastAsia="宋体" w:cs="宋体"/>
                <w:i w:val="0"/>
                <w:iCs w:val="0"/>
                <w:color w:val="000000"/>
                <w:kern w:val="0"/>
                <w:sz w:val="20"/>
                <w:szCs w:val="20"/>
                <w:u w:val="none"/>
                <w:lang w:val="en-US" w:eastAsia="zh-CN"/>
              </w:rPr>
              <w:t>㎡,全屏分辨率为：≥4576×416</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2.模组尺寸（mm）≥320*160，模组分辨率：≥104*52</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白平衡亮度：≥600～1500cd/㎡可调,色温可调范围：3000k～10000k，模组亮度均匀性≥99%，对比度5000:1,视角：水平视角≥165°，垂直视角≥165°,刷新频率≥3840HZ；（须提供由CNAS、CMA、ILAC-MRA标志认可的第三方权威检测机构出具的权威检测报告）</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4.模组平整度：≤0.1mm，箱体间缝隙：≤0.1mm；</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5.产品经过抗震、抗冲击、抗碰撞、跌落检测，应能正常工作；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6.具有非线性校正技术，采用LED显示屏非线性Y (Gamma，伽马)校正显示控制技术对输入的视频信号进行校正，校正后的色度空间可得到明显的改善;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7.具有智能存储系统，通过校正多个LED颗粒灯的参数数据，更新已保存的校正数据，达到智能存储其LED显示面板、显示器技术的应用; （须提供由CNAS、CMA、ILAC-MRA标志认可的第三方权威检测机构出具的权威检测报告）</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8.通过调节色彩控制LED点阵内各像素点颜色；可实现对LED显示屏白平衡座标的调节，达到色彩饱和度自调节的效果；（须提供由CNAS、CMA、ILAC-MRA标志认可的第三方权威检测机构出具的权威检测报告）</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9.具备HD自适应图像信号增益技术：通过HD自适应图像信号增益技术，能够实现图像真实还原；更加稳定正确地进行图像控制，实现图像真实还原；</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10.采用同步、异步一体化LED大屏幕控制系统，满足使用显示使用需求；（须提供由CNAS、CMA、ILAC-MRA标志认可的第三方权威检测机构出具的权威检测报告）</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w:t>
            </w:r>
            <w:r>
              <w:rPr>
                <w:rFonts w:hint="eastAsia" w:ascii="宋体" w:hAnsi="宋体" w:cs="宋体"/>
                <w:i w:val="0"/>
                <w:iCs w:val="0"/>
                <w:color w:val="000000"/>
                <w:kern w:val="0"/>
                <w:sz w:val="20"/>
                <w:szCs w:val="20"/>
                <w:u w:val="none"/>
                <w:lang w:val="en-US" w:eastAsia="zh-CN"/>
              </w:rPr>
              <w:t>1</w:t>
            </w:r>
            <w:r>
              <w:rPr>
                <w:rFonts w:hint="eastAsia" w:ascii="宋体" w:hAnsi="宋体" w:eastAsia="宋体" w:cs="宋体"/>
                <w:i w:val="0"/>
                <w:iCs w:val="0"/>
                <w:color w:val="000000"/>
                <w:kern w:val="0"/>
                <w:sz w:val="20"/>
                <w:szCs w:val="20"/>
                <w:u w:val="none"/>
                <w:lang w:val="en-US" w:eastAsia="zh-CN"/>
              </w:rPr>
              <w:t>.具有低亮高灰高刷特性；100%亮度时，灰度≥16bits ，70%亮度时，灰度≥15bits, 50%亮度时，灰度≥13bits；20%亮度时，灰度≥12bits;亮度小于300cd/m²时，灰度与刷新率不低于原先设定值80%；（须提供由CNAS、CMA、ILAC-MRA标志认可的第三方权威检测机构出具的权威检测报告）</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w:t>
            </w:r>
            <w:r>
              <w:rPr>
                <w:rFonts w:hint="eastAsia" w:ascii="宋体" w:hAnsi="宋体" w:cs="宋体"/>
                <w:i w:val="0"/>
                <w:iCs w:val="0"/>
                <w:color w:val="000000"/>
                <w:kern w:val="0"/>
                <w:sz w:val="20"/>
                <w:szCs w:val="20"/>
                <w:u w:val="none"/>
                <w:lang w:val="en-US" w:eastAsia="zh-CN"/>
              </w:rPr>
              <w:t>2</w:t>
            </w:r>
            <w:r>
              <w:rPr>
                <w:rFonts w:hint="eastAsia" w:ascii="宋体" w:hAnsi="宋体" w:eastAsia="宋体" w:cs="宋体"/>
                <w:i w:val="0"/>
                <w:iCs w:val="0"/>
                <w:color w:val="000000"/>
                <w:kern w:val="0"/>
                <w:sz w:val="20"/>
                <w:szCs w:val="20"/>
                <w:u w:val="none"/>
                <w:lang w:val="en-US" w:eastAsia="zh-CN"/>
              </w:rPr>
              <w:t>.屏体工作噪音＜1.5m范围内要求≤4db，采用屏体无风扇零噪音设计，屏体为中心半径1.5米范围内，无噪音；（须提供由CNAS、CMA、ILAC-MRA标志认可的第三方权威检测机构出具的权威检测报告）</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w:t>
            </w:r>
            <w:r>
              <w:rPr>
                <w:rFonts w:hint="eastAsia" w:ascii="宋体" w:hAnsi="宋体" w:cs="宋体"/>
                <w:i w:val="0"/>
                <w:iCs w:val="0"/>
                <w:color w:val="000000"/>
                <w:kern w:val="0"/>
                <w:sz w:val="20"/>
                <w:szCs w:val="20"/>
                <w:u w:val="none"/>
                <w:lang w:val="en-US" w:eastAsia="zh-CN"/>
              </w:rPr>
              <w:t>3</w:t>
            </w:r>
            <w:r>
              <w:rPr>
                <w:rFonts w:hint="eastAsia" w:ascii="宋体" w:hAnsi="宋体" w:eastAsia="宋体" w:cs="宋体"/>
                <w:i w:val="0"/>
                <w:iCs w:val="0"/>
                <w:color w:val="000000"/>
                <w:kern w:val="0"/>
                <w:sz w:val="20"/>
                <w:szCs w:val="20"/>
                <w:u w:val="none"/>
                <w:lang w:val="en-US" w:eastAsia="zh-CN"/>
              </w:rPr>
              <w:t>.环境温度：工作：﹣20℃-50℃，存储：﹣40℃-60℃，通过专业的温升测试，保证整屏工作正常，环境湿度：工作：10%-90%无凝露，存储：5%-90%无凝露；（须提供由CNAS、CMA、ILAC-MRA标志认可的第三方权威检测机构出具的权威检测报告）</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w:t>
            </w:r>
            <w:r>
              <w:rPr>
                <w:rFonts w:hint="eastAsia" w:ascii="宋体" w:hAnsi="宋体" w:cs="宋体"/>
                <w:i w:val="0"/>
                <w:iCs w:val="0"/>
                <w:color w:val="000000"/>
                <w:kern w:val="0"/>
                <w:sz w:val="20"/>
                <w:szCs w:val="20"/>
                <w:u w:val="none"/>
                <w:lang w:val="en-US" w:eastAsia="zh-CN"/>
              </w:rPr>
              <w:t>4</w:t>
            </w:r>
            <w:r>
              <w:rPr>
                <w:rFonts w:hint="eastAsia" w:ascii="宋体" w:hAnsi="宋体" w:eastAsia="宋体" w:cs="宋体"/>
                <w:i w:val="0"/>
                <w:iCs w:val="0"/>
                <w:color w:val="000000"/>
                <w:kern w:val="0"/>
                <w:sz w:val="20"/>
                <w:szCs w:val="20"/>
                <w:u w:val="none"/>
                <w:lang w:val="en-US" w:eastAsia="zh-CN"/>
              </w:rPr>
              <w:t>.显示屏面罩和PCB均通过防火等级检测，防火等级符合BS476标准CLASS2等级，PCB板（主板、模组等)、单元塑料面板料（面罩等）及单元整体采用特殊材料，阻燃等级满足V-0级；</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r>
              <w:rPr>
                <w:rFonts w:hint="eastAsia" w:ascii="宋体" w:hAnsi="宋体" w:cs="宋体"/>
                <w:i w:val="0"/>
                <w:iCs w:val="0"/>
                <w:color w:val="000000"/>
                <w:kern w:val="0"/>
                <w:sz w:val="20"/>
                <w:szCs w:val="20"/>
                <w:u w:val="none"/>
                <w:lang w:val="en-US" w:eastAsia="zh-CN"/>
              </w:rPr>
              <w:t>2</w:t>
            </w:r>
          </w:p>
        </w:tc>
        <w:tc>
          <w:tcPr>
            <w:tcW w:w="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740" w:type="dxa"/>
            <w:tcBorders>
              <w:top w:val="single" w:color="000000" w:sz="4" w:space="0"/>
              <w:left w:val="single" w:color="000000" w:sz="4" w:space="0"/>
              <w:bottom w:val="single" w:color="000000" w:sz="4" w:space="0"/>
              <w:right w:val="single" w:color="000000" w:sz="8" w:space="0"/>
            </w:tcBorders>
            <w:vAlign w:val="center"/>
          </w:tcPr>
          <w:p>
            <w:pPr>
              <w:jc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417"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专用电源</w:t>
            </w:r>
          </w:p>
        </w:tc>
        <w:tc>
          <w:tcPr>
            <w:tcW w:w="5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输入电压≥4V-5V，输出电流≥0-40A，额定功耗≥180W，带欠压、过压、短路、过流、过温保护功能。</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c>
          <w:tcPr>
            <w:tcW w:w="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c>
          <w:tcPr>
            <w:tcW w:w="740" w:type="dxa"/>
            <w:tcBorders>
              <w:top w:val="single" w:color="000000" w:sz="4" w:space="0"/>
              <w:left w:val="single" w:color="000000" w:sz="4" w:space="0"/>
              <w:bottom w:val="single" w:color="000000" w:sz="4" w:space="0"/>
              <w:right w:val="single" w:color="000000" w:sz="8" w:space="0"/>
            </w:tcBorders>
            <w:vAlign w:val="center"/>
          </w:tcPr>
          <w:p>
            <w:pP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5" w:hRule="atLeast"/>
        </w:trPr>
        <w:tc>
          <w:tcPr>
            <w:tcW w:w="417"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LED控制系统</w:t>
            </w:r>
          </w:p>
        </w:tc>
        <w:tc>
          <w:tcPr>
            <w:tcW w:w="5636" w:type="dxa"/>
            <w:tcBorders>
              <w:top w:val="single" w:color="000000" w:sz="4" w:space="0"/>
              <w:left w:val="single" w:color="000000" w:sz="4" w:space="0"/>
              <w:bottom w:val="single" w:color="000000" w:sz="4" w:space="0"/>
              <w:right w:val="single" w:color="000000" w:sz="4" w:space="0"/>
            </w:tcBorders>
            <w:vAlign w:val="top"/>
          </w:tcPr>
          <w:p>
            <w:pPr>
              <w:numPr>
                <w:ilvl w:val="0"/>
                <w:numId w:val="1"/>
              </w:numPr>
              <w:spacing w:after="0" w:line="300" w:lineRule="exact"/>
              <w:ind w:left="425" w:leftChars="0" w:hanging="425" w:firstLineChars="0"/>
              <w:rPr>
                <w:rFonts w:hint="eastAsia" w:ascii="宋体" w:hAnsi="宋体" w:eastAsia="宋体" w:cs="宋体"/>
                <w:sz w:val="20"/>
                <w:szCs w:val="20"/>
              </w:rPr>
            </w:pPr>
            <w:r>
              <w:rPr>
                <w:rFonts w:hint="eastAsia" w:ascii="宋体" w:hAnsi="宋体" w:eastAsia="宋体" w:cs="宋体"/>
                <w:sz w:val="20"/>
                <w:szCs w:val="20"/>
              </w:rPr>
              <w:t xml:space="preserve">单卡最大带载 </w:t>
            </w:r>
            <w:r>
              <w:rPr>
                <w:rFonts w:hint="eastAsia" w:ascii="宋体" w:hAnsi="宋体" w:eastAsia="宋体" w:cs="宋体"/>
                <w:sz w:val="20"/>
                <w:szCs w:val="20"/>
                <w:lang w:val="en-US" w:eastAsia="zh-CN"/>
              </w:rPr>
              <w:t>256</w:t>
            </w:r>
            <w:r>
              <w:rPr>
                <w:rFonts w:hint="eastAsia" w:ascii="宋体" w:hAnsi="宋体" w:eastAsia="宋体" w:cs="宋体"/>
                <w:sz w:val="20"/>
                <w:szCs w:val="20"/>
              </w:rPr>
              <w:t>×</w:t>
            </w:r>
            <w:r>
              <w:rPr>
                <w:rFonts w:hint="eastAsia" w:ascii="宋体" w:hAnsi="宋体" w:eastAsia="宋体" w:cs="宋体"/>
                <w:sz w:val="20"/>
                <w:szCs w:val="20"/>
                <w:lang w:val="en-US" w:eastAsia="zh-CN"/>
              </w:rPr>
              <w:t>256</w:t>
            </w:r>
            <w:r>
              <w:rPr>
                <w:rFonts w:hint="eastAsia" w:ascii="宋体" w:hAnsi="宋体" w:eastAsia="宋体" w:cs="宋体"/>
                <w:sz w:val="20"/>
                <w:szCs w:val="20"/>
              </w:rPr>
              <w:t xml:space="preserve"> 像素，最多支持 </w:t>
            </w:r>
            <w:r>
              <w:rPr>
                <w:rFonts w:hint="eastAsia" w:ascii="宋体" w:hAnsi="宋体" w:eastAsia="宋体" w:cs="宋体"/>
                <w:sz w:val="20"/>
                <w:szCs w:val="20"/>
                <w:lang w:val="en-US" w:eastAsia="zh-CN"/>
              </w:rPr>
              <w:t>16</w:t>
            </w:r>
            <w:r>
              <w:rPr>
                <w:rFonts w:hint="eastAsia" w:ascii="宋体" w:hAnsi="宋体" w:eastAsia="宋体" w:cs="宋体"/>
                <w:sz w:val="20"/>
                <w:szCs w:val="20"/>
              </w:rPr>
              <w:t xml:space="preserve">组 RGB 并行数据。采用 </w:t>
            </w:r>
            <w:r>
              <w:rPr>
                <w:rFonts w:hint="eastAsia" w:ascii="宋体" w:hAnsi="宋体" w:eastAsia="宋体" w:cs="宋体"/>
                <w:sz w:val="20"/>
                <w:szCs w:val="20"/>
                <w:lang w:val="en-US" w:eastAsia="zh-CN"/>
              </w:rPr>
              <w:t>8</w:t>
            </w:r>
            <w:r>
              <w:rPr>
                <w:rFonts w:hint="eastAsia" w:ascii="宋体" w:hAnsi="宋体" w:eastAsia="宋体" w:cs="宋体"/>
                <w:sz w:val="20"/>
                <w:szCs w:val="20"/>
              </w:rPr>
              <w:t xml:space="preserve">个 标准的 HUB75 接口，具有高稳定性和高可靠性，适用于多种环境的搭建。 </w:t>
            </w:r>
          </w:p>
          <w:p>
            <w:pPr>
              <w:numPr>
                <w:ilvl w:val="0"/>
                <w:numId w:val="1"/>
              </w:numPr>
              <w:spacing w:after="0" w:line="300" w:lineRule="exact"/>
              <w:ind w:left="425" w:leftChars="0" w:hanging="425" w:firstLineChars="0"/>
              <w:rPr>
                <w:rFonts w:hint="eastAsia" w:ascii="宋体" w:hAnsi="宋体" w:eastAsia="宋体" w:cs="宋体"/>
                <w:sz w:val="20"/>
                <w:szCs w:val="20"/>
              </w:rPr>
            </w:pPr>
            <w:r>
              <w:rPr>
                <w:rFonts w:hint="eastAsia" w:ascii="宋体" w:hAnsi="宋体" w:eastAsia="宋体" w:cs="宋体"/>
                <w:sz w:val="20"/>
                <w:szCs w:val="20"/>
              </w:rPr>
              <w:t>接收卡 的硬件设计和软件设计充分考虑部署、运行和维护时的场景，使部署更容易，运行更稳定、维护更高效。</w:t>
            </w:r>
          </w:p>
          <w:p>
            <w:pPr>
              <w:numPr>
                <w:ilvl w:val="0"/>
                <w:numId w:val="1"/>
              </w:numPr>
              <w:spacing w:after="0" w:line="300" w:lineRule="exact"/>
              <w:ind w:left="425" w:leftChars="0" w:hanging="425" w:firstLineChars="0"/>
              <w:rPr>
                <w:rFonts w:hint="eastAsia" w:ascii="宋体" w:hAnsi="宋体" w:eastAsia="宋体" w:cs="宋体"/>
                <w:sz w:val="20"/>
                <w:szCs w:val="20"/>
              </w:rPr>
            </w:pPr>
            <w:r>
              <w:rPr>
                <w:rFonts w:hint="eastAsia" w:ascii="宋体" w:hAnsi="宋体" w:eastAsia="宋体" w:cs="宋体"/>
                <w:sz w:val="20"/>
                <w:szCs w:val="20"/>
              </w:rPr>
              <w:t>支持逐点亮色度校正 配合对应校正软件，对每个灯点的亮度 和色度进行校正，有效消除色差，使整屏的亮度 和色度达到高度均匀一致，提高显示屏的画质。</w:t>
            </w:r>
          </w:p>
          <w:p>
            <w:pPr>
              <w:numPr>
                <w:ilvl w:val="0"/>
                <w:numId w:val="1"/>
              </w:numPr>
              <w:spacing w:after="0" w:line="300" w:lineRule="exact"/>
              <w:ind w:left="425" w:leftChars="0" w:hanging="425" w:firstLineChars="0"/>
              <w:rPr>
                <w:rFonts w:hint="eastAsia" w:ascii="宋体" w:hAnsi="宋体" w:eastAsia="宋体" w:cs="宋体"/>
                <w:sz w:val="20"/>
                <w:szCs w:val="20"/>
              </w:rPr>
            </w:pPr>
            <w:r>
              <w:rPr>
                <w:rFonts w:hint="eastAsia" w:ascii="宋体" w:hAnsi="宋体" w:eastAsia="宋体" w:cs="宋体"/>
                <w:sz w:val="20"/>
                <w:szCs w:val="20"/>
              </w:rPr>
              <w:t xml:space="preserve"> 快速亮暗线调节 在 调试软件上进行快速亮暗线调节，快速解决因 箱体及模组拼接造成的显示屏亮暗线，调节过程 中即时生效，简单易用。 </w:t>
            </w:r>
          </w:p>
          <w:p>
            <w:pPr>
              <w:numPr>
                <w:ilvl w:val="0"/>
                <w:numId w:val="1"/>
              </w:numPr>
              <w:spacing w:after="0" w:line="300" w:lineRule="exact"/>
              <w:ind w:left="425" w:leftChars="0" w:hanging="425" w:firstLineChars="0"/>
              <w:rPr>
                <w:rFonts w:hint="eastAsia" w:ascii="宋体" w:hAnsi="宋体" w:eastAsia="宋体" w:cs="宋体"/>
                <w:sz w:val="20"/>
                <w:szCs w:val="20"/>
              </w:rPr>
            </w:pPr>
            <w:r>
              <w:rPr>
                <w:rFonts w:hint="eastAsia" w:ascii="宋体" w:hAnsi="宋体" w:eastAsia="宋体" w:cs="宋体"/>
                <w:sz w:val="20"/>
                <w:szCs w:val="20"/>
              </w:rPr>
              <w:t xml:space="preserve">3D 功能 配合支持 3D 功能的独立主控，在 调试软件 或独 立主控的操作面板上开启 3D 功能，并设置 3D 参 数，使画面显示 3D 效果。 </w:t>
            </w:r>
          </w:p>
          <w:p>
            <w:pPr>
              <w:numPr>
                <w:ilvl w:val="0"/>
                <w:numId w:val="1"/>
              </w:numPr>
              <w:spacing w:after="0" w:line="300" w:lineRule="exact"/>
              <w:ind w:left="425" w:leftChars="0" w:hanging="425" w:firstLineChars="0"/>
              <w:rPr>
                <w:rFonts w:hint="eastAsia" w:ascii="宋体" w:hAnsi="宋体" w:eastAsia="宋体" w:cs="宋体"/>
                <w:sz w:val="20"/>
                <w:szCs w:val="20"/>
              </w:rPr>
            </w:pPr>
            <w:r>
              <w:rPr>
                <w:rFonts w:hint="eastAsia" w:ascii="宋体" w:hAnsi="宋体" w:eastAsia="宋体" w:cs="宋体"/>
                <w:sz w:val="20"/>
                <w:szCs w:val="20"/>
              </w:rPr>
              <w:t>RGB 独立 Gamma 调节 配合支持 RGB 独立 Gamma 调节的独立主控和对应版本调试软件，通过对“红 Gamma”、“绿 Gamma”、“蓝 Gamma”分别进行 调节，有效控制显示屏低灰不均匀、白平衡漂移 等问题，使画面更加真实。</w:t>
            </w:r>
          </w:p>
          <w:p>
            <w:pPr>
              <w:numPr>
                <w:ilvl w:val="0"/>
                <w:numId w:val="1"/>
              </w:numPr>
              <w:spacing w:after="0" w:line="300" w:lineRule="exact"/>
              <w:ind w:left="425" w:leftChars="0" w:hanging="425" w:firstLineChars="0"/>
              <w:rPr>
                <w:rFonts w:hint="eastAsia" w:ascii="宋体" w:hAnsi="宋体" w:eastAsia="宋体" w:cs="宋体"/>
                <w:sz w:val="20"/>
                <w:szCs w:val="20"/>
              </w:rPr>
            </w:pPr>
            <w:r>
              <w:rPr>
                <w:rFonts w:hint="eastAsia" w:ascii="宋体" w:hAnsi="宋体" w:eastAsia="宋体" w:cs="宋体"/>
                <w:sz w:val="20"/>
                <w:szCs w:val="20"/>
              </w:rPr>
              <w:t>在调试软件 上启用 Mapping 功能后，目标箱体 上会显示接收卡编号和网口信息，可以清晰获取 接收卡的位置和走线方式。</w:t>
            </w:r>
          </w:p>
          <w:p>
            <w:pPr>
              <w:numPr>
                <w:ilvl w:val="0"/>
                <w:numId w:val="1"/>
              </w:numPr>
              <w:spacing w:after="0" w:line="300" w:lineRule="exact"/>
              <w:ind w:left="425" w:leftChars="0" w:hanging="425" w:firstLineChars="0"/>
              <w:rPr>
                <w:rFonts w:hint="eastAsia" w:ascii="宋体" w:hAnsi="宋体" w:eastAsia="宋体" w:cs="宋体"/>
                <w:sz w:val="20"/>
                <w:szCs w:val="20"/>
              </w:rPr>
            </w:pPr>
            <w:r>
              <w:rPr>
                <w:rFonts w:hint="eastAsia" w:ascii="宋体" w:hAnsi="宋体" w:eastAsia="宋体" w:cs="宋体"/>
                <w:sz w:val="20"/>
                <w:szCs w:val="20"/>
              </w:rPr>
              <w:t>温度和电压监测 可以监测自身的温度和电压，无需其他外设，在对应调试软件上可以查看接收卡的温度和电压。</w:t>
            </w:r>
          </w:p>
          <w:p>
            <w:pPr>
              <w:numPr>
                <w:ilvl w:val="0"/>
                <w:numId w:val="1"/>
              </w:numPr>
              <w:spacing w:after="0" w:line="300" w:lineRule="exact"/>
              <w:ind w:left="425" w:leftChars="0" w:hanging="425" w:firstLineChars="0"/>
              <w:rPr>
                <w:rFonts w:hint="eastAsia" w:ascii="宋体" w:hAnsi="宋体" w:eastAsia="宋体" w:cs="宋体"/>
                <w:sz w:val="20"/>
                <w:szCs w:val="20"/>
              </w:rPr>
            </w:pPr>
            <w:r>
              <w:rPr>
                <w:rFonts w:hint="eastAsia" w:ascii="宋体" w:hAnsi="宋体" w:eastAsia="宋体" w:cs="宋体"/>
                <w:sz w:val="20"/>
                <w:szCs w:val="20"/>
              </w:rPr>
              <w:t xml:space="preserve">误码监测 ，检测发送设备 与接收卡间或接收卡与接收卡间的网络通讯质 量，记录错误包数，协助排除网络通讯隐患。 </w:t>
            </w:r>
          </w:p>
          <w:p>
            <w:pPr>
              <w:numPr>
                <w:ilvl w:val="0"/>
                <w:numId w:val="1"/>
              </w:numPr>
              <w:spacing w:after="0" w:line="300" w:lineRule="exact"/>
              <w:ind w:left="425" w:leftChars="0" w:hanging="425" w:firstLineChars="0"/>
              <w:rPr>
                <w:rFonts w:hint="eastAsia" w:ascii="宋体" w:hAnsi="宋体" w:eastAsia="宋体" w:cs="宋体"/>
                <w:sz w:val="20"/>
                <w:szCs w:val="20"/>
              </w:rPr>
            </w:pPr>
            <w:r>
              <w:rPr>
                <w:rFonts w:hint="eastAsia" w:ascii="宋体" w:hAnsi="宋体" w:eastAsia="宋体" w:cs="宋体"/>
                <w:sz w:val="20"/>
                <w:szCs w:val="20"/>
              </w:rPr>
              <w:t>固件程序回读 在对应调试软件上可以回读接收卡的固件程序并保存 到本地。</w:t>
            </w:r>
          </w:p>
          <w:p>
            <w:pPr>
              <w:numPr>
                <w:ilvl w:val="0"/>
                <w:numId w:val="1"/>
              </w:numPr>
              <w:spacing w:after="0" w:line="300" w:lineRule="exact"/>
              <w:ind w:left="425" w:leftChars="0" w:hanging="425" w:firstLineChars="0"/>
              <w:rPr>
                <w:rFonts w:hint="eastAsia" w:ascii="宋体" w:hAnsi="宋体" w:eastAsia="宋体" w:cs="宋体"/>
                <w:sz w:val="20"/>
                <w:szCs w:val="20"/>
              </w:rPr>
            </w:pPr>
            <w:r>
              <w:rPr>
                <w:rFonts w:hint="eastAsia" w:ascii="宋体" w:hAnsi="宋体" w:eastAsia="宋体" w:cs="宋体"/>
                <w:sz w:val="20"/>
                <w:szCs w:val="20"/>
              </w:rPr>
              <w:t>配置参数回读 在对应调试软件上可以回读接收卡配置参数并保存到本地。</w:t>
            </w:r>
          </w:p>
          <w:p>
            <w:pPr>
              <w:numPr>
                <w:ilvl w:val="0"/>
                <w:numId w:val="1"/>
              </w:numPr>
              <w:spacing w:after="0" w:line="300" w:lineRule="exact"/>
              <w:ind w:left="425" w:leftChars="0" w:hanging="425" w:firstLineChars="0"/>
              <w:rPr>
                <w:rFonts w:hint="eastAsia" w:ascii="宋体" w:hAnsi="宋体" w:eastAsia="宋体" w:cs="宋体"/>
                <w:sz w:val="20"/>
                <w:szCs w:val="20"/>
              </w:rPr>
            </w:pPr>
            <w:r>
              <w:rPr>
                <w:rFonts w:hint="eastAsia" w:ascii="宋体" w:hAnsi="宋体" w:eastAsia="宋体" w:cs="宋体"/>
                <w:sz w:val="20"/>
                <w:szCs w:val="20"/>
              </w:rPr>
              <w:t xml:space="preserve">环路备份 通过主备冗余机制增加接收卡间网线级联的可靠 性。主备级联线路中，当其中一条线路出现故障 时，另一条线路会即时工作，保证显示屏正常工 作。 </w:t>
            </w:r>
          </w:p>
          <w:p>
            <w:pPr>
              <w:numPr>
                <w:ilvl w:val="0"/>
                <w:numId w:val="1"/>
              </w:numPr>
              <w:spacing w:after="0" w:line="300" w:lineRule="exact"/>
              <w:ind w:left="425" w:leftChars="0" w:hanging="425" w:firstLineChars="0"/>
              <w:rPr>
                <w:rFonts w:hint="eastAsia" w:ascii="宋体" w:hAnsi="宋体" w:eastAsia="宋体" w:cs="宋体"/>
                <w:i w:val="0"/>
                <w:iCs w:val="0"/>
                <w:color w:val="000000"/>
                <w:sz w:val="20"/>
                <w:szCs w:val="20"/>
                <w:u w:val="none"/>
              </w:rPr>
            </w:pPr>
            <w:r>
              <w:rPr>
                <w:rFonts w:hint="eastAsia" w:ascii="宋体" w:hAnsi="宋体" w:eastAsia="宋体" w:cs="宋体"/>
                <w:sz w:val="20"/>
                <w:szCs w:val="20"/>
              </w:rPr>
              <w:t>双程序备份 接收卡出厂时保存了两份应用程序，以防程序更 新过程异常导致的接收卡死锁问题。</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44</w:t>
            </w:r>
          </w:p>
        </w:tc>
        <w:tc>
          <w:tcPr>
            <w:tcW w:w="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张</w:t>
            </w:r>
          </w:p>
        </w:tc>
        <w:tc>
          <w:tcPr>
            <w:tcW w:w="740" w:type="dxa"/>
            <w:tcBorders>
              <w:top w:val="nil"/>
              <w:left w:val="single" w:color="000000" w:sz="4" w:space="0"/>
              <w:bottom w:val="nil"/>
              <w:right w:val="single" w:color="000000" w:sz="8" w:space="0"/>
            </w:tcBorders>
            <w:vAlign w:val="bottom"/>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417"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控制软件</w:t>
            </w:r>
          </w:p>
        </w:tc>
        <w:tc>
          <w:tcPr>
            <w:tcW w:w="5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支持显示素材多样化，各种视频文件、图片、底图、字幕、流媒体、IP桌面、超大分辨率图像的任意开窗、叠加显示</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套</w:t>
            </w:r>
          </w:p>
        </w:tc>
        <w:tc>
          <w:tcPr>
            <w:tcW w:w="740" w:type="dxa"/>
            <w:tcBorders>
              <w:top w:val="single" w:color="000000" w:sz="4" w:space="0"/>
              <w:left w:val="single" w:color="000000" w:sz="4" w:space="0"/>
              <w:bottom w:val="single" w:color="000000" w:sz="4" w:space="0"/>
              <w:right w:val="single" w:color="000000" w:sz="8" w:space="0"/>
            </w:tcBorders>
            <w:vAlign w:val="bottom"/>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417"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视频处理器</w:t>
            </w:r>
          </w:p>
        </w:tc>
        <w:tc>
          <w:tcPr>
            <w:tcW w:w="5636" w:type="dxa"/>
            <w:tcBorders>
              <w:top w:val="single" w:color="000000" w:sz="4" w:space="0"/>
              <w:left w:val="single" w:color="000000" w:sz="4" w:space="0"/>
              <w:bottom w:val="single" w:color="000000" w:sz="4" w:space="0"/>
              <w:right w:val="single" w:color="000000" w:sz="4" w:space="0"/>
            </w:tcBorders>
            <w:vAlign w:val="top"/>
          </w:tcPr>
          <w:p>
            <w:pPr>
              <w:widowControl/>
              <w:spacing w:after="200" w:afterAutospacing="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1.支持常见的视频接口，2 路 HDMI1.3，1 路 DVI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2.支持HDMI，DVI输入分辨率自 定义调节。</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3.视频输出支持6个千兆网口输 出，最大带载高达390万像素。</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4.无需电脑，支持通过设备旋转按 钮快捷配屏和高级配屏功能点 亮屏体</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5.支持设备备份和网口备份，设备 故障或网线故障时保证屏体运 行过程正常无问题。</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6.无需电脑，可通过旋转按钮一键 调节屏体亮度调节。</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7.无需电脑，支持一键将优先级最 低的窗口全屏自动缩放。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8.支持创建≥10个场景作为 模板保存，方便快速调用。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9.支持选择HDMI输入源或DVI 源作为同步信号，达到输出 的场级同步。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10.支持3图层+1路OSD</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11.发送卡和视频处理器二合一，连 线更加少，稳定性兼容性大大提 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12.液晶面板可实时显示，型号，ip 地址，窗口及信号源的分辨率以 及状态信息，输出6路网口的状 态，屏幕大小及帧频信息，设备 同步模式展示，USB连接或网线 连接状态，屏体亮度</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13.主界面下，按下旋钮进入菜单操作 界面。菜单操作界面下，旋转旋钮 选择菜单，按下旋钮选定当前菜单 或者进入子菜单。选定带有参数的 菜单后14.可以通过旋转旋钮调节参 数，调节完成 后需要再次按下旋钮进行确认。</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15.支持通过中控控制</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16.设备支持逐点亮度校正，可以对每个灯 点的亮度和色度进行校正，有效消 除色差，使整屏的亮度和色度达到 高度均句一致，提高显示屏的画质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配合多功能卡，可实现屏体手动控 制，自动控制，以及软件控制，灵 活简单</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17.提供厂家3C认证证书。</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c>
          <w:tcPr>
            <w:tcW w:w="740" w:type="dxa"/>
            <w:tcBorders>
              <w:top w:val="nil"/>
              <w:left w:val="single" w:color="000000" w:sz="4" w:space="0"/>
              <w:bottom w:val="single" w:color="000000" w:sz="4" w:space="0"/>
              <w:right w:val="single" w:color="000000" w:sz="8" w:space="0"/>
            </w:tcBorders>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417"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6</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固定边框及外框装饰</w:t>
            </w:r>
          </w:p>
        </w:tc>
        <w:tc>
          <w:tcPr>
            <w:tcW w:w="5636" w:type="dxa"/>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屏体含边框尺寸：长≥14米*高≥1.</w:t>
            </w:r>
            <w:r>
              <w:rPr>
                <w:rFonts w:hint="eastAsia" w:ascii="宋体" w:hAnsi="宋体" w:cs="宋体"/>
                <w:i w:val="0"/>
                <w:iCs w:val="0"/>
                <w:color w:val="000000"/>
                <w:kern w:val="0"/>
                <w:sz w:val="20"/>
                <w:szCs w:val="20"/>
                <w:u w:val="none"/>
                <w:lang w:val="en-US" w:eastAsia="zh-CN"/>
              </w:rPr>
              <w:t>3</w:t>
            </w:r>
            <w:r>
              <w:rPr>
                <w:rFonts w:hint="eastAsia" w:ascii="宋体" w:hAnsi="宋体" w:eastAsia="宋体" w:cs="宋体"/>
                <w:i w:val="0"/>
                <w:iCs w:val="0"/>
                <w:color w:val="000000"/>
                <w:kern w:val="0"/>
                <w:sz w:val="20"/>
                <w:szCs w:val="20"/>
                <w:u w:val="none"/>
                <w:lang w:val="en-US" w:eastAsia="zh-CN"/>
              </w:rPr>
              <w:t>米，壁挂安装，框架主体采用定制优质方管钢材和辅材等完成显示屏的钢结构安装，外装饰美观、大方，装饰材质可根据要求定制。</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19.57</w:t>
            </w:r>
          </w:p>
        </w:tc>
        <w:tc>
          <w:tcPr>
            <w:tcW w:w="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740" w:type="dxa"/>
            <w:tcBorders>
              <w:top w:val="single" w:color="000000" w:sz="4" w:space="0"/>
              <w:left w:val="single" w:color="000000" w:sz="4" w:space="0"/>
              <w:bottom w:val="single" w:color="000000" w:sz="4" w:space="0"/>
              <w:right w:val="single" w:color="000000" w:sz="8"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417"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7</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电源线</w:t>
            </w:r>
          </w:p>
        </w:tc>
        <w:tc>
          <w:tcPr>
            <w:tcW w:w="5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Style w:val="27"/>
                <w:lang w:val="en-US" w:eastAsia="zh-CN"/>
              </w:rPr>
              <w:t>配电柜到大屏之间RVV电源线缆（4组RVV3×2.5mm</w:t>
            </w:r>
            <w:r>
              <w:rPr>
                <w:rStyle w:val="28"/>
                <w:lang w:val="en-US" w:eastAsia="zh-CN"/>
              </w:rPr>
              <w:t>2</w:t>
            </w:r>
            <w:r>
              <w:rPr>
                <w:rStyle w:val="27"/>
                <w:lang w:val="en-US" w:eastAsia="zh-CN"/>
              </w:rPr>
              <w:t>电缆）；</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w:t>
            </w:r>
          </w:p>
        </w:tc>
        <w:tc>
          <w:tcPr>
            <w:tcW w:w="740" w:type="dxa"/>
            <w:vMerge w:val="restart"/>
            <w:tcBorders>
              <w:top w:val="single" w:color="000000" w:sz="4" w:space="0"/>
              <w:left w:val="single" w:color="000000" w:sz="4" w:space="0"/>
              <w:bottom w:val="single" w:color="000000" w:sz="4" w:space="0"/>
              <w:right w:val="single" w:color="000000" w:sz="8" w:space="0"/>
            </w:tcBorders>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417"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8</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主电线缆</w:t>
            </w:r>
          </w:p>
        </w:tc>
        <w:tc>
          <w:tcPr>
            <w:tcW w:w="5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Style w:val="27"/>
                <w:lang w:val="en-US" w:eastAsia="zh-CN"/>
              </w:rPr>
              <w:t>配电箱进线电缆：1根YJV5×10mm</w:t>
            </w:r>
            <w:r>
              <w:rPr>
                <w:rStyle w:val="28"/>
                <w:lang w:val="en-US" w:eastAsia="zh-CN"/>
              </w:rPr>
              <w:t>2</w:t>
            </w:r>
            <w:r>
              <w:rPr>
                <w:rStyle w:val="27"/>
                <w:lang w:val="en-US" w:eastAsia="zh-CN"/>
              </w:rPr>
              <w:t>电缆，电缆安装应符合建筑安装规范，包括桥架及穿管。</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w:t>
            </w:r>
          </w:p>
        </w:tc>
        <w:tc>
          <w:tcPr>
            <w:tcW w:w="740" w:type="dxa"/>
            <w:vMerge w:val="continue"/>
            <w:tcBorders>
              <w:top w:val="single" w:color="000000" w:sz="4" w:space="0"/>
              <w:left w:val="single" w:color="000000" w:sz="4" w:space="0"/>
              <w:bottom w:val="single" w:color="000000" w:sz="4" w:space="0"/>
              <w:right w:val="single" w:color="000000" w:sz="8" w:space="0"/>
            </w:tcBorders>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417"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9</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网络线</w:t>
            </w:r>
          </w:p>
        </w:tc>
        <w:tc>
          <w:tcPr>
            <w:tcW w:w="5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4根六类网络线材(超过100米用光纤)</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w:t>
            </w:r>
          </w:p>
        </w:tc>
        <w:tc>
          <w:tcPr>
            <w:tcW w:w="740" w:type="dxa"/>
            <w:vMerge w:val="continue"/>
            <w:tcBorders>
              <w:top w:val="single" w:color="000000" w:sz="4" w:space="0"/>
              <w:left w:val="single" w:color="000000" w:sz="4" w:space="0"/>
              <w:bottom w:val="single" w:color="000000" w:sz="4" w:space="0"/>
              <w:right w:val="single" w:color="000000" w:sz="8" w:space="0"/>
            </w:tcBorders>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417"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hint="eastAsia" w:ascii="宋体" w:hAnsi="宋体" w:cs="宋体"/>
                <w:i w:val="0"/>
                <w:iCs w:val="0"/>
                <w:color w:val="000000"/>
                <w:kern w:val="0"/>
                <w:sz w:val="20"/>
                <w:szCs w:val="20"/>
                <w:u w:val="none"/>
                <w:lang w:val="en-US" w:eastAsia="zh-CN"/>
              </w:rPr>
              <w:t>0</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综合运维管理系统</w:t>
            </w:r>
          </w:p>
        </w:tc>
        <w:tc>
          <w:tcPr>
            <w:tcW w:w="56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1、电源总输入电压≥63A-100A（适用于10KW-40KW机型）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2、电源控制模式：手动、自动双模式切换（现场功能演示）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3、设备二维码在线识别运维报修；浏览模式: 微信、PC 端网页浏览、短信（可选）（现场功能演示）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4、通讯方式：GPRS/NB-IOT（二选一）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5、具有电源指示灯;温湿度监测:箱门状态监测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6、具有防雷防护、监测；支持空调远程控制、监测；后端用电设备状态监测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7、监测告警：电压、电流、功率、电量 、防雷、温湿度、箱门等监测，防雷异常告警（现场功能演示）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运维管理：PC/手机GIS地理信息设备定位展现；故障在线报修；控制管理：PC/手机远程控；系统可以显示在线状态，以及显示本项目的项目名称、使用单位及详细地址信息。控制管理：PC/手机远程控制和定时控制设置（现场功能演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数据管理：存储、备份、统计报表分析，为以后运维投入提供数据依据</w:t>
            </w: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台</w:t>
            </w:r>
          </w:p>
        </w:tc>
        <w:tc>
          <w:tcPr>
            <w:tcW w:w="740" w:type="dxa"/>
            <w:tcBorders>
              <w:top w:val="nil"/>
              <w:left w:val="single" w:color="000000" w:sz="4" w:space="0"/>
              <w:bottom w:val="single" w:color="000000" w:sz="4" w:space="0"/>
              <w:right w:val="single" w:color="000000" w:sz="8" w:space="0"/>
            </w:tcBorders>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417"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hint="eastAsia" w:ascii="宋体" w:hAnsi="宋体" w:cs="宋体"/>
                <w:i w:val="0"/>
                <w:iCs w:val="0"/>
                <w:color w:val="000000"/>
                <w:kern w:val="0"/>
                <w:sz w:val="20"/>
                <w:szCs w:val="20"/>
                <w:u w:val="none"/>
                <w:lang w:val="en-US" w:eastAsia="zh-CN"/>
              </w:rPr>
              <w:t>1</w:t>
            </w: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安装调试</w:t>
            </w:r>
          </w:p>
        </w:tc>
        <w:tc>
          <w:tcPr>
            <w:tcW w:w="56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次</w:t>
            </w:r>
          </w:p>
        </w:tc>
        <w:tc>
          <w:tcPr>
            <w:tcW w:w="740" w:type="dxa"/>
            <w:tcBorders>
              <w:top w:val="single" w:color="000000" w:sz="4" w:space="0"/>
              <w:left w:val="single" w:color="000000" w:sz="4" w:space="0"/>
              <w:bottom w:val="single" w:color="000000" w:sz="4" w:space="0"/>
              <w:right w:val="single" w:color="000000" w:sz="8" w:space="0"/>
            </w:tcBorders>
            <w:vAlign w:val="bottom"/>
          </w:tcPr>
          <w:p>
            <w:pPr>
              <w:jc w:val="center"/>
              <w:rPr>
                <w:rFonts w:hint="default" w:ascii="Times New Roman" w:hAnsi="Times New Roman" w:eastAsia="宋体" w:cs="Times New Roman"/>
                <w:i w:val="0"/>
                <w:iCs w:val="0"/>
                <w:color w:val="000000"/>
                <w:sz w:val="20"/>
                <w:szCs w:val="20"/>
                <w:u w:val="none"/>
              </w:rPr>
            </w:pPr>
          </w:p>
        </w:tc>
      </w:tr>
    </w:tbl>
    <w:p>
      <w:pPr>
        <w:pStyle w:val="15"/>
        <w:snapToGrid w:val="0"/>
        <w:spacing w:line="360" w:lineRule="auto"/>
        <w:outlineLvl w:val="0"/>
        <w:rPr>
          <w:rFonts w:hint="eastAsia" w:ascii="宋体" w:hAnsi="宋体" w:eastAsia="宋体" w:cs="宋体"/>
          <w:sz w:val="28"/>
          <w:szCs w:val="28"/>
        </w:rPr>
      </w:pPr>
    </w:p>
    <w:p>
      <w:pPr>
        <w:pStyle w:val="15"/>
        <w:numPr>
          <w:ilvl w:val="0"/>
          <w:numId w:val="2"/>
        </w:numPr>
        <w:rPr>
          <w:rFonts w:ascii="仿宋_GB2312" w:hAnsi="仿宋_GB2312" w:cs="仿宋_GB2312"/>
          <w:b/>
          <w:bCs/>
          <w:sz w:val="32"/>
          <w:szCs w:val="32"/>
        </w:rPr>
      </w:pPr>
      <w:r>
        <w:rPr>
          <w:rFonts w:hint="eastAsia" w:ascii="仿宋_GB2312" w:hAnsi="仿宋_GB2312" w:cs="仿宋_GB2312"/>
          <w:b/>
          <w:bCs/>
          <w:sz w:val="32"/>
          <w:szCs w:val="32"/>
        </w:rPr>
        <w:t>其他要求</w:t>
      </w:r>
    </w:p>
    <w:p>
      <w:pPr>
        <w:pStyle w:val="18"/>
        <w:spacing w:before="0" w:beforeAutospacing="0" w:after="0" w:afterAutospacing="0" w:line="480" w:lineRule="atLeast"/>
        <w:ind w:firstLine="640"/>
        <w:jc w:val="both"/>
      </w:pPr>
      <w:r>
        <w:rPr>
          <w:rStyle w:val="29"/>
          <w:rFonts w:hint="eastAsia" w:ascii="仿宋_GB2312" w:eastAsia="仿宋_GB2312"/>
          <w:sz w:val="32"/>
          <w:szCs w:val="32"/>
        </w:rPr>
        <w:t>1、本项目为交钥匙工程，设备安装、系统集成、软件客户化均由乙方负责。提供各设备上架调试、系统集成等软硬件安装安装工作，同时结合医院现有设备及应用情况，实施现有及本项目规划、等保安全、系统集成、数据迁移、协助完成医院评审工作包括但不限于三级等保评审、电子病历评审、互联互通评审等各项工作。</w:t>
      </w:r>
    </w:p>
    <w:p>
      <w:pPr>
        <w:pStyle w:val="18"/>
        <w:spacing w:before="0" w:beforeAutospacing="0" w:after="0" w:afterAutospacing="0" w:line="480" w:lineRule="atLeast"/>
        <w:ind w:firstLine="640"/>
        <w:jc w:val="both"/>
      </w:pPr>
      <w:r>
        <w:rPr>
          <w:rStyle w:val="29"/>
          <w:rFonts w:hint="eastAsia" w:ascii="仿宋_GB2312" w:eastAsia="仿宋_GB2312"/>
          <w:sz w:val="32"/>
          <w:szCs w:val="32"/>
        </w:rPr>
        <w:t>2、本项目系统需符合《信息安全技术网络安全等级保护基本要求》GB/T22239-2019（三级）要求（下文简称：三级等保2.0），并在三级等保2.0评审中协助完成本系统评审工作。在我院网络安全应急、攻防保障中，需提供技术驻点服务，次数不限。</w:t>
      </w:r>
    </w:p>
    <w:p>
      <w:pPr>
        <w:spacing w:line="315"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3.本项目涉及的安全设备安装调试并经验收合格后，应对采购方的相关人员提供关于系统应用时技术和操作方面的培训。相关培训费用应包含在投标总价中。</w:t>
      </w:r>
    </w:p>
    <w:p>
      <w:pPr>
        <w:spacing w:line="315" w:lineRule="atLeas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color w:val="000000"/>
          <w:sz w:val="32"/>
          <w:szCs w:val="32"/>
          <w:highlight w:val="none"/>
          <w:lang w:val="en-US" w:eastAsia="zh-CN"/>
        </w:rPr>
        <w:t>一年免费质保。交货期：合同签订之后30个日历日</w:t>
      </w:r>
    </w:p>
    <w:p>
      <w:pPr>
        <w:pStyle w:val="15"/>
        <w:numPr>
          <w:ilvl w:val="0"/>
          <w:numId w:val="2"/>
        </w:numPr>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5"/>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5"/>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5"/>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5"/>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7、参加调研会的公司应准备PPT材料（含方案介绍、安全能力、应用案例、报价等）、技术参数等材料，每公司讲解时间30分钟（含答疑10分钟）；同时上述材料须交予院方留档（提供U盘留档）。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15"/>
        <w:rPr>
          <w:rFonts w:ascii="仿宋_GB2312" w:hAnsi="仿宋_GB2312" w:cs="仿宋_GB2312"/>
          <w:bCs/>
          <w:sz w:val="32"/>
          <w:szCs w:val="32"/>
          <w:shd w:val="clear" w:color="auto" w:fill="FFFFFF"/>
        </w:rPr>
      </w:pPr>
    </w:p>
    <w:p>
      <w:pPr>
        <w:pStyle w:val="15"/>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15"/>
        <w:rPr>
          <w:rFonts w:ascii="仿宋_GB2312" w:hAnsi="仿宋_GB2312" w:cs="仿宋_GB2312"/>
          <w:sz w:val="32"/>
          <w:szCs w:val="32"/>
        </w:rPr>
      </w:pPr>
      <w:r>
        <w:rPr>
          <w:rFonts w:hint="eastAsia" w:ascii="仿宋_GB2312" w:hAnsi="仿宋_GB2312" w:cs="仿宋_GB2312"/>
          <w:sz w:val="32"/>
          <w:szCs w:val="32"/>
        </w:rPr>
        <w:t xml:space="preserve">                                           年  月  日</w:t>
      </w:r>
    </w:p>
    <w:p>
      <w:pPr>
        <w:adjustRightInd w:val="0"/>
        <w:snapToGrid w:val="0"/>
        <w:spacing w:line="590" w:lineRule="exact"/>
        <w:rPr>
          <w:rFonts w:hint="eastAsia" w:ascii="仿宋_GB2312" w:hAnsi="仿宋_GB2312" w:eastAsia="仿宋_GB2312" w:cs="仿宋_GB2312"/>
          <w:sz w:val="32"/>
          <w:szCs w:val="32"/>
          <w:highlight w:val="none"/>
        </w:rPr>
      </w:pPr>
    </w:p>
    <w:sectPr>
      <w:footerReference r:id="rId4"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713604100">
    <w:nsid w:val="A1BE5004"/>
    <w:multiLevelType w:val="singleLevel"/>
    <w:tmpl w:val="A1BE5004"/>
    <w:lvl w:ilvl="0" w:tentative="1">
      <w:start w:val="1"/>
      <w:numFmt w:val="decimal"/>
      <w:lvlText w:val="%1."/>
      <w:lvlJc w:val="left"/>
      <w:pPr>
        <w:ind w:left="425" w:hanging="425"/>
      </w:pPr>
      <w:rPr>
        <w:rFonts w:hint="default"/>
      </w:rPr>
    </w:lvl>
  </w:abstractNum>
  <w:abstractNum w:abstractNumId="1398085122">
    <w:nsid w:val="53551602"/>
    <w:multiLevelType w:val="singleLevel"/>
    <w:tmpl w:val="53551602"/>
    <w:lvl w:ilvl="0" w:tentative="1">
      <w:start w:val="3"/>
      <w:numFmt w:val="chineseCounting"/>
      <w:suff w:val="nothing"/>
      <w:lvlText w:val="%1、"/>
      <w:lvlJc w:val="left"/>
      <w:rPr>
        <w:rFonts w:hint="eastAsia"/>
      </w:rPr>
    </w:lvl>
  </w:abstractNum>
  <w:num w:numId="1">
    <w:abstractNumId w:val="2713604100"/>
  </w:num>
  <w:num w:numId="2">
    <w:abstractNumId w:val="1398085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jk5MzFjOWZjNTg5YWI2Mzg2Nzg0NjIzNTA2YWU0ZW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2">
    <w:name w:val="Default Paragraph Font"/>
    <w:semiHidden/>
    <w:unhideWhenUsed/>
    <w:qFormat/>
    <w:uiPriority w:val="1"/>
  </w:style>
  <w:style w:type="paragraph" w:styleId="4">
    <w:name w:val="Normal Indent"/>
    <w:basedOn w:val="1"/>
    <w:link w:val="22"/>
    <w:qFormat/>
    <w:uiPriority w:val="0"/>
    <w:pPr>
      <w:widowControl/>
      <w:ind w:firstLine="420"/>
      <w:jc w:val="left"/>
    </w:pPr>
    <w:rPr>
      <w:kern w:val="0"/>
      <w:sz w:val="20"/>
      <w:szCs w:val="20"/>
    </w:rPr>
  </w:style>
  <w:style w:type="paragraph" w:styleId="5">
    <w:name w:val="Plain Text"/>
    <w:basedOn w:val="1"/>
    <w:link w:val="23"/>
    <w:unhideWhenUsed/>
    <w:qFormat/>
    <w:uiPriority w:val="0"/>
    <w:rPr>
      <w:rFonts w:ascii="宋体" w:hAnsi="Courier New" w:eastAsia="微软雅黑"/>
      <w:kern w:val="0"/>
      <w:sz w:val="22"/>
      <w:szCs w:val="20"/>
    </w:rPr>
  </w:style>
  <w:style w:type="paragraph" w:styleId="6">
    <w:name w:val="Balloon Text"/>
    <w:basedOn w:val="1"/>
    <w:link w:val="26"/>
    <w:semiHidden/>
    <w:unhideWhenUsed/>
    <w:qFormat/>
    <w:uiPriority w:val="99"/>
    <w:rPr>
      <w:sz w:val="18"/>
      <w:szCs w:val="18"/>
    </w:rPr>
  </w:style>
  <w:style w:type="paragraph" w:styleId="7">
    <w:name w:val="footer"/>
    <w:basedOn w:val="1"/>
    <w:link w:val="20"/>
    <w:semiHidden/>
    <w:unhideWhenUsed/>
    <w:qFormat/>
    <w:uiPriority w:val="99"/>
    <w:pPr>
      <w:tabs>
        <w:tab w:val="center" w:pos="4153"/>
        <w:tab w:val="right" w:pos="8306"/>
      </w:tabs>
      <w:snapToGrid w:val="0"/>
      <w:jc w:val="left"/>
    </w:pPr>
    <w:rPr>
      <w:sz w:val="18"/>
      <w:szCs w:val="18"/>
    </w:rPr>
  </w:style>
  <w:style w:type="paragraph" w:styleId="8">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Message Header"/>
    <w:basedOn w:val="1"/>
    <w:link w:val="2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0">
    <w:name w:val="HTML Preformatted"/>
    <w:basedOn w:val="1"/>
    <w:link w:val="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Normal (Web)"/>
    <w:basedOn w:val="1"/>
    <w:qFormat/>
    <w:uiPriority w:val="0"/>
    <w:pPr>
      <w:spacing w:before="100" w:beforeAutospacing="1" w:after="100" w:afterAutospacing="1"/>
      <w:jc w:val="left"/>
    </w:pPr>
    <w:rPr>
      <w:kern w:val="0"/>
      <w:sz w:val="24"/>
    </w:rPr>
  </w:style>
  <w:style w:type="character" w:styleId="13">
    <w:name w:val="Strong"/>
    <w:basedOn w:val="12"/>
    <w:qFormat/>
    <w:uiPriority w:val="22"/>
    <w:rPr>
      <w:b/>
    </w:rPr>
  </w:style>
  <w:style w:type="character" w:styleId="14">
    <w:name w:val="Hyperlink"/>
    <w:qFormat/>
    <w:uiPriority w:val="0"/>
    <w:rPr>
      <w:color w:val="0000FF"/>
      <w:u w:val="single"/>
    </w:rPr>
  </w:style>
  <w:style w:type="paragraph" w:customStyle="1" w:styleId="15">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p16"/>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页眉 Char"/>
    <w:basedOn w:val="12"/>
    <w:link w:val="8"/>
    <w:semiHidden/>
    <w:qFormat/>
    <w:uiPriority w:val="99"/>
    <w:rPr>
      <w:sz w:val="18"/>
      <w:szCs w:val="18"/>
    </w:rPr>
  </w:style>
  <w:style w:type="character" w:customStyle="1" w:styleId="20">
    <w:name w:val="页脚 Char"/>
    <w:basedOn w:val="12"/>
    <w:link w:val="7"/>
    <w:semiHidden/>
    <w:qFormat/>
    <w:uiPriority w:val="99"/>
    <w:rPr>
      <w:sz w:val="18"/>
      <w:szCs w:val="18"/>
    </w:rPr>
  </w:style>
  <w:style w:type="character" w:customStyle="1" w:styleId="21">
    <w:name w:val="信息标题 Char"/>
    <w:basedOn w:val="12"/>
    <w:link w:val="9"/>
    <w:qFormat/>
    <w:uiPriority w:val="99"/>
    <w:rPr>
      <w:rFonts w:ascii="Cambria" w:hAnsi="Cambria" w:eastAsia="宋体" w:cs="Times New Roman"/>
      <w:kern w:val="0"/>
      <w:sz w:val="24"/>
      <w:szCs w:val="24"/>
      <w:shd w:val="pct20" w:color="auto" w:fill="auto"/>
    </w:rPr>
  </w:style>
  <w:style w:type="character" w:customStyle="1" w:styleId="22">
    <w:name w:val="正文缩进 Char"/>
    <w:link w:val="4"/>
    <w:qFormat/>
    <w:uiPriority w:val="0"/>
    <w:rPr>
      <w:rFonts w:ascii="Times New Roman" w:hAnsi="Times New Roman" w:eastAsia="宋体" w:cs="Times New Roman"/>
      <w:kern w:val="0"/>
      <w:sz w:val="20"/>
      <w:szCs w:val="20"/>
    </w:rPr>
  </w:style>
  <w:style w:type="character" w:customStyle="1" w:styleId="23">
    <w:name w:val="纯文本 Char"/>
    <w:basedOn w:val="12"/>
    <w:link w:val="5"/>
    <w:qFormat/>
    <w:uiPriority w:val="0"/>
    <w:rPr>
      <w:rFonts w:ascii="宋体" w:hAnsi="Courier New" w:eastAsia="微软雅黑" w:cs="Times New Roman"/>
      <w:kern w:val="0"/>
      <w:sz w:val="22"/>
      <w:szCs w:val="20"/>
    </w:rPr>
  </w:style>
  <w:style w:type="character" w:customStyle="1" w:styleId="24">
    <w:name w:val="HTML 预设格式 Char"/>
    <w:basedOn w:val="12"/>
    <w:link w:val="10"/>
    <w:qFormat/>
    <w:uiPriority w:val="0"/>
    <w:rPr>
      <w:rFonts w:ascii="宋体" w:hAnsi="宋体" w:eastAsia="宋体" w:cs="Times New Roman"/>
      <w:kern w:val="0"/>
      <w:sz w:val="24"/>
      <w:szCs w:val="24"/>
    </w:rPr>
  </w:style>
  <w:style w:type="character" w:customStyle="1" w:styleId="25">
    <w:name w:val="font01"/>
    <w:basedOn w:val="12"/>
    <w:qFormat/>
    <w:uiPriority w:val="0"/>
    <w:rPr>
      <w:rFonts w:hint="eastAsia" w:ascii="宋体" w:hAnsi="宋体" w:eastAsia="宋体" w:cs="宋体"/>
      <w:color w:val="000000"/>
      <w:sz w:val="20"/>
      <w:szCs w:val="20"/>
      <w:u w:val="none"/>
    </w:rPr>
  </w:style>
  <w:style w:type="character" w:customStyle="1" w:styleId="26">
    <w:name w:val="批注框文本 Char"/>
    <w:basedOn w:val="12"/>
    <w:link w:val="6"/>
    <w:semiHidden/>
    <w:qFormat/>
    <w:uiPriority w:val="99"/>
    <w:rPr>
      <w:rFonts w:ascii="Times New Roman" w:hAnsi="Times New Roman" w:eastAsia="宋体" w:cs="Times New Roman"/>
      <w:sz w:val="18"/>
      <w:szCs w:val="18"/>
    </w:rPr>
  </w:style>
  <w:style w:type="character" w:customStyle="1" w:styleId="27">
    <w:name w:val="font41"/>
    <w:basedOn w:val="12"/>
    <w:qFormat/>
    <w:uiPriority w:val="0"/>
    <w:rPr>
      <w:rFonts w:hint="eastAsia" w:ascii="宋体" w:hAnsi="宋体" w:eastAsia="宋体" w:cs="宋体"/>
      <w:color w:val="000000"/>
      <w:sz w:val="20"/>
      <w:szCs w:val="20"/>
      <w:u w:val="none"/>
    </w:rPr>
  </w:style>
  <w:style w:type="character" w:customStyle="1" w:styleId="28">
    <w:name w:val="font101"/>
    <w:basedOn w:val="12"/>
    <w:qFormat/>
    <w:uiPriority w:val="0"/>
    <w:rPr>
      <w:rFonts w:hint="eastAsia" w:ascii="宋体" w:hAnsi="宋体" w:eastAsia="宋体" w:cs="宋体"/>
      <w:color w:val="000000"/>
      <w:sz w:val="20"/>
      <w:szCs w:val="20"/>
      <w:u w:val="none"/>
      <w:vertAlign w:val="superscript"/>
    </w:rPr>
  </w:style>
  <w:style w:type="character" w:customStyle="1" w:styleId="29">
    <w:name w:val="b-free-read-leaf"/>
    <w:basedOn w:val="12"/>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12</Pages>
  <Words>5654</Words>
  <Characters>6363</Characters>
  <Lines>38</Lines>
  <Paragraphs>10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Admin</cp:lastModifiedBy>
  <cp:lastPrinted>2023-06-05T23:51:00Z</cp:lastPrinted>
  <dcterms:modified xsi:type="dcterms:W3CDTF">2024-04-25T08:18:43Z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1E98F6DEA70740C9BBC23B6A6101904D_13</vt:lpwstr>
  </property>
</Properties>
</file>