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80" w:lineRule="atLeast"/>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rPr>
        <w:t>福建省肿瘤医院202</w:t>
      </w:r>
      <w:r>
        <w:rPr>
          <w:rFonts w:hint="eastAsia" w:ascii="方正小标宋简体" w:hAnsi="方正小标宋简体" w:eastAsia="方正小标宋简体" w:cs="方正小标宋简体"/>
          <w:b/>
          <w:bCs/>
          <w:sz w:val="32"/>
          <w:szCs w:val="32"/>
          <w:lang w:val="en-US" w:eastAsia="zh-CN"/>
        </w:rPr>
        <w:t>4</w:t>
      </w:r>
      <w:r>
        <w:rPr>
          <w:rFonts w:hint="eastAsia" w:ascii="方正小标宋简体" w:hAnsi="方正小标宋简体" w:eastAsia="方正小标宋简体" w:cs="方正小标宋简体"/>
          <w:b/>
          <w:bCs/>
          <w:sz w:val="32"/>
          <w:szCs w:val="32"/>
        </w:rPr>
        <w:t>-202</w:t>
      </w:r>
      <w:r>
        <w:rPr>
          <w:rFonts w:hint="eastAsia" w:ascii="方正小标宋简体" w:hAnsi="方正小标宋简体" w:eastAsia="方正小标宋简体" w:cs="方正小标宋简体"/>
          <w:b/>
          <w:bCs/>
          <w:sz w:val="32"/>
          <w:szCs w:val="32"/>
          <w:lang w:val="en-US" w:eastAsia="zh-CN"/>
        </w:rPr>
        <w:t>5</w:t>
      </w:r>
      <w:r>
        <w:rPr>
          <w:rFonts w:hint="eastAsia" w:ascii="方正小标宋简体" w:hAnsi="方正小标宋简体" w:eastAsia="方正小标宋简体" w:cs="方正小标宋简体"/>
          <w:b/>
          <w:bCs/>
          <w:sz w:val="32"/>
          <w:szCs w:val="32"/>
        </w:rPr>
        <w:t>年度</w:t>
      </w:r>
      <w:r>
        <w:rPr>
          <w:rFonts w:hint="eastAsia" w:ascii="方正小标宋简体" w:hAnsi="方正小标宋简体" w:eastAsia="方正小标宋简体" w:cs="方正小标宋简体"/>
          <w:b/>
          <w:bCs/>
          <w:sz w:val="32"/>
          <w:szCs w:val="32"/>
          <w:lang w:val="en-US" w:eastAsia="zh-CN"/>
        </w:rPr>
        <w:t>防辐射门维保单位招标</w:t>
      </w:r>
    </w:p>
    <w:p>
      <w:pPr>
        <w:adjustRightInd/>
        <w:snapToGrid/>
        <w:spacing w:after="0" w:line="480" w:lineRule="atLeast"/>
        <w:jc w:val="center"/>
        <w:rPr>
          <w:rFonts w:hint="default" w:ascii="方正小标宋简体" w:hAnsi="方正小标宋简体" w:eastAsia="方正小标宋简体" w:cs="方正小标宋简体"/>
          <w:b/>
          <w:bCs/>
          <w:sz w:val="32"/>
          <w:szCs w:val="32"/>
          <w:lang w:val="en-US" w:eastAsia="zh-CN"/>
        </w:rPr>
      </w:pPr>
      <w:bookmarkStart w:id="0" w:name="_GoBack"/>
      <w:bookmarkEnd w:id="0"/>
      <w:r>
        <w:rPr>
          <w:rFonts w:hint="eastAsia" w:ascii="方正小标宋简体" w:hAnsi="方正小标宋简体" w:eastAsia="方正小标宋简体" w:cs="方正小标宋简体"/>
          <w:b/>
          <w:bCs/>
          <w:sz w:val="32"/>
          <w:szCs w:val="32"/>
          <w:lang w:val="en-US" w:eastAsia="zh-CN"/>
        </w:rPr>
        <w:t>（二次招标）</w:t>
      </w:r>
    </w:p>
    <w:p>
      <w:pPr>
        <w:spacing w:before="150" w:after="0" w:line="360" w:lineRule="auto"/>
        <w:jc w:val="both"/>
        <w:rPr>
          <w:rFonts w:ascii="黑体" w:hAnsi="黑体" w:eastAsia="黑体" w:cs="宋体"/>
          <w:b/>
          <w:bCs/>
          <w:sz w:val="26"/>
        </w:rPr>
      </w:pPr>
    </w:p>
    <w:p>
      <w:pPr>
        <w:spacing w:before="150" w:after="0" w:line="360" w:lineRule="auto"/>
        <w:ind w:firstLine="522" w:firstLineChars="200"/>
        <w:jc w:val="both"/>
        <w:rPr>
          <w:rFonts w:ascii="方正仿宋简体" w:hAnsi="宋体" w:eastAsia="方正仿宋简体" w:cs="宋体"/>
          <w:sz w:val="28"/>
          <w:szCs w:val="28"/>
        </w:rPr>
      </w:pPr>
      <w:r>
        <w:rPr>
          <w:rFonts w:hint="eastAsia" w:ascii="黑体" w:hAnsi="黑体" w:eastAsia="黑体" w:cs="宋体"/>
          <w:b/>
          <w:bCs/>
          <w:sz w:val="26"/>
        </w:rPr>
        <w:t>一、</w:t>
      </w:r>
      <w:r>
        <w:rPr>
          <w:rFonts w:hint="eastAsia" w:ascii="黑体" w:hAnsi="黑体" w:eastAsia="黑体" w:cs="宋体"/>
          <w:b/>
          <w:bCs/>
          <w:sz w:val="26"/>
          <w:lang w:val="en-US" w:eastAsia="zh-CN"/>
        </w:rPr>
        <w:t>招标</w:t>
      </w:r>
      <w:r>
        <w:rPr>
          <w:rFonts w:hint="eastAsia" w:ascii="黑体" w:hAnsi="黑体" w:eastAsia="黑体" w:cs="宋体"/>
          <w:b/>
          <w:bCs/>
          <w:sz w:val="26"/>
        </w:rPr>
        <w:t>项目概况和范围</w:t>
      </w:r>
    </w:p>
    <w:p>
      <w:pPr>
        <w:spacing w:after="0"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1、项目名称：福建省肿瘤医院202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val="en-US" w:eastAsia="zh-CN"/>
        </w:rPr>
        <w:t>防辐射门维保单位招标</w:t>
      </w:r>
    </w:p>
    <w:p>
      <w:pPr>
        <w:spacing w:after="0"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2、服务地点：福马路420号。</w:t>
      </w:r>
    </w:p>
    <w:p>
      <w:pPr>
        <w:pStyle w:val="3"/>
        <w:wordWrap w:val="0"/>
        <w:adjustRightInd w:val="0"/>
        <w:snapToGrid w:val="0"/>
        <w:spacing w:before="0" w:beforeAutospacing="0" w:after="0" w:afterAutospacing="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、本项目有效期为1年。</w:t>
      </w:r>
    </w:p>
    <w:p>
      <w:pPr>
        <w:pStyle w:val="3"/>
        <w:wordWrap w:val="0"/>
        <w:adjustRightInd w:val="0"/>
        <w:snapToGrid w:val="0"/>
        <w:spacing w:before="0" w:beforeAutospacing="0" w:after="0" w:afterAutospacing="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4、招标编号：</w:t>
      </w:r>
      <w:r>
        <w:rPr>
          <w:rFonts w:hint="eastAsia" w:ascii="仿宋_GB2312" w:hAnsi="仿宋_GB2312" w:eastAsia="仿宋_GB2312" w:cs="仿宋_GB2312"/>
          <w:b w:val="0"/>
          <w:spacing w:val="0"/>
          <w:sz w:val="28"/>
          <w:szCs w:val="28"/>
          <w:u w:val="none"/>
        </w:rPr>
        <w:t>闽医肿JJB20</w:t>
      </w:r>
      <w:r>
        <w:rPr>
          <w:rFonts w:hint="eastAsia" w:ascii="仿宋_GB2312" w:hAnsi="仿宋_GB2312" w:eastAsia="仿宋_GB2312" w:cs="仿宋_GB2312"/>
          <w:b w:val="0"/>
          <w:spacing w:val="0"/>
          <w:sz w:val="28"/>
          <w:szCs w:val="28"/>
          <w:u w:val="none"/>
          <w:lang w:val="en-US" w:eastAsia="zh-CN"/>
        </w:rPr>
        <w:t>24-003</w:t>
      </w:r>
      <w:r>
        <w:rPr>
          <w:rFonts w:hint="eastAsia" w:ascii="仿宋_GB2312" w:hAnsi="仿宋_GB2312" w:eastAsia="仿宋_GB2312" w:cs="仿宋_GB2312"/>
          <w:b w:val="0"/>
          <w:spacing w:val="0"/>
          <w:sz w:val="28"/>
          <w:szCs w:val="28"/>
          <w:u w:val="none"/>
        </w:rPr>
        <w:t>号</w:t>
      </w:r>
    </w:p>
    <w:p>
      <w:pPr>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、采购项目标的、数量及预算：</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2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2132" w:type="dxa"/>
          </w:tcPr>
          <w:p>
            <w:pPr>
              <w:spacing w:after="0" w:line="360" w:lineRule="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132" w:type="dxa"/>
          </w:tcPr>
          <w:p>
            <w:pPr>
              <w:spacing w:after="0" w:line="360" w:lineRule="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采购内容</w:t>
            </w:r>
          </w:p>
        </w:tc>
        <w:tc>
          <w:tcPr>
            <w:tcW w:w="2122" w:type="dxa"/>
          </w:tcPr>
          <w:p>
            <w:pPr>
              <w:spacing w:after="0" w:line="360" w:lineRule="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防辐射门数量（扇）</w:t>
            </w:r>
          </w:p>
        </w:tc>
        <w:tc>
          <w:tcPr>
            <w:tcW w:w="2133" w:type="dxa"/>
            <w:vAlign w:val="top"/>
          </w:tcPr>
          <w:p>
            <w:pPr>
              <w:spacing w:after="0" w:line="360" w:lineRule="auto"/>
            </w:pPr>
            <w:r>
              <w:rPr>
                <w:rFonts w:hint="eastAsia" w:ascii="仿宋_GB2312" w:hAnsi="仿宋_GB2312" w:eastAsia="仿宋_GB2312" w:cs="仿宋_GB2312"/>
                <w:sz w:val="28"/>
                <w:szCs w:val="28"/>
                <w:vertAlign w:val="baseline"/>
                <w:lang w:val="en-US" w:eastAsia="zh-CN"/>
              </w:rPr>
              <w:t>招标控制价（元）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132" w:type="dxa"/>
          </w:tcPr>
          <w:p>
            <w:pPr>
              <w:spacing w:after="0" w:line="360" w:lineRule="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132" w:type="dxa"/>
          </w:tcPr>
          <w:p>
            <w:pPr>
              <w:spacing w:after="0" w:line="360" w:lineRule="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防辐射门维保</w:t>
            </w:r>
          </w:p>
        </w:tc>
        <w:tc>
          <w:tcPr>
            <w:tcW w:w="2122" w:type="dxa"/>
          </w:tcPr>
          <w:p>
            <w:pPr>
              <w:spacing w:after="0" w:line="360" w:lineRule="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60</w:t>
            </w:r>
          </w:p>
        </w:tc>
        <w:tc>
          <w:tcPr>
            <w:tcW w:w="2133" w:type="dxa"/>
            <w:vAlign w:val="top"/>
          </w:tcPr>
          <w:p>
            <w:pPr>
              <w:spacing w:after="0" w:line="360" w:lineRule="auto"/>
            </w:pPr>
            <w:r>
              <w:rPr>
                <w:rFonts w:hint="eastAsia" w:ascii="仿宋_GB2312" w:hAnsi="仿宋_GB2312" w:eastAsia="仿宋_GB2312" w:cs="仿宋_GB2312"/>
                <w:sz w:val="28"/>
                <w:szCs w:val="28"/>
                <w:vertAlign w:val="baseline"/>
                <w:lang w:val="en-US" w:eastAsia="zh-CN"/>
              </w:rPr>
              <w:t>40000</w:t>
            </w:r>
          </w:p>
        </w:tc>
      </w:tr>
    </w:tbl>
    <w:p>
      <w:pPr>
        <w:spacing w:after="0"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注：1.本项目共一个包，选取一名投标人作为成交单位。</w:t>
      </w:r>
    </w:p>
    <w:p>
      <w:pPr>
        <w:spacing w:after="0" w:line="360" w:lineRule="auto"/>
        <w:ind w:firstLine="1120" w:firstLineChars="4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2.投标人的响应报价不得超过预算金额或单价最高限价，否则其响应无效。</w:t>
      </w:r>
    </w:p>
    <w:p>
      <w:pPr>
        <w:spacing w:after="0" w:line="360" w:lineRule="auto"/>
        <w:ind w:firstLine="562" w:firstLineChars="200"/>
        <w:jc w:val="both"/>
        <w:rPr>
          <w:rFonts w:ascii="黑体" w:hAnsi="黑体" w:eastAsia="黑体" w:cs="黑体"/>
          <w:b/>
          <w:bCs/>
          <w:sz w:val="28"/>
          <w:szCs w:val="28"/>
        </w:rPr>
      </w:pPr>
      <w:r>
        <w:rPr>
          <w:rFonts w:hint="eastAsia" w:ascii="黑体" w:hAnsi="黑体" w:eastAsia="黑体" w:cs="黑体"/>
          <w:b/>
          <w:bCs/>
          <w:sz w:val="28"/>
          <w:szCs w:val="28"/>
        </w:rPr>
        <w:t>二、资格要求及审查办法</w:t>
      </w:r>
    </w:p>
    <w:p>
      <w:p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1、参加</w:t>
      </w:r>
      <w:r>
        <w:rPr>
          <w:rFonts w:hint="eastAsia" w:ascii="仿宋_GB2312" w:hAnsi="仿宋_GB2312" w:eastAsia="仿宋_GB2312" w:cs="仿宋_GB2312"/>
          <w:sz w:val="28"/>
          <w:szCs w:val="28"/>
          <w:lang w:val="en-US" w:eastAsia="zh-CN"/>
        </w:rPr>
        <w:t>本项目的供应室</w:t>
      </w:r>
      <w:r>
        <w:rPr>
          <w:rFonts w:hint="eastAsia" w:ascii="仿宋_GB2312" w:hAnsi="仿宋_GB2312" w:eastAsia="仿宋_GB2312" w:cs="仿宋_GB2312"/>
          <w:sz w:val="28"/>
          <w:szCs w:val="28"/>
        </w:rPr>
        <w:t>前三年内在经营活动中没有重大违法记录；未被“信用中国”、“中国政府采购网”列入失信行为记录名单；无行贿犯罪记录</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提供书面承诺。</w:t>
      </w:r>
    </w:p>
    <w:p>
      <w:p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本招标项目要求投标人具备:</w:t>
      </w:r>
      <w:r>
        <w:rPr>
          <w:rFonts w:hint="eastAsia" w:ascii="仿宋_GB2312" w:hAnsi="仿宋_GB2312" w:eastAsia="仿宋_GB2312" w:cs="仿宋_GB2312"/>
          <w:sz w:val="28"/>
          <w:szCs w:val="28"/>
          <w:lang w:val="en-US" w:eastAsia="zh-CN"/>
        </w:rPr>
        <w:t>营业执照经营范围应包含：</w:t>
      </w:r>
      <w:r>
        <w:rPr>
          <w:rFonts w:hint="eastAsia" w:ascii="仿宋_GB2312" w:hAnsi="仿宋_GB2312" w:eastAsia="仿宋_GB2312" w:cs="仿宋_GB2312"/>
          <w:sz w:val="28"/>
          <w:szCs w:val="28"/>
          <w:lang w:eastAsia="zh-CN"/>
        </w:rPr>
        <w:t>辐射防护工程设计施工，</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lang w:eastAsia="zh-CN"/>
        </w:rPr>
        <w:t>辐射防护工程，</w:t>
      </w:r>
      <w:r>
        <w:rPr>
          <w:rFonts w:hint="eastAsia" w:ascii="仿宋_GB2312" w:hAnsi="仿宋_GB2312" w:eastAsia="仿宋_GB2312" w:cs="仿宋_GB2312"/>
          <w:sz w:val="28"/>
          <w:szCs w:val="28"/>
          <w:lang w:val="en-US" w:eastAsia="zh-CN"/>
        </w:rPr>
        <w:t>或放射防护器材的安装</w:t>
      </w:r>
      <w:r>
        <w:rPr>
          <w:rFonts w:hint="eastAsia" w:ascii="仿宋_GB2312" w:hAnsi="仿宋_GB2312" w:eastAsia="仿宋_GB2312" w:cs="仿宋_GB2312"/>
          <w:sz w:val="28"/>
          <w:szCs w:val="28"/>
          <w:lang w:eastAsia="zh-CN"/>
        </w:rPr>
        <w:t>；具有独立法人资格</w:t>
      </w:r>
      <w:r>
        <w:rPr>
          <w:rFonts w:hint="eastAsia" w:ascii="仿宋_GB2312" w:hAnsi="仿宋_GB2312" w:eastAsia="仿宋_GB2312" w:cs="仿宋_GB2312"/>
          <w:sz w:val="28"/>
          <w:szCs w:val="28"/>
        </w:rPr>
        <w:t>。</w:t>
      </w:r>
    </w:p>
    <w:p>
      <w:pPr>
        <w:spacing w:after="0"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投标人拟派出的投标人代表必须在提交投标文件的同时提交身份证原件及复印件、法定代表人授权书、投标承诺书到场核验</w:t>
      </w:r>
      <w:r>
        <w:rPr>
          <w:rFonts w:hint="eastAsia" w:ascii="仿宋_GB2312" w:hAnsi="仿宋_GB2312" w:eastAsia="仿宋_GB2312" w:cs="仿宋_GB2312"/>
          <w:sz w:val="28"/>
          <w:szCs w:val="28"/>
          <w:lang w:eastAsia="zh-CN"/>
        </w:rPr>
        <w:t>。</w:t>
      </w:r>
    </w:p>
    <w:p>
      <w:pPr>
        <w:numPr>
          <w:ilvl w:val="0"/>
          <w:numId w:val="0"/>
        </w:num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资格审查采用方式：资格后审。</w:t>
      </w:r>
    </w:p>
    <w:p>
      <w:pPr>
        <w:numPr>
          <w:ilvl w:val="0"/>
          <w:numId w:val="0"/>
        </w:num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本招标项目不接受联合体投标，不接受备选投标方案，不允许分包, 不接受电子标。</w:t>
      </w:r>
    </w:p>
    <w:p>
      <w:pPr>
        <w:numPr>
          <w:ilvl w:val="0"/>
          <w:numId w:val="0"/>
        </w:num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上述提供材料均须加盖公章。</w:t>
      </w:r>
    </w:p>
    <w:p>
      <w:pPr>
        <w:numPr>
          <w:ilvl w:val="0"/>
          <w:numId w:val="1"/>
        </w:numPr>
        <w:spacing w:after="0" w:line="360" w:lineRule="auto"/>
        <w:ind w:firstLine="562" w:firstLineChars="200"/>
        <w:jc w:val="both"/>
        <w:rPr>
          <w:rFonts w:ascii="仿宋_GB2312" w:hAnsi="仿宋_GB2312" w:eastAsia="仿宋_GB2312" w:cs="仿宋_GB2312"/>
          <w:sz w:val="28"/>
          <w:szCs w:val="28"/>
        </w:rPr>
      </w:pPr>
      <w:r>
        <w:rPr>
          <w:rFonts w:hint="eastAsia" w:ascii="黑体" w:hAnsi="黑体" w:eastAsia="黑体" w:cs="黑体"/>
          <w:b/>
          <w:bCs/>
          <w:sz w:val="28"/>
          <w:szCs w:val="28"/>
        </w:rPr>
        <w:t>参与比选时间及材料递交时间地点</w:t>
      </w:r>
    </w:p>
    <w:p>
      <w:pPr>
        <w:numPr>
          <w:ilvl w:val="0"/>
          <w:numId w:val="2"/>
        </w:num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比选时间</w:t>
      </w:r>
      <w:r>
        <w:rPr>
          <w:rFonts w:hint="eastAsia" w:ascii="仿宋_GB2312" w:hAnsi="仿宋_GB2312" w:eastAsia="仿宋_GB2312" w:cs="仿宋_GB2312"/>
          <w:sz w:val="28"/>
          <w:szCs w:val="28"/>
          <w:highlight w:val="yellow"/>
        </w:rPr>
        <w:t>：202</w:t>
      </w:r>
      <w:r>
        <w:rPr>
          <w:rFonts w:hint="eastAsia" w:ascii="仿宋_GB2312" w:hAnsi="仿宋_GB2312" w:eastAsia="仿宋_GB2312" w:cs="仿宋_GB2312"/>
          <w:sz w:val="28"/>
          <w:szCs w:val="28"/>
          <w:highlight w:val="yellow"/>
          <w:lang w:val="en-US" w:eastAsia="zh-CN"/>
        </w:rPr>
        <w:t>4</w:t>
      </w:r>
      <w:r>
        <w:rPr>
          <w:rFonts w:hint="eastAsia" w:ascii="仿宋_GB2312" w:hAnsi="仿宋_GB2312" w:eastAsia="仿宋_GB2312" w:cs="仿宋_GB2312"/>
          <w:sz w:val="28"/>
          <w:szCs w:val="28"/>
          <w:highlight w:val="yellow"/>
        </w:rPr>
        <w:t>年</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15</w:t>
      </w:r>
      <w:r>
        <w:rPr>
          <w:rFonts w:hint="eastAsia" w:ascii="仿宋_GB2312" w:hAnsi="仿宋_GB2312" w:eastAsia="仿宋_GB2312" w:cs="仿宋_GB2312"/>
          <w:sz w:val="28"/>
          <w:szCs w:val="28"/>
          <w:highlight w:val="yellow"/>
        </w:rPr>
        <w:t>日</w:t>
      </w:r>
    </w:p>
    <w:p>
      <w:pPr>
        <w:numPr>
          <w:ilvl w:val="0"/>
          <w:numId w:val="2"/>
        </w:num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比选材料递交</w:t>
      </w:r>
      <w:r>
        <w:rPr>
          <w:rFonts w:hint="eastAsia" w:ascii="仿宋_GB2312" w:hAnsi="仿宋_GB2312" w:eastAsia="仿宋_GB2312" w:cs="仿宋_GB2312"/>
          <w:sz w:val="28"/>
          <w:szCs w:val="28"/>
          <w:lang w:val="en-US" w:eastAsia="zh-CN"/>
        </w:rPr>
        <w:t>开始</w:t>
      </w: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highlight w:val="yellow"/>
        </w:rPr>
        <w:t>202</w:t>
      </w:r>
      <w:r>
        <w:rPr>
          <w:rFonts w:hint="eastAsia" w:ascii="仿宋_GB2312" w:hAnsi="仿宋_GB2312" w:eastAsia="仿宋_GB2312" w:cs="仿宋_GB2312"/>
          <w:sz w:val="28"/>
          <w:szCs w:val="28"/>
          <w:highlight w:val="yellow"/>
          <w:lang w:val="en-US" w:eastAsia="zh-CN"/>
        </w:rPr>
        <w:t>4</w:t>
      </w:r>
      <w:r>
        <w:rPr>
          <w:rFonts w:hint="eastAsia" w:ascii="仿宋_GB2312" w:hAnsi="仿宋_GB2312" w:eastAsia="仿宋_GB2312" w:cs="仿宋_GB2312"/>
          <w:sz w:val="28"/>
          <w:szCs w:val="28"/>
          <w:highlight w:val="yellow"/>
        </w:rPr>
        <w:t>年</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15</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8时（北京时间）</w:t>
      </w:r>
    </w:p>
    <w:p>
      <w:pPr>
        <w:numPr>
          <w:ilvl w:val="0"/>
          <w:numId w:val="2"/>
        </w:num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比选材料递交</w:t>
      </w:r>
      <w:r>
        <w:rPr>
          <w:rFonts w:hint="eastAsia" w:ascii="仿宋_GB2312" w:hAnsi="仿宋_GB2312" w:eastAsia="仿宋_GB2312" w:cs="仿宋_GB2312"/>
          <w:sz w:val="28"/>
          <w:szCs w:val="28"/>
          <w:lang w:val="en-US" w:eastAsia="zh-CN"/>
        </w:rPr>
        <w:t>截止</w:t>
      </w: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highlight w:val="yellow"/>
        </w:rPr>
        <w:t>202</w:t>
      </w:r>
      <w:r>
        <w:rPr>
          <w:rFonts w:hint="eastAsia" w:ascii="仿宋_GB2312" w:hAnsi="仿宋_GB2312" w:eastAsia="仿宋_GB2312" w:cs="仿宋_GB2312"/>
          <w:sz w:val="28"/>
          <w:szCs w:val="28"/>
          <w:highlight w:val="yellow"/>
          <w:lang w:val="en-US" w:eastAsia="zh-CN"/>
        </w:rPr>
        <w:t>4</w:t>
      </w:r>
      <w:r>
        <w:rPr>
          <w:rFonts w:hint="eastAsia" w:ascii="仿宋_GB2312" w:hAnsi="仿宋_GB2312" w:eastAsia="仿宋_GB2312" w:cs="仿宋_GB2312"/>
          <w:sz w:val="28"/>
          <w:szCs w:val="28"/>
          <w:highlight w:val="yellow"/>
        </w:rPr>
        <w:t>年</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15</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9时3</w:t>
      </w:r>
      <w:r>
        <w:rPr>
          <w:rFonts w:hint="eastAsia" w:ascii="仿宋_GB2312" w:hAnsi="仿宋_GB2312" w:eastAsia="仿宋_GB2312" w:cs="仿宋_GB2312"/>
          <w:sz w:val="28"/>
          <w:szCs w:val="28"/>
          <w:highlight w:val="yellow"/>
        </w:rPr>
        <w:t>0</w:t>
      </w:r>
      <w:r>
        <w:rPr>
          <w:rFonts w:hint="eastAsia" w:ascii="仿宋_GB2312" w:hAnsi="仿宋_GB2312" w:eastAsia="仿宋_GB2312" w:cs="仿宋_GB2312"/>
          <w:sz w:val="28"/>
          <w:szCs w:val="28"/>
          <w:highlight w:val="yellow"/>
          <w:lang w:val="en-US" w:eastAsia="zh-CN"/>
        </w:rPr>
        <w:t>分（北京时间）</w:t>
      </w:r>
    </w:p>
    <w:p>
      <w:pPr>
        <w:numPr>
          <w:ilvl w:val="0"/>
          <w:numId w:val="2"/>
        </w:numPr>
        <w:spacing w:after="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提供材料一正</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副，资格证明文件、比选响应材料应分别装订，装入同一档案袋中密封，密封处加盖单位公章。</w:t>
      </w:r>
    </w:p>
    <w:p>
      <w:pPr>
        <w:numPr>
          <w:ilvl w:val="0"/>
          <w:numId w:val="0"/>
        </w:numPr>
        <w:spacing w:after="0" w:line="360" w:lineRule="auto"/>
        <w:ind w:firstLine="560" w:firstLineChars="200"/>
        <w:jc w:val="both"/>
        <w:rPr>
          <w:rFonts w:ascii="黑体" w:hAnsi="黑体" w:eastAsia="黑体" w:cs="黑体"/>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材料递交地点：福建省肿瘤医院</w:t>
      </w:r>
      <w:r>
        <w:rPr>
          <w:rFonts w:hint="eastAsia" w:ascii="仿宋_GB2312" w:hAnsi="仿宋_GB2312" w:eastAsia="仿宋_GB2312" w:cs="仿宋_GB2312"/>
          <w:sz w:val="28"/>
          <w:szCs w:val="28"/>
          <w:lang w:val="en-US" w:eastAsia="zh-CN"/>
        </w:rPr>
        <w:t>基建办</w:t>
      </w: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林工</w:t>
      </w:r>
      <w:r>
        <w:rPr>
          <w:rFonts w:hint="eastAsia" w:ascii="仿宋_GB2312" w:hAnsi="仿宋_GB2312" w:eastAsia="仿宋_GB2312" w:cs="仿宋_GB2312"/>
          <w:sz w:val="28"/>
          <w:szCs w:val="28"/>
        </w:rPr>
        <w:t>，联系电话：0591-6275280</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p>
    <w:p>
      <w:pPr>
        <w:numPr>
          <w:ilvl w:val="0"/>
          <w:numId w:val="1"/>
        </w:numPr>
        <w:spacing w:after="0" w:line="360" w:lineRule="auto"/>
        <w:ind w:firstLine="562" w:firstLineChars="200"/>
        <w:jc w:val="both"/>
        <w:rPr>
          <w:rFonts w:ascii="黑体" w:hAnsi="黑体" w:eastAsia="黑体" w:cs="黑体"/>
          <w:b/>
          <w:bCs/>
          <w:sz w:val="28"/>
          <w:szCs w:val="28"/>
        </w:rPr>
      </w:pPr>
      <w:r>
        <w:rPr>
          <w:rFonts w:hint="eastAsia" w:ascii="黑体" w:hAnsi="黑体" w:eastAsia="黑体" w:cs="黑体"/>
          <w:b/>
          <w:bCs/>
          <w:sz w:val="28"/>
          <w:szCs w:val="28"/>
        </w:rPr>
        <w:t>评标原则及办法</w:t>
      </w:r>
    </w:p>
    <w:p>
      <w:pPr>
        <w:numPr>
          <w:ilvl w:val="0"/>
          <w:numId w:val="3"/>
        </w:numPr>
        <w:spacing w:after="0" w:line="360" w:lineRule="auto"/>
        <w:ind w:left="440" w:left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评标活动遵循公平、公正、科学和择优的原则。</w:t>
      </w:r>
    </w:p>
    <w:p>
      <w:pPr>
        <w:numPr>
          <w:ilvl w:val="0"/>
          <w:numId w:val="3"/>
        </w:numPr>
        <w:spacing w:after="0" w:line="360" w:lineRule="auto"/>
        <w:ind w:left="440" w:left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评标方法：综合评分。</w:t>
      </w:r>
    </w:p>
    <w:p>
      <w:pPr>
        <w:numPr>
          <w:ilvl w:val="0"/>
          <w:numId w:val="3"/>
        </w:numPr>
        <w:spacing w:after="0" w:line="360" w:lineRule="auto"/>
        <w:ind w:left="440" w:left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投标人之间有相互串投标、弄虚作假等违规行为者，将作废标处理，并在我院未来的项目招标中被拒绝接受投标。</w:t>
      </w:r>
    </w:p>
    <w:p>
      <w:pPr>
        <w:numPr>
          <w:ilvl w:val="0"/>
          <w:numId w:val="1"/>
        </w:numPr>
        <w:spacing w:after="0" w:line="360" w:lineRule="auto"/>
        <w:ind w:firstLine="562" w:firstLineChars="200"/>
        <w:jc w:val="both"/>
        <w:rPr>
          <w:rFonts w:hint="eastAsia" w:ascii="黑体" w:hAnsi="黑体" w:eastAsia="黑体" w:cs="黑体"/>
          <w:b/>
          <w:bCs/>
          <w:sz w:val="28"/>
          <w:szCs w:val="28"/>
        </w:rPr>
      </w:pPr>
      <w:r>
        <w:rPr>
          <w:rFonts w:hint="eastAsia" w:ascii="黑体" w:hAnsi="黑体" w:eastAsia="黑体" w:cs="黑体"/>
          <w:b/>
          <w:bCs/>
          <w:sz w:val="28"/>
          <w:szCs w:val="28"/>
        </w:rPr>
        <w:t>评标办法和标准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1.评标方法和标准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综合评估法：即最大限度地满足招标文件中规定的各项综合评价标准，将报价、施工组织设计、质量保证、工期保证、业绩与信誉、施工企业对招标单位的优惠条件等综合评价，依据评委推荐的中标候选人顺序，确定中标人；</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1.2评标方法和标准（评分细则）</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分值设置如下：价格部分</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分，技术</w:t>
      </w:r>
      <w:r>
        <w:rPr>
          <w:rFonts w:hint="eastAsia" w:ascii="仿宋_GB2312" w:hAnsi="仿宋_GB2312" w:eastAsia="仿宋_GB2312" w:cs="仿宋_GB2312"/>
          <w:sz w:val="28"/>
          <w:szCs w:val="28"/>
          <w:lang w:val="en-US" w:eastAsia="zh-CN"/>
        </w:rPr>
        <w:t>部分35</w:t>
      </w:r>
      <w:r>
        <w:rPr>
          <w:rFonts w:hint="eastAsia" w:ascii="仿宋_GB2312" w:hAnsi="仿宋_GB2312" w:eastAsia="仿宋_GB2312" w:cs="仿宋_GB2312"/>
          <w:sz w:val="28"/>
          <w:szCs w:val="28"/>
        </w:rPr>
        <w:t>分、商务部分</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分，三部分的分数相加为综合得分。投标人的得分进行算术得出，评分将保留小数点后二位数字。不另说明的，每个分项的最低分为0分；投标人未对评分项目内容做出明确说明（或答复）的，得0分。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（1）价格部分评分办法（满分</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各投标人的价格得分按以下计算公式得出：</w:t>
      </w:r>
    </w:p>
    <w:p>
      <w:pPr>
        <w:numPr>
          <w:ilvl w:val="0"/>
          <w:numId w:val="0"/>
        </w:numPr>
        <w:spacing w:after="0" w:line="360" w:lineRule="auto"/>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A= Bn÷B×</w:t>
      </w:r>
      <w:r>
        <w:rPr>
          <w:rFonts w:hint="eastAsia" w:ascii="仿宋_GB2312" w:hAnsi="仿宋_GB2312" w:eastAsia="仿宋_GB2312" w:cs="仿宋_GB2312"/>
          <w:sz w:val="28"/>
          <w:szCs w:val="28"/>
          <w:lang w:val="en-US" w:eastAsia="zh-CN"/>
        </w:rPr>
        <w:t>30</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式中：A为报价部分得分；B为进入综合评分的最高报价；Bn为投标人报价。</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（2）技术部分评分办法（满分</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w:t>
      </w:r>
      <w:r>
        <w:rPr>
          <w:rFonts w:hint="eastAsia" w:ascii="仿宋_GB2312" w:hAnsi="仿宋_GB2312" w:eastAsia="仿宋_GB2312" w:cs="仿宋_GB2312"/>
          <w:sz w:val="28"/>
          <w:szCs w:val="28"/>
          <w:lang w:val="en-US" w:eastAsia="zh-CN"/>
        </w:rPr>
        <w:t xml:space="preserve"> 技术方案(满分10分）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分析医院防辐射门等防护设备设施的常见问题及技术解决方案，</w:t>
      </w:r>
      <w:r>
        <w:rPr>
          <w:rFonts w:hint="eastAsia" w:ascii="仿宋_GB2312" w:hAnsi="仿宋_GB2312" w:eastAsia="仿宋_GB2312" w:cs="仿宋_GB2312"/>
          <w:i w:val="0"/>
          <w:caps w:val="0"/>
          <w:spacing w:val="0"/>
          <w:sz w:val="28"/>
          <w:szCs w:val="28"/>
          <w:shd w:val="clear"/>
          <w:lang w:val="en-US" w:eastAsia="zh-CN"/>
        </w:rPr>
        <w:t>内容完整合理得10分，</w:t>
      </w:r>
      <w:r>
        <w:rPr>
          <w:rFonts w:hint="eastAsia" w:ascii="仿宋_GB2312" w:hAnsi="仿宋_GB2312" w:eastAsia="仿宋_GB2312" w:cs="仿宋_GB2312"/>
          <w:sz w:val="28"/>
          <w:szCs w:val="28"/>
        </w:rPr>
        <w:t>其余依次递减</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i w:val="0"/>
          <w:caps w:val="0"/>
          <w:spacing w:val="0"/>
          <w:sz w:val="28"/>
          <w:szCs w:val="28"/>
          <w:shd w:val="clear"/>
          <w:lang w:val="en-US" w:eastAsia="zh-CN"/>
        </w:rPr>
        <w:t>内容不完整不合理不得分</w:t>
      </w:r>
      <w:r>
        <w:rPr>
          <w:rFonts w:hint="eastAsia" w:ascii="仿宋_GB2312" w:hAnsi="仿宋_GB2312" w:eastAsia="仿宋_GB2312" w:cs="仿宋_GB2312"/>
          <w:sz w:val="28"/>
          <w:szCs w:val="28"/>
        </w:rPr>
        <w:t>。</w:t>
      </w:r>
    </w:p>
    <w:p>
      <w:pPr>
        <w:numPr>
          <w:ilvl w:val="0"/>
          <w:numId w:val="0"/>
        </w:numPr>
        <w:spacing w:after="0" w:line="360" w:lineRule="auto"/>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C2 服务方案（满分15分）：投标商对服务方案进行说明，</w:t>
      </w:r>
      <w:r>
        <w:rPr>
          <w:rFonts w:hint="eastAsia" w:ascii="仿宋_GB2312" w:hAnsi="仿宋_GB2312" w:eastAsia="仿宋_GB2312" w:cs="仿宋_GB2312"/>
          <w:i w:val="0"/>
          <w:caps w:val="0"/>
          <w:spacing w:val="0"/>
          <w:sz w:val="28"/>
          <w:szCs w:val="28"/>
          <w:shd w:val="clear" w:fill="auto"/>
          <w:lang w:val="en-US" w:eastAsia="zh-CN"/>
        </w:rPr>
        <w:t>包括</w:t>
      </w:r>
      <w:r>
        <w:rPr>
          <w:rFonts w:hint="eastAsia" w:ascii="仿宋_GB2312" w:hAnsi="仿宋_GB2312" w:eastAsia="仿宋_GB2312" w:cs="仿宋_GB2312"/>
          <w:i w:val="0"/>
          <w:caps w:val="0"/>
          <w:spacing w:val="0"/>
          <w:sz w:val="28"/>
          <w:szCs w:val="28"/>
          <w:shd w:val="clear"/>
          <w:lang w:val="en-US" w:eastAsia="zh-CN"/>
        </w:rPr>
        <w:t>包括服务的目标、范围、流程、标准、人员配置、时间安排、质量保证措施以及应急响应计划等，内容完整合理得15分，</w:t>
      </w:r>
      <w:r>
        <w:rPr>
          <w:rFonts w:hint="eastAsia" w:ascii="仿宋_GB2312" w:hAnsi="仿宋_GB2312" w:eastAsia="仿宋_GB2312" w:cs="仿宋_GB2312"/>
          <w:sz w:val="28"/>
          <w:szCs w:val="28"/>
        </w:rPr>
        <w:t>其余依次递减</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i w:val="0"/>
          <w:caps w:val="0"/>
          <w:spacing w:val="0"/>
          <w:sz w:val="28"/>
          <w:szCs w:val="28"/>
          <w:shd w:val="clear"/>
          <w:lang w:val="en-US" w:eastAsia="zh-CN"/>
        </w:rPr>
        <w:t>内容不完整不合理不得分。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C3 响应时间（满分10分）：投标商对响应时间进行承诺，承诺2小时内响应得10分，承诺6小时内响应得6分，承诺12小时内响应得2分，其余不得分。</w:t>
      </w:r>
    </w:p>
    <w:p>
      <w:pPr>
        <w:numPr>
          <w:ilvl w:val="0"/>
          <w:numId w:val="0"/>
        </w:numPr>
        <w:spacing w:after="0" w:line="360" w:lineRule="auto"/>
        <w:ind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各投标人的</w:t>
      </w:r>
      <w:r>
        <w:rPr>
          <w:rFonts w:hint="eastAsia" w:ascii="仿宋_GB2312" w:hAnsi="仿宋_GB2312" w:eastAsia="仿宋_GB2312" w:cs="仿宋_GB2312"/>
          <w:sz w:val="28"/>
          <w:szCs w:val="28"/>
          <w:lang w:val="en-US" w:eastAsia="zh-CN"/>
        </w:rPr>
        <w:t>技术</w:t>
      </w:r>
      <w:r>
        <w:rPr>
          <w:rFonts w:hint="eastAsia" w:ascii="仿宋_GB2312" w:hAnsi="仿宋_GB2312" w:eastAsia="仿宋_GB2312" w:cs="仿宋_GB2312"/>
          <w:sz w:val="28"/>
          <w:szCs w:val="28"/>
        </w:rPr>
        <w:t>部分得分为：</w:t>
      </w: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3。</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（3）商务部分评分办法（满分</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D1投标商的实力（</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分）：投标商以注册资金从高到低进行排序，</w:t>
      </w:r>
      <w:r>
        <w:rPr>
          <w:rFonts w:hint="eastAsia" w:ascii="仿宋_GB2312" w:hAnsi="仿宋_GB2312" w:eastAsia="仿宋_GB2312" w:cs="仿宋_GB2312"/>
          <w:sz w:val="28"/>
          <w:szCs w:val="28"/>
          <w:lang w:val="en-US" w:eastAsia="zh-CN"/>
        </w:rPr>
        <w:t>第一名</w:t>
      </w:r>
      <w:r>
        <w:rPr>
          <w:rFonts w:hint="eastAsia" w:ascii="仿宋_GB2312" w:hAnsi="仿宋_GB2312" w:eastAsia="仿宋_GB2312" w:cs="仿宋_GB2312"/>
          <w:sz w:val="28"/>
          <w:szCs w:val="28"/>
        </w:rPr>
        <w:t>得</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第二名</w:t>
      </w:r>
      <w:r>
        <w:rPr>
          <w:rFonts w:hint="eastAsia" w:ascii="仿宋_GB2312" w:hAnsi="仿宋_GB2312" w:eastAsia="仿宋_GB2312" w:cs="仿宋_GB2312"/>
          <w:sz w:val="28"/>
          <w:szCs w:val="28"/>
        </w:rPr>
        <w:t>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第三名</w:t>
      </w:r>
      <w:r>
        <w:rPr>
          <w:rFonts w:hint="eastAsia" w:ascii="仿宋_GB2312" w:hAnsi="仿宋_GB2312" w:eastAsia="仿宋_GB2312" w:cs="仿宋_GB2312"/>
          <w:sz w:val="28"/>
          <w:szCs w:val="28"/>
        </w:rPr>
        <w:t>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其余得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D2业绩（</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分）：根据投标人201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年以来的业绩情况评分，已完成同类项目业绩须提供该业绩项目的合同、能够证明该业绩项目已经招标人验收合格的相关证明文件复印件，否则不得分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每提供一份得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分，满分</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w:t>
      </w:r>
    </w:p>
    <w:p>
      <w:pPr>
        <w:numPr>
          <w:ilvl w:val="0"/>
          <w:numId w:val="0"/>
        </w:numPr>
        <w:spacing w:after="0" w:line="360" w:lineRule="auto"/>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D3 定期巡检</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每个月定期巡检1次</w:t>
      </w:r>
      <w:r>
        <w:rPr>
          <w:rFonts w:hint="eastAsia" w:ascii="仿宋_GB2312" w:hAnsi="仿宋_GB2312" w:eastAsia="仿宋_GB2312" w:cs="仿宋_GB2312"/>
          <w:sz w:val="28"/>
          <w:szCs w:val="28"/>
        </w:rPr>
        <w:t>的得</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每2个月定期巡检1次</w:t>
      </w:r>
      <w:r>
        <w:rPr>
          <w:rFonts w:hint="eastAsia" w:ascii="仿宋_GB2312" w:hAnsi="仿宋_GB2312" w:eastAsia="仿宋_GB2312" w:cs="仿宋_GB2312"/>
          <w:sz w:val="28"/>
          <w:szCs w:val="28"/>
        </w:rPr>
        <w:t>的得</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每3个月定期巡检1次</w:t>
      </w:r>
      <w:r>
        <w:rPr>
          <w:rFonts w:hint="eastAsia" w:ascii="仿宋_GB2312" w:hAnsi="仿宋_GB2312" w:eastAsia="仿宋_GB2312" w:cs="仿宋_GB2312"/>
          <w:sz w:val="28"/>
          <w:szCs w:val="28"/>
        </w:rPr>
        <w:t>的得</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分，其他不得分;</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标书制作情况（</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分）：内容完整，易查阅，制作优良得</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 xml:space="preserve">分，其余依次递减1分；不完整、不便查阅或未装订成册的不予得分。        </w:t>
      </w:r>
    </w:p>
    <w:p>
      <w:pPr>
        <w:numPr>
          <w:ilvl w:val="0"/>
          <w:numId w:val="0"/>
        </w:numPr>
        <w:spacing w:after="0"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各投标人的商务部分得分为：</w:t>
      </w: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4。</w:t>
      </w:r>
    </w:p>
    <w:p>
      <w:pPr>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（4）投标人的综合得分为：A+C+</w:t>
      </w: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w:t>
      </w:r>
    </w:p>
    <w:p>
      <w:pPr>
        <w:widowControl/>
        <w:numPr>
          <w:ilvl w:val="0"/>
          <w:numId w:val="0"/>
        </w:numPr>
        <w:spacing w:after="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2.评标委员会经评审，认为所有投标都不符合招标文件要求的，可以否决所有投标。所有投标被否决后，招标人应当依法重新招标。</w:t>
      </w:r>
    </w:p>
    <w:p>
      <w:pPr>
        <w:numPr>
          <w:ilvl w:val="0"/>
          <w:numId w:val="1"/>
        </w:numPr>
        <w:spacing w:after="0" w:line="360" w:lineRule="auto"/>
        <w:ind w:firstLine="562" w:firstLineChars="200"/>
        <w:jc w:val="both"/>
        <w:rPr>
          <w:rFonts w:hint="eastAsia" w:ascii="黑体" w:hAnsi="黑体" w:eastAsia="黑体" w:cs="黑体"/>
          <w:b/>
          <w:bCs/>
          <w:sz w:val="28"/>
          <w:szCs w:val="28"/>
        </w:rPr>
      </w:pPr>
      <w:r>
        <w:rPr>
          <w:rFonts w:hint="eastAsia" w:ascii="黑体" w:hAnsi="黑体" w:eastAsia="黑体" w:cs="黑体"/>
          <w:b/>
          <w:bCs/>
          <w:sz w:val="28"/>
          <w:szCs w:val="28"/>
          <w:lang w:val="en-US" w:eastAsia="zh-CN"/>
        </w:rPr>
        <w:t>付款方式</w:t>
      </w:r>
    </w:p>
    <w:tbl>
      <w:tblPr>
        <w:tblStyle w:val="4"/>
        <w:tblW w:w="7964" w:type="dxa"/>
        <w:jc w:val="center"/>
        <w:tblInd w:w="-44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626"/>
        <w:gridCol w:w="48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1515" w:type="dxa"/>
            <w:tcBorders>
              <w:top w:val="single" w:color="auto" w:sz="8" w:space="0"/>
              <w:left w:val="single" w:color="auto" w:sz="8" w:space="0"/>
              <w:bottom w:val="single" w:color="auto" w:sz="4" w:space="0"/>
              <w:right w:val="single" w:color="auto" w:sz="4" w:space="0"/>
            </w:tcBorders>
            <w:noWrap w:val="0"/>
            <w:vAlign w:val="center"/>
          </w:tcPr>
          <w:p>
            <w:pPr>
              <w:widowControl/>
              <w:numPr>
                <w:ilvl w:val="0"/>
                <w:numId w:val="0"/>
              </w:numPr>
              <w:spacing w:line="360" w:lineRule="auto"/>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付费次序</w:t>
            </w:r>
          </w:p>
        </w:tc>
        <w:tc>
          <w:tcPr>
            <w:tcW w:w="1626" w:type="dxa"/>
            <w:tcBorders>
              <w:top w:val="single" w:color="auto" w:sz="8"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占总</w:t>
            </w:r>
            <w:r>
              <w:rPr>
                <w:rFonts w:hint="eastAsia" w:ascii="仿宋_GB2312" w:hAnsi="仿宋_GB2312" w:eastAsia="仿宋_GB2312" w:cs="仿宋_GB2312"/>
                <w:sz w:val="28"/>
                <w:szCs w:val="28"/>
                <w:lang w:val="en-US" w:eastAsia="zh-CN"/>
              </w:rPr>
              <w:t>维保</w:t>
            </w:r>
            <w:r>
              <w:rPr>
                <w:rFonts w:hint="eastAsia" w:ascii="仿宋_GB2312" w:hAnsi="仿宋_GB2312" w:eastAsia="仿宋_GB2312" w:cs="仿宋_GB2312"/>
                <w:sz w:val="28"/>
                <w:szCs w:val="28"/>
              </w:rPr>
              <w:t>费</w:t>
            </w:r>
          </w:p>
          <w:p>
            <w:pPr>
              <w:widowControl/>
              <w:numPr>
                <w:ilvl w:val="0"/>
                <w:numId w:val="0"/>
              </w:numPr>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823" w:type="dxa"/>
            <w:tcBorders>
              <w:top w:val="single" w:color="auto" w:sz="8" w:space="0"/>
              <w:left w:val="single" w:color="auto" w:sz="4" w:space="0"/>
              <w:bottom w:val="single" w:color="auto" w:sz="4" w:space="0"/>
              <w:right w:val="single" w:color="auto" w:sz="8" w:space="0"/>
            </w:tcBorders>
            <w:noWrap w:val="0"/>
            <w:vAlign w:val="center"/>
          </w:tcPr>
          <w:p>
            <w:pPr>
              <w:widowControl/>
              <w:numPr>
                <w:ilvl w:val="0"/>
                <w:numId w:val="0"/>
              </w:numPr>
              <w:spacing w:line="36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付费时间</w:t>
            </w:r>
          </w:p>
          <w:p>
            <w:pPr>
              <w:widowControl/>
              <w:numPr>
                <w:ilvl w:val="0"/>
                <w:numId w:val="0"/>
              </w:numPr>
              <w:spacing w:line="36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维保合同签订时间</w:t>
            </w:r>
            <w:r>
              <w:rPr>
                <w:rFonts w:hint="eastAsia" w:ascii="仿宋_GB2312" w:hAnsi="仿宋_GB2312" w:eastAsia="仿宋_GB2312" w:cs="仿宋_GB2312"/>
                <w:sz w:val="28"/>
                <w:szCs w:val="28"/>
              </w:rPr>
              <w:t>所决定）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515" w:type="dxa"/>
            <w:tcBorders>
              <w:top w:val="single" w:color="auto" w:sz="4" w:space="0"/>
              <w:left w:val="single" w:color="auto" w:sz="8" w:space="0"/>
              <w:bottom w:val="single" w:color="auto" w:sz="4" w:space="0"/>
              <w:right w:val="single" w:color="auto" w:sz="4" w:space="0"/>
            </w:tcBorders>
            <w:noWrap w:val="0"/>
            <w:vAlign w:val="center"/>
          </w:tcPr>
          <w:p>
            <w:pPr>
              <w:widowControl/>
              <w:numPr>
                <w:ilvl w:val="0"/>
                <w:numId w:val="0"/>
              </w:numPr>
              <w:spacing w:line="360" w:lineRule="auto"/>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第一次</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4823" w:type="dxa"/>
            <w:tcBorders>
              <w:top w:val="single" w:color="auto" w:sz="4" w:space="0"/>
              <w:left w:val="single" w:color="auto" w:sz="4" w:space="0"/>
              <w:bottom w:val="single" w:color="auto" w:sz="4" w:space="0"/>
              <w:right w:val="single" w:color="auto" w:sz="8" w:space="0"/>
            </w:tcBorders>
            <w:noWrap w:val="0"/>
            <w:vAlign w:val="center"/>
          </w:tcPr>
          <w:p>
            <w:pPr>
              <w:widowControl/>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维保合同签订后3个月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515" w:type="dxa"/>
            <w:tcBorders>
              <w:top w:val="single" w:color="auto" w:sz="4" w:space="0"/>
              <w:left w:val="single" w:color="auto" w:sz="8" w:space="0"/>
              <w:bottom w:val="single" w:color="auto" w:sz="4" w:space="0"/>
              <w:right w:val="single" w:color="auto" w:sz="4" w:space="0"/>
            </w:tcBorders>
            <w:noWrap w:val="0"/>
            <w:vAlign w:val="center"/>
          </w:tcPr>
          <w:p>
            <w:pPr>
              <w:widowControl/>
              <w:numPr>
                <w:ilvl w:val="0"/>
                <w:numId w:val="0"/>
              </w:numPr>
              <w:spacing w:line="360" w:lineRule="auto"/>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第二次</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4823" w:type="dxa"/>
            <w:tcBorders>
              <w:top w:val="single" w:color="auto" w:sz="4" w:space="0"/>
              <w:left w:val="single" w:color="auto" w:sz="4" w:space="0"/>
              <w:bottom w:val="single" w:color="auto" w:sz="4" w:space="0"/>
              <w:right w:val="single" w:color="auto" w:sz="8" w:space="0"/>
            </w:tcBorders>
            <w:noWrap w:val="0"/>
            <w:vAlign w:val="center"/>
          </w:tcPr>
          <w:p>
            <w:pPr>
              <w:widowControl/>
              <w:numPr>
                <w:ilvl w:val="0"/>
                <w:numId w:val="0"/>
              </w:numPr>
              <w:spacing w:line="36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维保合同签订后6个月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515" w:type="dxa"/>
            <w:tcBorders>
              <w:top w:val="single" w:color="auto" w:sz="4" w:space="0"/>
              <w:left w:val="single" w:color="auto" w:sz="8" w:space="0"/>
              <w:bottom w:val="single" w:color="auto" w:sz="4" w:space="0"/>
              <w:right w:val="single" w:color="auto" w:sz="4" w:space="0"/>
            </w:tcBorders>
            <w:noWrap w:val="0"/>
            <w:vAlign w:val="center"/>
          </w:tcPr>
          <w:p>
            <w:pPr>
              <w:widowControl/>
              <w:numPr>
                <w:ilvl w:val="0"/>
                <w:numId w:val="0"/>
              </w:numPr>
              <w:spacing w:line="360" w:lineRule="auto"/>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第三次</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4823" w:type="dxa"/>
            <w:tcBorders>
              <w:top w:val="single" w:color="auto" w:sz="4" w:space="0"/>
              <w:left w:val="single" w:color="auto" w:sz="4" w:space="0"/>
              <w:bottom w:val="single" w:color="auto" w:sz="4" w:space="0"/>
              <w:right w:val="single" w:color="auto" w:sz="8" w:space="0"/>
            </w:tcBorders>
            <w:noWrap w:val="0"/>
            <w:vAlign w:val="center"/>
          </w:tcPr>
          <w:p>
            <w:pPr>
              <w:widowControl/>
              <w:numPr>
                <w:ilvl w:val="0"/>
                <w:numId w:val="0"/>
              </w:numPr>
              <w:spacing w:line="36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维保合同签订后9个月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515" w:type="dxa"/>
            <w:tcBorders>
              <w:top w:val="single" w:color="auto" w:sz="4" w:space="0"/>
              <w:left w:val="single" w:color="auto" w:sz="8" w:space="0"/>
              <w:bottom w:val="single" w:color="auto" w:sz="4" w:space="0"/>
              <w:right w:val="single" w:color="auto" w:sz="4" w:space="0"/>
            </w:tcBorders>
            <w:noWrap w:val="0"/>
            <w:vAlign w:val="center"/>
          </w:tcPr>
          <w:p>
            <w:pPr>
              <w:widowControl/>
              <w:numPr>
                <w:ilvl w:val="0"/>
                <w:numId w:val="0"/>
              </w:numPr>
              <w:spacing w:line="360" w:lineRule="auto"/>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次</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4823" w:type="dxa"/>
            <w:tcBorders>
              <w:top w:val="single" w:color="auto" w:sz="4" w:space="0"/>
              <w:left w:val="single" w:color="auto" w:sz="4" w:space="0"/>
              <w:bottom w:val="single" w:color="auto" w:sz="4" w:space="0"/>
              <w:right w:val="single" w:color="auto" w:sz="8" w:space="0"/>
            </w:tcBorders>
            <w:noWrap w:val="0"/>
            <w:vAlign w:val="center"/>
          </w:tcPr>
          <w:p>
            <w:pPr>
              <w:widowControl/>
              <w:numPr>
                <w:ilvl w:val="0"/>
                <w:numId w:val="0"/>
              </w:numPr>
              <w:spacing w:line="36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维保合同签订后12个月</w:t>
            </w:r>
          </w:p>
        </w:tc>
      </w:tr>
    </w:tbl>
    <w:p>
      <w:pPr>
        <w:numPr>
          <w:ilvl w:val="-1"/>
          <w:numId w:val="0"/>
        </w:numPr>
        <w:spacing w:after="0" w:line="360" w:lineRule="auto"/>
        <w:ind w:firstLine="0" w:firstLineChars="0"/>
        <w:jc w:val="both"/>
        <w:rPr>
          <w:rFonts w:hint="eastAsia" w:ascii="黑体" w:hAnsi="黑体" w:eastAsia="黑体" w:cs="黑体"/>
          <w:b/>
          <w:bCs/>
          <w:sz w:val="28"/>
          <w:szCs w:val="28"/>
        </w:rPr>
      </w:pPr>
    </w:p>
    <w:p>
      <w:pPr>
        <w:widowControl w:val="0"/>
        <w:numPr>
          <w:ilvl w:val="0"/>
          <w:numId w:val="0"/>
        </w:numPr>
        <w:spacing w:after="0" w:line="360" w:lineRule="auto"/>
        <w:jc w:val="both"/>
        <w:rPr>
          <w:rFonts w:hint="eastAsia" w:ascii="仿宋_GB2312" w:hAnsi="仿宋_GB2312" w:eastAsia="仿宋_GB2312" w:cs="仿宋_GB2312"/>
          <w:sz w:val="28"/>
          <w:szCs w:val="28"/>
        </w:rPr>
      </w:pPr>
    </w:p>
    <w:p>
      <w:pPr>
        <w:widowControl w:val="0"/>
        <w:numPr>
          <w:ilvl w:val="0"/>
          <w:numId w:val="0"/>
        </w:numPr>
        <w:spacing w:after="0" w:line="360" w:lineRule="auto"/>
        <w:jc w:val="both"/>
        <w:rPr>
          <w:rFonts w:hint="eastAsia" w:ascii="仿宋_GB2312" w:hAnsi="仿宋_GB2312" w:eastAsia="仿宋_GB2312" w:cs="仿宋_GB2312"/>
          <w:sz w:val="28"/>
          <w:szCs w:val="28"/>
        </w:rPr>
      </w:pPr>
    </w:p>
    <w:p>
      <w:pPr>
        <w:pStyle w:val="3"/>
        <w:adjustRightInd w:val="0"/>
        <w:snapToGrid w:val="0"/>
        <w:spacing w:before="0" w:beforeAutospacing="0" w:after="0" w:afterAutospacing="0" w:line="360" w:lineRule="auto"/>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提交材料</w:t>
      </w:r>
    </w:p>
    <w:p>
      <w:pPr>
        <w:pStyle w:val="3"/>
        <w:adjustRightInd w:val="0"/>
        <w:snapToGrid w:val="0"/>
        <w:spacing w:before="0" w:beforeAutospacing="0" w:after="0" w:afterAutospacing="0" w:line="360" w:lineRule="auto"/>
        <w:jc w:val="center"/>
        <w:rPr>
          <w:rFonts w:ascii="仿宋_GB2312" w:hAnsi="仿宋_GB2312" w:eastAsia="仿宋_GB2312" w:cs="仿宋_GB2312"/>
          <w:b/>
          <w:bCs/>
          <w:sz w:val="28"/>
          <w:szCs w:val="28"/>
        </w:rPr>
      </w:pPr>
    </w:p>
    <w:p>
      <w:pPr>
        <w:spacing w:after="0"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一、参与比选单位需提交的材料</w:t>
      </w:r>
    </w:p>
    <w:p>
      <w:pPr>
        <w:spacing w:after="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（一）资格证明文件（１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按附件模板提交）：</w:t>
      </w:r>
    </w:p>
    <w:p>
      <w:pPr>
        <w:spacing w:after="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、法定代表人授权书（原件，如有授权者提供）</w:t>
      </w:r>
    </w:p>
    <w:p>
      <w:pPr>
        <w:spacing w:after="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、法人营业执照复印件（原件复印加盖公章，注明“与原件一致”）</w:t>
      </w:r>
    </w:p>
    <w:p>
      <w:pPr>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别提供“信用中国”网站（ｗｗｗ．ｃｒｅｄｉｔｃｈｉｎａ．ｇｏｖ．ｃｎ）、“中国政府采购网”网站（ｗｗｗ．ｃｃｇｐ．ｇｏｖ．ｃｎ）信用记录查询截图，无不良记录并加盖公章（截图查询日期必须在比选截止前两周内）。参加采购活动前三年内在经营活动中没有重大违法记录及行贿犯罪记录书面声明。</w:t>
      </w:r>
    </w:p>
    <w:p>
      <w:pPr>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4、提供</w:t>
      </w:r>
      <w:r>
        <w:rPr>
          <w:rFonts w:hint="eastAsia" w:ascii="仿宋_GB2312" w:hAnsi="仿宋_GB2312" w:eastAsia="仿宋_GB2312" w:cs="仿宋_GB2312"/>
          <w:sz w:val="28"/>
          <w:szCs w:val="28"/>
        </w:rPr>
        <w:t>投标文件资料的真实性</w:t>
      </w:r>
      <w:r>
        <w:rPr>
          <w:rFonts w:hint="eastAsia" w:ascii="仿宋_GB2312" w:hAnsi="仿宋_GB2312" w:eastAsia="仿宋_GB2312" w:cs="仿宋_GB2312"/>
          <w:sz w:val="28"/>
          <w:szCs w:val="28"/>
          <w:lang w:val="en-US" w:eastAsia="zh-CN"/>
        </w:rPr>
        <w:t>承诺书并加盖公章</w:t>
      </w:r>
      <w:r>
        <w:rPr>
          <w:rFonts w:hint="eastAsia" w:ascii="仿宋_GB2312" w:hAnsi="仿宋_GB2312" w:eastAsia="仿宋_GB2312" w:cs="仿宋_GB2312"/>
          <w:sz w:val="28"/>
          <w:szCs w:val="28"/>
        </w:rPr>
        <w:t>。</w:t>
      </w:r>
    </w:p>
    <w:p>
      <w:pPr>
        <w:spacing w:after="0"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5、投标报价单。</w:t>
      </w:r>
    </w:p>
    <w:p>
      <w:pPr>
        <w:spacing w:after="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、资格要求的其他材料。</w:t>
      </w:r>
    </w:p>
    <w:p>
      <w:pPr>
        <w:spacing w:after="0" w:line="360" w:lineRule="auto"/>
        <w:ind w:firstLine="641"/>
        <w:rPr>
          <w:rFonts w:ascii="仿宋_GB2312" w:hAnsi="仿宋_GB2312" w:eastAsia="仿宋_GB2312" w:cs="仿宋_GB2312"/>
          <w:sz w:val="28"/>
          <w:szCs w:val="28"/>
        </w:rPr>
      </w:pPr>
      <w:r>
        <w:rPr>
          <w:rFonts w:hint="eastAsia" w:ascii="仿宋_GB2312" w:hAnsi="仿宋_GB2312" w:eastAsia="仿宋_GB2312" w:cs="仿宋_GB2312"/>
          <w:sz w:val="28"/>
          <w:szCs w:val="28"/>
        </w:rPr>
        <w:t>（二）比选响应材料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、根据比选评分标准，参与比选单位提供的材料按评审内容顺序装订成册，并制作材料目录，比选文件须加盖封面章和骑缝章（或每页加盖公章）。</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0" w:firstLineChars="0"/>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spacing w:before="100" w:beforeAutospacing="1" w:after="100" w:afterAutospacing="1" w:line="360" w:lineRule="auto"/>
        <w:ind w:firstLine="2551" w:firstLineChars="850"/>
        <w:outlineLvl w:val="2"/>
        <w:rPr>
          <w:rFonts w:hint="eastAsia" w:ascii="宋体" w:hAnsi="宋体" w:cs="宋体"/>
          <w:b/>
          <w:sz w:val="30"/>
          <w:szCs w:val="30"/>
        </w:rPr>
      </w:pPr>
      <w:r>
        <w:rPr>
          <w:rFonts w:ascii="宋体" w:hAnsi="宋体" w:cs="宋体"/>
          <w:b/>
          <w:sz w:val="30"/>
          <w:szCs w:val="30"/>
        </w:rPr>
        <w:t>法定代表人授权书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（投标人全称）法定代表人         授权  （投标人代表姓名）为投标人代表，代表本公司参加贵中心组织的            项目（招标编号       ）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本授权书自出具之日起生效。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投标人代表：              性别：       身份证号：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                    部门：           职务：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详细通讯地址：            邮政编码:            电话：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附：被授权人身份证件（复印件）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投标人（全称并加盖公章）：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法定代表人签字或盖章：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接受授权方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投标人代表签字：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p>
    <w:p/>
    <w:p/>
    <w:p/>
    <w:p/>
    <w:p/>
    <w:p>
      <w:pPr>
        <w:spacing w:before="100" w:beforeAutospacing="1" w:after="100" w:afterAutospacing="1" w:line="360" w:lineRule="auto"/>
        <w:ind w:firstLine="0" w:firstLineChars="0"/>
        <w:outlineLvl w:val="2"/>
        <w:rPr>
          <w:rFonts w:ascii="宋体" w:hAnsi="宋体" w:cs="宋体"/>
          <w:b/>
          <w:sz w:val="30"/>
          <w:szCs w:val="30"/>
        </w:rPr>
      </w:pPr>
    </w:p>
    <w:p>
      <w:pPr>
        <w:spacing w:before="100" w:beforeAutospacing="1" w:after="100" w:afterAutospacing="1" w:line="360" w:lineRule="auto"/>
        <w:ind w:firstLine="2551" w:firstLineChars="850"/>
        <w:outlineLvl w:val="2"/>
        <w:rPr>
          <w:rFonts w:hint="default" w:ascii="宋体" w:hAnsi="宋体" w:cs="宋体"/>
          <w:b/>
          <w:sz w:val="30"/>
          <w:szCs w:val="30"/>
        </w:rPr>
      </w:pPr>
      <w:r>
        <w:rPr>
          <w:rFonts w:hint="default" w:ascii="宋体" w:hAnsi="宋体" w:cs="宋体"/>
          <w:b/>
          <w:sz w:val="30"/>
          <w:szCs w:val="30"/>
        </w:rPr>
        <w:t>投标承诺书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我司承诺对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项目（招标编号       ）招标活动最终确定的综合评定最优结果表示认可，并承诺不会对福建省肿瘤医院在本项目招标过程中的工作模式以及终止本项目招标的可能提出疑议。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我司承诺福建省肿瘤医院在授予我司合同时有权增加补充相关内容。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备注：工作模式包括二次谈判、将本公司的报价告知相关公司等工作模式。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投标人名称（全称并加公章）：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投标人代表签字：</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
    <w:p/>
    <w:p/>
    <w:p/>
    <w:p/>
    <w:p/>
    <w:p/>
    <w:p>
      <w:pPr>
        <w:spacing w:before="100" w:beforeAutospacing="1" w:after="100" w:afterAutospacing="1" w:line="360" w:lineRule="auto"/>
        <w:ind w:firstLine="0" w:firstLineChars="0"/>
        <w:jc w:val="center"/>
        <w:outlineLvl w:val="2"/>
        <w:rPr>
          <w:rFonts w:ascii="宋体" w:hAnsi="宋体" w:cs="宋体"/>
          <w:b/>
          <w:sz w:val="30"/>
          <w:szCs w:val="30"/>
        </w:rPr>
      </w:pPr>
      <w:r>
        <w:rPr>
          <w:rFonts w:hint="default" w:ascii="宋体" w:hAnsi="宋体" w:cs="宋体"/>
          <w:b/>
          <w:sz w:val="30"/>
          <w:szCs w:val="30"/>
        </w:rPr>
        <w:t>投标报价表</w:t>
      </w:r>
    </w:p>
    <w:tbl>
      <w:tblPr>
        <w:tblStyle w:val="4"/>
        <w:tblW w:w="9352"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8"/>
        <w:gridCol w:w="3706"/>
        <w:gridCol w:w="1482"/>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668" w:type="dxa"/>
            <w:noWrap w:val="0"/>
            <w:vAlign w:val="center"/>
          </w:tcPr>
          <w:p>
            <w:pPr>
              <w:spacing w:line="360" w:lineRule="auto"/>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3706" w:type="dxa"/>
            <w:noWrap w:val="0"/>
            <w:vAlign w:val="center"/>
          </w:tcPr>
          <w:p>
            <w:pPr>
              <w:spacing w:line="360" w:lineRule="auto"/>
              <w:ind w:firstLine="560" w:firstLineChars="200"/>
              <w:jc w:val="left"/>
              <w:rPr>
                <w:rFonts w:hint="eastAsia" w:ascii="仿宋_GB2312" w:hAnsi="仿宋_GB2312" w:eastAsia="仿宋_GB2312" w:cs="仿宋_GB2312"/>
                <w:sz w:val="28"/>
                <w:szCs w:val="28"/>
              </w:rPr>
            </w:pPr>
          </w:p>
        </w:tc>
        <w:tc>
          <w:tcPr>
            <w:tcW w:w="1482" w:type="dxa"/>
            <w:noWrap w:val="0"/>
            <w:vAlign w:val="center"/>
          </w:tcPr>
          <w:p>
            <w:pPr>
              <w:spacing w:line="360" w:lineRule="auto"/>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招标编号</w:t>
            </w:r>
          </w:p>
        </w:tc>
        <w:tc>
          <w:tcPr>
            <w:tcW w:w="2496" w:type="dxa"/>
            <w:noWrap w:val="0"/>
            <w:vAlign w:val="center"/>
          </w:tcPr>
          <w:p>
            <w:pPr>
              <w:spacing w:line="360" w:lineRule="auto"/>
              <w:ind w:firstLine="560" w:firstLineChars="20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1" w:hRule="atLeast"/>
        </w:trPr>
        <w:tc>
          <w:tcPr>
            <w:tcW w:w="1668" w:type="dxa"/>
            <w:noWrap w:val="0"/>
            <w:vAlign w:val="center"/>
          </w:tcPr>
          <w:p>
            <w:pPr>
              <w:widowControl/>
              <w:adjustRightInd/>
              <w:spacing w:line="360" w:lineRule="auto"/>
              <w:ind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投标报价</w:t>
            </w:r>
          </w:p>
        </w:tc>
        <w:tc>
          <w:tcPr>
            <w:tcW w:w="7684" w:type="dxa"/>
            <w:gridSpan w:val="3"/>
            <w:noWrap w:val="0"/>
            <w:vAlign w:val="center"/>
          </w:tcPr>
          <w:p>
            <w:pPr>
              <w:spacing w:line="360" w:lineRule="auto"/>
              <w:ind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（维保费</w:t>
            </w:r>
            <w:r>
              <w:rPr>
                <w:rFonts w:hint="eastAsia" w:ascii="仿宋_GB2312" w:hAnsi="仿宋_GB2312" w:eastAsia="仿宋_GB2312" w:cs="仿宋_GB2312"/>
                <w:sz w:val="28"/>
                <w:szCs w:val="28"/>
              </w:rPr>
              <w:t>投标报价</w:t>
            </w:r>
            <w:r>
              <w:rPr>
                <w:rFonts w:hint="eastAsia" w:ascii="仿宋_GB2312" w:hAnsi="仿宋_GB2312" w:eastAsia="仿宋_GB2312" w:cs="仿宋_GB2312"/>
                <w:sz w:val="28"/>
                <w:szCs w:val="28"/>
                <w:lang w:val="en-US" w:eastAsia="zh-CN"/>
              </w:rPr>
              <w:t>）</w:t>
            </w:r>
          </w:p>
        </w:tc>
      </w:tr>
    </w:tbl>
    <w:p>
      <w:pPr>
        <w:autoSpaceDE/>
        <w:autoSpaceDN/>
        <w:snapToGrid/>
        <w:spacing w:before="0" w:beforeLines="-2147483648" w:line="360" w:lineRule="auto"/>
        <w:ind w:firstLine="0" w:firstLineChars="0"/>
        <w:rPr>
          <w:rFonts w:hint="eastAsia" w:ascii="仿宋_GB2312" w:hAnsi="仿宋_GB2312" w:eastAsia="仿宋_GB2312" w:cs="仿宋_GB2312"/>
          <w:sz w:val="28"/>
          <w:szCs w:val="28"/>
        </w:rPr>
      </w:pPr>
    </w:p>
    <w:p>
      <w:pPr>
        <w:autoSpaceDE/>
        <w:autoSpaceDN/>
        <w:snapToGrid/>
        <w:spacing w:before="0" w:beforeLines="-2147483648" w:line="360" w:lineRule="auto"/>
        <w:ind w:firstLine="0" w:firstLineChars="0"/>
        <w:rPr>
          <w:rFonts w:hint="eastAsia" w:ascii="仿宋_GB2312" w:hAnsi="仿宋_GB2312" w:eastAsia="仿宋_GB2312" w:cs="仿宋_GB2312"/>
          <w:spacing w:val="0"/>
          <w:sz w:val="28"/>
          <w:szCs w:val="28"/>
          <w:u w:val="none"/>
        </w:rPr>
      </w:pPr>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pacing w:val="0"/>
          <w:sz w:val="28"/>
          <w:szCs w:val="28"/>
          <w:u w:val="none"/>
        </w:rPr>
        <w:t>（盖投标人单位公章）</w:t>
      </w:r>
    </w:p>
    <w:p>
      <w:pPr>
        <w:autoSpaceDE/>
        <w:autoSpaceDN/>
        <w:snapToGrid/>
        <w:spacing w:before="0" w:beforeLines="-2147483648" w:line="360" w:lineRule="auto"/>
        <w:ind w:firstLine="0" w:firstLineChars="0"/>
        <w:rPr>
          <w:rFonts w:hint="eastAsia" w:ascii="仿宋_GB2312" w:hAnsi="仿宋_GB2312" w:eastAsia="仿宋_GB2312" w:cs="仿宋_GB2312"/>
          <w:spacing w:val="0"/>
          <w:sz w:val="28"/>
          <w:szCs w:val="28"/>
        </w:rPr>
      </w:pPr>
    </w:p>
    <w:p>
      <w:pPr>
        <w:autoSpaceDE/>
        <w:autoSpaceDN/>
        <w:snapToGrid/>
        <w:spacing w:before="0" w:beforeLines="-2147483648" w:line="360" w:lineRule="auto"/>
        <w:ind w:firstLine="0" w:firstLineChars="0"/>
        <w:rPr>
          <w:rFonts w:hint="eastAsia" w:ascii="仿宋_GB2312" w:hAnsi="仿宋_GB2312" w:eastAsia="仿宋_GB2312" w:cs="仿宋_GB2312"/>
          <w:spacing w:val="0"/>
          <w:sz w:val="28"/>
          <w:szCs w:val="28"/>
          <w:u w:val="none"/>
        </w:rPr>
      </w:pPr>
      <w:r>
        <w:rPr>
          <w:rFonts w:hint="eastAsia" w:ascii="仿宋_GB2312" w:hAnsi="仿宋_GB2312" w:eastAsia="仿宋_GB2312" w:cs="仿宋_GB2312"/>
          <w:spacing w:val="0"/>
          <w:sz w:val="28"/>
          <w:szCs w:val="28"/>
        </w:rPr>
        <w:t>法定代表人：</w:t>
      </w:r>
      <w:r>
        <w:rPr>
          <w:rFonts w:hint="eastAsia" w:ascii="仿宋_GB2312" w:hAnsi="仿宋_GB2312" w:eastAsia="仿宋_GB2312" w:cs="仿宋_GB2312"/>
          <w:spacing w:val="0"/>
          <w:sz w:val="28"/>
          <w:szCs w:val="28"/>
          <w:u w:val="none"/>
        </w:rPr>
        <w:t xml:space="preserve">       （签字或签章）</w:t>
      </w:r>
      <w:r>
        <w:rPr>
          <w:rFonts w:hint="eastAsia" w:ascii="仿宋_GB2312" w:hAnsi="仿宋_GB2312" w:eastAsia="仿宋_GB2312" w:cs="仿宋_GB2312"/>
          <w:spacing w:val="0"/>
          <w:sz w:val="28"/>
          <w:szCs w:val="28"/>
        </w:rPr>
        <w:t>或授权委托人：</w:t>
      </w:r>
      <w:r>
        <w:rPr>
          <w:rFonts w:hint="eastAsia" w:ascii="仿宋_GB2312" w:hAnsi="仿宋_GB2312" w:eastAsia="仿宋_GB2312" w:cs="仿宋_GB2312"/>
          <w:spacing w:val="0"/>
          <w:sz w:val="28"/>
          <w:szCs w:val="28"/>
          <w:u w:val="none"/>
        </w:rPr>
        <w:t xml:space="preserve">    （签字） </w:t>
      </w:r>
    </w:p>
    <w:p>
      <w:pPr>
        <w:autoSpaceDE/>
        <w:autoSpaceDN/>
        <w:snapToGrid/>
        <w:spacing w:after="0" w:afterAutospacing="0" w:line="360" w:lineRule="auto"/>
        <w:ind w:firstLine="560" w:firstLineChars="200"/>
        <w:rPr>
          <w:rFonts w:hint="eastAsia" w:ascii="仿宋_GB2312" w:hAnsi="仿宋_GB2312" w:eastAsia="仿宋_GB2312" w:cs="仿宋_GB2312"/>
          <w:sz w:val="28"/>
          <w:szCs w:val="28"/>
          <w:u w:val="none"/>
        </w:rPr>
      </w:pPr>
    </w:p>
    <w:p>
      <w:pPr>
        <w:autoSpaceDE/>
        <w:autoSpaceDN/>
        <w:snapToGrid/>
        <w:spacing w:after="0" w:afterAutospacing="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none"/>
        </w:rPr>
        <w:t>日期</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日</w:t>
      </w:r>
    </w:p>
    <w:p>
      <w:pPr>
        <w:spacing w:line="360" w:lineRule="auto"/>
        <w:ind w:firstLine="560" w:firstLineChars="200"/>
        <w:rPr>
          <w:rFonts w:hint="eastAsia" w:ascii="仿宋_GB2312" w:hAnsi="仿宋_GB2312" w:eastAsia="仿宋_GB2312" w:cs="仿宋_GB2312"/>
          <w:sz w:val="28"/>
          <w:szCs w:val="28"/>
        </w:rPr>
      </w:pPr>
    </w:p>
    <w:sectPr>
      <w:pgSz w:w="11906" w:h="16838"/>
      <w:pgMar w:top="1814" w:right="1587" w:bottom="1701" w:left="158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17E06"/>
    <w:multiLevelType w:val="singleLevel"/>
    <w:tmpl w:val="A0A17E06"/>
    <w:lvl w:ilvl="0" w:tentative="0">
      <w:start w:val="1"/>
      <w:numFmt w:val="decimal"/>
      <w:suff w:val="nothing"/>
      <w:lvlText w:val="%1、"/>
      <w:lvlJc w:val="left"/>
    </w:lvl>
  </w:abstractNum>
  <w:abstractNum w:abstractNumId="1">
    <w:nsid w:val="F943AD41"/>
    <w:multiLevelType w:val="singleLevel"/>
    <w:tmpl w:val="F943AD41"/>
    <w:lvl w:ilvl="0" w:tentative="0">
      <w:start w:val="1"/>
      <w:numFmt w:val="decimal"/>
      <w:suff w:val="nothing"/>
      <w:lvlText w:val="%1、"/>
      <w:lvlJc w:val="left"/>
    </w:lvl>
  </w:abstractNum>
  <w:abstractNum w:abstractNumId="2">
    <w:nsid w:val="3A7B7966"/>
    <w:multiLevelType w:val="singleLevel"/>
    <w:tmpl w:val="3A7B7966"/>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12CB"/>
    <w:rsid w:val="03902A29"/>
    <w:rsid w:val="05E67BFE"/>
    <w:rsid w:val="06F1714D"/>
    <w:rsid w:val="07645C16"/>
    <w:rsid w:val="07FE0ECF"/>
    <w:rsid w:val="08170F17"/>
    <w:rsid w:val="081A696E"/>
    <w:rsid w:val="08CF29B4"/>
    <w:rsid w:val="090D1A06"/>
    <w:rsid w:val="095A35BA"/>
    <w:rsid w:val="09894833"/>
    <w:rsid w:val="0A9622EA"/>
    <w:rsid w:val="0C935E6F"/>
    <w:rsid w:val="100A7CEB"/>
    <w:rsid w:val="10B6168B"/>
    <w:rsid w:val="110B078A"/>
    <w:rsid w:val="1220490F"/>
    <w:rsid w:val="122D0F77"/>
    <w:rsid w:val="12876CE2"/>
    <w:rsid w:val="12936F02"/>
    <w:rsid w:val="13125665"/>
    <w:rsid w:val="14697706"/>
    <w:rsid w:val="149C2000"/>
    <w:rsid w:val="14BD146F"/>
    <w:rsid w:val="15D23741"/>
    <w:rsid w:val="171919A4"/>
    <w:rsid w:val="183E2718"/>
    <w:rsid w:val="18DC0817"/>
    <w:rsid w:val="198C1741"/>
    <w:rsid w:val="19A33FD1"/>
    <w:rsid w:val="1A005864"/>
    <w:rsid w:val="1E23743A"/>
    <w:rsid w:val="21750A12"/>
    <w:rsid w:val="225B71E2"/>
    <w:rsid w:val="227B75B0"/>
    <w:rsid w:val="22C15589"/>
    <w:rsid w:val="23B968E7"/>
    <w:rsid w:val="24C5540A"/>
    <w:rsid w:val="24E11A6C"/>
    <w:rsid w:val="252D715F"/>
    <w:rsid w:val="2539351F"/>
    <w:rsid w:val="25AF2EA5"/>
    <w:rsid w:val="28D43BCE"/>
    <w:rsid w:val="29886A01"/>
    <w:rsid w:val="29D22C9D"/>
    <w:rsid w:val="29E22854"/>
    <w:rsid w:val="2AAC3284"/>
    <w:rsid w:val="2DE95909"/>
    <w:rsid w:val="2E5F7278"/>
    <w:rsid w:val="2E60546B"/>
    <w:rsid w:val="2EC60B45"/>
    <w:rsid w:val="2FC75C5B"/>
    <w:rsid w:val="301060E2"/>
    <w:rsid w:val="310B5934"/>
    <w:rsid w:val="311F7E80"/>
    <w:rsid w:val="31DF0E0B"/>
    <w:rsid w:val="32482878"/>
    <w:rsid w:val="325431FE"/>
    <w:rsid w:val="32DD48AB"/>
    <w:rsid w:val="35277B5C"/>
    <w:rsid w:val="36257D74"/>
    <w:rsid w:val="37DF51EB"/>
    <w:rsid w:val="387A43D9"/>
    <w:rsid w:val="3A0B5C6D"/>
    <w:rsid w:val="3AE665BE"/>
    <w:rsid w:val="3B470AB2"/>
    <w:rsid w:val="3C3250FF"/>
    <w:rsid w:val="3D081BB6"/>
    <w:rsid w:val="3EDC31B4"/>
    <w:rsid w:val="3F6E6B9C"/>
    <w:rsid w:val="3FE90DA1"/>
    <w:rsid w:val="41127790"/>
    <w:rsid w:val="44573BB9"/>
    <w:rsid w:val="44594139"/>
    <w:rsid w:val="446F491E"/>
    <w:rsid w:val="44771D34"/>
    <w:rsid w:val="44B62EEA"/>
    <w:rsid w:val="450E132C"/>
    <w:rsid w:val="47053C43"/>
    <w:rsid w:val="47C90EE0"/>
    <w:rsid w:val="47D17034"/>
    <w:rsid w:val="495464F5"/>
    <w:rsid w:val="498B293D"/>
    <w:rsid w:val="49D35D19"/>
    <w:rsid w:val="4A146F0C"/>
    <w:rsid w:val="4A530C5F"/>
    <w:rsid w:val="4A830DE0"/>
    <w:rsid w:val="4C5C782B"/>
    <w:rsid w:val="4D190767"/>
    <w:rsid w:val="4D465D56"/>
    <w:rsid w:val="4F1C6F75"/>
    <w:rsid w:val="4FE80D08"/>
    <w:rsid w:val="506B591D"/>
    <w:rsid w:val="50DB4EEB"/>
    <w:rsid w:val="51093127"/>
    <w:rsid w:val="516F4964"/>
    <w:rsid w:val="52F05414"/>
    <w:rsid w:val="533E03B2"/>
    <w:rsid w:val="53795658"/>
    <w:rsid w:val="53D0420E"/>
    <w:rsid w:val="53DD1175"/>
    <w:rsid w:val="53F21605"/>
    <w:rsid w:val="542A27DC"/>
    <w:rsid w:val="544B3E7E"/>
    <w:rsid w:val="54780D43"/>
    <w:rsid w:val="54E73121"/>
    <w:rsid w:val="55FE53C9"/>
    <w:rsid w:val="561009D7"/>
    <w:rsid w:val="575C6942"/>
    <w:rsid w:val="57AE1078"/>
    <w:rsid w:val="57DF0BB2"/>
    <w:rsid w:val="57FA615B"/>
    <w:rsid w:val="594472D6"/>
    <w:rsid w:val="5BA6546B"/>
    <w:rsid w:val="5CDF3614"/>
    <w:rsid w:val="5E743E45"/>
    <w:rsid w:val="5FAB1E06"/>
    <w:rsid w:val="60703863"/>
    <w:rsid w:val="607701F1"/>
    <w:rsid w:val="60D6506D"/>
    <w:rsid w:val="628E7464"/>
    <w:rsid w:val="62E90E50"/>
    <w:rsid w:val="64053B46"/>
    <w:rsid w:val="651675D5"/>
    <w:rsid w:val="66127A13"/>
    <w:rsid w:val="66C16F92"/>
    <w:rsid w:val="66EC2244"/>
    <w:rsid w:val="67927EC0"/>
    <w:rsid w:val="67B03A35"/>
    <w:rsid w:val="67CE72E7"/>
    <w:rsid w:val="68C604F9"/>
    <w:rsid w:val="6CE21B4F"/>
    <w:rsid w:val="6D343755"/>
    <w:rsid w:val="6E606D33"/>
    <w:rsid w:val="6FC86BF4"/>
    <w:rsid w:val="73564D59"/>
    <w:rsid w:val="73E84935"/>
    <w:rsid w:val="743A5DB0"/>
    <w:rsid w:val="74FF1F93"/>
    <w:rsid w:val="75E449BB"/>
    <w:rsid w:val="76FD156B"/>
    <w:rsid w:val="77124838"/>
    <w:rsid w:val="77880423"/>
    <w:rsid w:val="789A4BA4"/>
    <w:rsid w:val="78CC3BB4"/>
    <w:rsid w:val="7BC72912"/>
    <w:rsid w:val="7BFE7BF0"/>
    <w:rsid w:val="7C2E6E5F"/>
    <w:rsid w:val="7CEF22F8"/>
    <w:rsid w:val="7D045FC3"/>
    <w:rsid w:val="7D1205A1"/>
    <w:rsid w:val="7D310072"/>
    <w:rsid w:val="7EE13CC9"/>
    <w:rsid w:val="7FDF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sz w:val="22"/>
      <w:szCs w:val="22"/>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2024-05-15T02:19:00Z</dcterms:created>
  <dc:creator>Administrator</dc:creator>
  <cp:lastModifiedBy>Elroy</cp:lastModifiedBy>
  <cp:lastPrinted>2024-07-05T00:56:18Z</cp:lastPrinted>
  <dcterms:modified xsi:type="dcterms:W3CDTF">2024-07-08T06:51:31Z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