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1"/>
              <w:widowControl/>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项目名称：网络交换及安全设备维保服务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2024 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(节假日除外)8：00-12：00或14：00-17：30(北京时间）</w:t>
            </w:r>
          </w:p>
          <w:p>
            <w:pPr>
              <w:widowControl/>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2024 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 工、</w:t>
      </w:r>
      <w:r>
        <w:rPr>
          <w:rFonts w:hint="eastAsia" w:ascii="仿宋_GB2312" w:hAnsi="仿宋_GB2312" w:eastAsia="仿宋_GB2312" w:cs="仿宋_GB2312"/>
          <w:bCs/>
          <w:color w:val="000000"/>
          <w:kern w:val="0"/>
          <w:sz w:val="32"/>
          <w:szCs w:val="32"/>
          <w:shd w:val="clear" w:color="auto" w:fill="FFFFFF"/>
        </w:rPr>
        <w:t>金 工</w:t>
      </w:r>
    </w:p>
    <w:p>
      <w:pPr>
        <w:pStyle w:val="2"/>
        <w:rPr>
          <w:rFonts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459"/>
        <w:gridCol w:w="89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6" w:type="dxa"/>
            <w:vAlign w:val="center"/>
          </w:tcPr>
          <w:p>
            <w:pPr>
              <w:pStyle w:val="2"/>
            </w:pPr>
            <w:r>
              <w:rPr>
                <w:rFonts w:hint="eastAsia" w:ascii="仿宋_GB2312" w:hAnsi="仿宋_GB2312" w:cs="仿宋_GB2312"/>
                <w:color w:val="000000"/>
                <w:kern w:val="0"/>
                <w:sz w:val="28"/>
                <w:szCs w:val="28"/>
              </w:rPr>
              <w:t>合同包</w:t>
            </w:r>
          </w:p>
        </w:tc>
        <w:tc>
          <w:tcPr>
            <w:tcW w:w="4459" w:type="dxa"/>
            <w:vAlign w:val="center"/>
          </w:tcPr>
          <w:p>
            <w:pPr>
              <w:pStyle w:val="2"/>
            </w:pPr>
            <w:r>
              <w:rPr>
                <w:rFonts w:hint="eastAsia" w:ascii="仿宋_GB2312" w:hAnsi="仿宋_GB2312" w:cs="仿宋_GB2312"/>
                <w:color w:val="000000"/>
                <w:kern w:val="0"/>
                <w:sz w:val="28"/>
                <w:szCs w:val="28"/>
              </w:rPr>
              <w:t>名 称</w:t>
            </w:r>
          </w:p>
        </w:tc>
        <w:tc>
          <w:tcPr>
            <w:tcW w:w="897" w:type="dxa"/>
            <w:vAlign w:val="center"/>
          </w:tcPr>
          <w:p>
            <w:pPr>
              <w:pStyle w:val="2"/>
            </w:pPr>
            <w:r>
              <w:rPr>
                <w:rFonts w:hint="eastAsia" w:ascii="仿宋_GB2312" w:hAnsi="仿宋_GB2312" w:cs="仿宋_GB2312"/>
                <w:color w:val="000000"/>
                <w:kern w:val="0"/>
                <w:sz w:val="28"/>
                <w:szCs w:val="28"/>
              </w:rPr>
              <w:t>数量</w:t>
            </w:r>
          </w:p>
        </w:tc>
        <w:tc>
          <w:tcPr>
            <w:tcW w:w="1713" w:type="dxa"/>
            <w:vAlign w:val="center"/>
          </w:tcPr>
          <w:p>
            <w:pPr>
              <w:pStyle w:val="2"/>
            </w:pPr>
            <w:r>
              <w:rPr>
                <w:rFonts w:hint="eastAsia" w:ascii="仿宋_GB2312" w:hAnsi="仿宋_GB2312" w:cs="仿宋_GB2312"/>
                <w:color w:val="000000"/>
                <w:kern w:val="0"/>
                <w:sz w:val="28"/>
                <w:szCs w:val="28"/>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6" w:type="dxa"/>
            <w:vAlign w:val="center"/>
          </w:tcPr>
          <w:p>
            <w:pPr>
              <w:pStyle w:val="2"/>
            </w:pPr>
            <w:r>
              <w:rPr>
                <w:rFonts w:hint="eastAsia" w:ascii="仿宋_GB2312" w:hAnsi="仿宋_GB2312" w:cs="仿宋_GB2312"/>
                <w:color w:val="000000"/>
                <w:kern w:val="0"/>
                <w:sz w:val="32"/>
                <w:szCs w:val="32"/>
              </w:rPr>
              <w:t>（一）</w:t>
            </w:r>
          </w:p>
        </w:tc>
        <w:tc>
          <w:tcPr>
            <w:tcW w:w="4459" w:type="dxa"/>
            <w:vAlign w:val="center"/>
          </w:tcPr>
          <w:p>
            <w:pPr>
              <w:pStyle w:val="2"/>
            </w:pPr>
            <w:r>
              <w:rPr>
                <w:rFonts w:hint="eastAsia" w:ascii="仿宋_GB2312" w:hAnsi="仿宋_GB2312" w:cs="仿宋_GB2312"/>
                <w:color w:val="000000"/>
                <w:kern w:val="0"/>
                <w:sz w:val="32"/>
                <w:szCs w:val="32"/>
              </w:rPr>
              <w:t>网络交换及安全设备维保服务</w:t>
            </w:r>
          </w:p>
        </w:tc>
        <w:tc>
          <w:tcPr>
            <w:tcW w:w="897" w:type="dxa"/>
            <w:vAlign w:val="center"/>
          </w:tcPr>
          <w:p>
            <w:pPr>
              <w:pStyle w:val="2"/>
            </w:pPr>
            <w:r>
              <w:rPr>
                <w:rFonts w:hint="eastAsia" w:ascii="仿宋_GB2312" w:hAnsi="仿宋_GB2312" w:cs="仿宋_GB2312"/>
                <w:color w:val="000000"/>
                <w:sz w:val="32"/>
                <w:szCs w:val="32"/>
              </w:rPr>
              <w:t>1</w:t>
            </w:r>
          </w:p>
        </w:tc>
        <w:tc>
          <w:tcPr>
            <w:tcW w:w="1713" w:type="dxa"/>
            <w:vAlign w:val="center"/>
          </w:tcPr>
          <w:p>
            <w:pPr>
              <w:pStyle w:val="2"/>
            </w:pPr>
            <w:r>
              <w:rPr>
                <w:rFonts w:hint="eastAsia" w:ascii="仿宋_GB2312" w:hAnsi="仿宋_GB2312" w:cs="仿宋_GB2312"/>
                <w:color w:val="000000"/>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6" w:type="dxa"/>
            <w:vAlign w:val="center"/>
          </w:tcPr>
          <w:p>
            <w:pPr>
              <w:pStyle w:val="2"/>
            </w:pPr>
            <w:r>
              <w:rPr>
                <w:rFonts w:hint="eastAsia" w:ascii="仿宋_GB2312" w:hAnsi="仿宋_GB2312" w:cs="仿宋_GB2312"/>
                <w:color w:val="000000"/>
                <w:kern w:val="0"/>
                <w:sz w:val="32"/>
                <w:szCs w:val="32"/>
              </w:rPr>
              <w:t>1</w:t>
            </w:r>
          </w:p>
        </w:tc>
        <w:tc>
          <w:tcPr>
            <w:tcW w:w="4459" w:type="dxa"/>
            <w:vAlign w:val="center"/>
          </w:tcPr>
          <w:p>
            <w:pPr>
              <w:pStyle w:val="2"/>
            </w:pPr>
            <w:r>
              <w:rPr>
                <w:rFonts w:hint="eastAsia" w:ascii="仿宋_GB2312" w:hAnsi="仿宋_GB2312" w:cs="仿宋_GB2312"/>
                <w:color w:val="000000"/>
                <w:kern w:val="0"/>
                <w:sz w:val="32"/>
                <w:szCs w:val="32"/>
              </w:rPr>
              <w:t>网络交换设备维保</w:t>
            </w:r>
          </w:p>
        </w:tc>
        <w:tc>
          <w:tcPr>
            <w:tcW w:w="897" w:type="dxa"/>
            <w:vAlign w:val="center"/>
          </w:tcPr>
          <w:p>
            <w:pPr>
              <w:pStyle w:val="2"/>
            </w:pPr>
            <w:r>
              <w:rPr>
                <w:rFonts w:hint="eastAsia" w:ascii="仿宋_GB2312" w:hAnsi="仿宋_GB2312" w:cs="仿宋_GB2312"/>
                <w:color w:val="000000"/>
                <w:sz w:val="32"/>
                <w:szCs w:val="32"/>
              </w:rPr>
              <w:t>1</w:t>
            </w:r>
          </w:p>
        </w:tc>
        <w:tc>
          <w:tcPr>
            <w:tcW w:w="1713" w:type="dxa"/>
            <w:vAlign w:val="center"/>
          </w:tcPr>
          <w:p>
            <w:pPr>
              <w:autoSpaceDN w:val="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6" w:type="dxa"/>
            <w:vAlign w:val="center"/>
          </w:tcPr>
          <w:p>
            <w:pPr>
              <w:pStyle w:val="2"/>
            </w:pPr>
            <w:r>
              <w:rPr>
                <w:rFonts w:hint="eastAsia" w:ascii="仿宋_GB2312" w:hAnsi="仿宋_GB2312" w:cs="仿宋_GB2312"/>
                <w:color w:val="000000"/>
                <w:kern w:val="0"/>
                <w:sz w:val="32"/>
                <w:szCs w:val="32"/>
              </w:rPr>
              <w:t>2</w:t>
            </w:r>
          </w:p>
        </w:tc>
        <w:tc>
          <w:tcPr>
            <w:tcW w:w="4459" w:type="dxa"/>
            <w:vAlign w:val="center"/>
          </w:tcPr>
          <w:p>
            <w:pPr>
              <w:pStyle w:val="2"/>
            </w:pPr>
            <w:r>
              <w:rPr>
                <w:rFonts w:hint="eastAsia" w:ascii="仿宋_GB2312" w:hAnsi="仿宋_GB2312" w:cs="仿宋_GB2312"/>
                <w:color w:val="000000"/>
                <w:kern w:val="0"/>
                <w:sz w:val="32"/>
                <w:szCs w:val="32"/>
              </w:rPr>
              <w:t>网络安全设备维保</w:t>
            </w:r>
          </w:p>
        </w:tc>
        <w:tc>
          <w:tcPr>
            <w:tcW w:w="897" w:type="dxa"/>
            <w:vAlign w:val="center"/>
          </w:tcPr>
          <w:p>
            <w:pPr>
              <w:pStyle w:val="2"/>
            </w:pPr>
            <w:r>
              <w:rPr>
                <w:rFonts w:hint="eastAsia" w:ascii="仿宋_GB2312" w:hAnsi="仿宋_GB2312" w:cs="仿宋_GB2312"/>
                <w:color w:val="000000"/>
                <w:sz w:val="32"/>
                <w:szCs w:val="32"/>
              </w:rPr>
              <w:t>1</w:t>
            </w:r>
          </w:p>
        </w:tc>
        <w:tc>
          <w:tcPr>
            <w:tcW w:w="1713" w:type="dxa"/>
            <w:vAlign w:val="center"/>
          </w:tcPr>
          <w:p>
            <w:pPr>
              <w:pStyle w:val="2"/>
            </w:pPr>
            <w:r>
              <w:rPr>
                <w:rFonts w:hint="eastAsia" w:ascii="仿宋_GB2312" w:hAnsi="仿宋_GB2312" w:cs="仿宋_GB2312"/>
                <w:color w:val="000000"/>
                <w:sz w:val="32"/>
                <w:szCs w:val="32"/>
              </w:rPr>
              <w:t>15</w:t>
            </w:r>
          </w:p>
        </w:tc>
      </w:tr>
    </w:tbl>
    <w:p>
      <w:pPr>
        <w:pStyle w:val="2"/>
      </w:pPr>
    </w:p>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网络交换设备维保技术参数要求：</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全院内网的网络设备（含核心交换机、接入交换机、无线交换机、准入认证设备、无线控制器等）维保服务，相关设备清单附后。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技术及服务要求：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1、定期巡检与升级软件版本</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定期对全院内网的网络设备(相关设备清单附后)进行巡检，使用专业软件对巡检内容进行分析并且输出巡检报告。</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分析各网络设备的运行情况，将当前版本与当前更新的最新版本进行比较，对网络设备的软件进行更新，软件更新要求必须在非工作时间进行更新，不得影响各相应科室的正常工作。</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 7*24小时技术热线支持：</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全天24小时不间断响应，提供产品技术咨询、故障申报、硬件维修、培训需求、以及服务政策咨询等服务内容的实时受理，并通过专业高效的IT系统对服务进行全程记录和跟踪。</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3、业务恢复时间承诺：</w:t>
      </w:r>
    </w:p>
    <w:tbl>
      <w:tblPr>
        <w:tblW w:w="82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
      <w:tblGrid>
        <w:gridCol w:w="6511"/>
        <w:gridCol w:w="17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b/>
                <w:bCs/>
                <w:color w:val="000000"/>
                <w:kern w:val="0"/>
                <w:sz w:val="24"/>
              </w:rPr>
              <w:t>故障级别</w:t>
            </w:r>
          </w:p>
        </w:tc>
        <w:tc>
          <w:tcPr>
            <w:tcW w:w="1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b/>
                <w:bCs/>
                <w:color w:val="000000"/>
                <w:kern w:val="0"/>
                <w:sz w:val="24"/>
              </w:rPr>
              <w:t>业务恢复时间</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一级故障(网络中断或无法正常使用，从而严重影响客户业务运营的情况)</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2小时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736"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二级故障(网络应用质量严重下降，但核心业务未中断；或者网络中部分非重要业务完全中断)</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8小时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三级故障(网络性能受到影响，但大部分业务仍能正常运行)</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24小时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四级故障(网络性能受轻微影响或无影响，大部分业务仍能正常运行)</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72小时</w:t>
            </w:r>
          </w:p>
        </w:tc>
      </w:tr>
    </w:tbl>
    <w:p>
      <w:pPr>
        <w:pStyle w:val="2"/>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4、现场支持</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当远程支持方式不能有效解决故障时，我司将派遣工程师在约定时间内到达客户现场，协助进行现场故障诊断、排除。现场技术支持响应时间是指根据故障界别安排工程师在指定内到达现场，到达现场时间自远程判断需要派工程师去现场时开始计算。</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5、在服务期内，若续保产品出现软硬件故障，需提供免费维修服务。保障用户设备及业务系统的持续可用性。</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对于购买日期超过6年的设备，可能在硬件市场上找不到相应的配件进行维修。对于该种情况，提供不低于故障设备型号的备机直至服务期结束。</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当设备发生故障的时候，应在第一时间提供性能相同的设备进行更换，不得影响业务正常运行。</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6、备机服务</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具备完善、充足的备机配件库。当用户设备发生故障且短时间内无法修复时，需提供备机服务。</w:t>
      </w:r>
      <w:r>
        <w:rPr>
          <w:rFonts w:hint="eastAsia" w:ascii="仿宋_GB2312" w:eastAsia="仿宋_GB2312"/>
          <w:sz w:val="24"/>
        </w:rPr>
        <w:t>对于购买日期超过6年的设备，可能在硬件市场上找不到相应的配件进行维修。对于该种情况，提供不低于故障设备型号的备机直至服务期结束。</w:t>
      </w:r>
      <w:r>
        <w:rPr>
          <w:rFonts w:hint="eastAsia" w:ascii="仿宋_GB2312" w:hAnsi="仿宋_GB2312" w:eastAsia="仿宋_GB2312" w:cs="仿宋_GB2312"/>
          <w:sz w:val="24"/>
        </w:rPr>
        <w:t>在短时间内，将备机或备件送至用户现场进行更换。确保业务系统的正常运行。</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7、要求提供原厂售后服务函</w:t>
      </w:r>
    </w:p>
    <w:p>
      <w:pPr>
        <w:pStyle w:val="2"/>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网络安全设备维保技术参数要求：</w:t>
      </w:r>
    </w:p>
    <w:p>
      <w:pPr>
        <w:pStyle w:val="2"/>
      </w:pPr>
      <w:r>
        <w:rPr>
          <w:rFonts w:hint="eastAsia"/>
        </w:rPr>
        <w:t>（</w:t>
      </w:r>
      <w:r>
        <w:rPr>
          <w:rFonts w:hint="eastAsia" w:ascii="仿宋_GB2312" w:hAnsi="仿宋_GB2312" w:cs="仿宋_GB2312"/>
        </w:rPr>
        <w:t>相关设备清单附后</w:t>
      </w:r>
      <w:r>
        <w:rPr>
          <w:rFonts w:hint="eastAsia"/>
        </w:rPr>
        <w:t>）</w:t>
      </w:r>
    </w:p>
    <w:p>
      <w:pPr>
        <w:pStyle w:val="2"/>
        <w:spacing w:line="360" w:lineRule="auto"/>
      </w:pPr>
      <w:r>
        <w:rPr>
          <w:rFonts w:hint="eastAsia"/>
        </w:rPr>
        <w:t>1、7*24小时技术热线支持：</w:t>
      </w:r>
    </w:p>
    <w:p>
      <w:pPr>
        <w:pStyle w:val="2"/>
        <w:spacing w:line="360" w:lineRule="auto"/>
        <w:ind w:firstLine="420"/>
      </w:pPr>
      <w:r>
        <w:rPr>
          <w:rFonts w:hint="eastAsia"/>
        </w:rPr>
        <w:t>全天24小时不间断响应，提供产品技术咨询、故障申报、硬件维修、培训需求、以及服务政策咨询等服务内容的实时受理，并通过专业高效的IT系统对服务进行全程记录和跟踪。</w:t>
      </w:r>
    </w:p>
    <w:p>
      <w:pPr>
        <w:pStyle w:val="2"/>
        <w:spacing w:line="360" w:lineRule="auto"/>
      </w:pPr>
      <w:r>
        <w:rPr>
          <w:rFonts w:hint="eastAsia"/>
        </w:rPr>
        <w:t>2、业务恢复时间承诺：</w:t>
      </w:r>
    </w:p>
    <w:tbl>
      <w:tblPr>
        <w:tblW w:w="82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
      <w:tblGrid>
        <w:gridCol w:w="6511"/>
        <w:gridCol w:w="17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b/>
                <w:bCs/>
                <w:color w:val="000000"/>
                <w:kern w:val="0"/>
                <w:sz w:val="24"/>
              </w:rPr>
              <w:t>故障级别</w:t>
            </w:r>
          </w:p>
        </w:tc>
        <w:tc>
          <w:tcPr>
            <w:tcW w:w="1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b/>
                <w:bCs/>
                <w:color w:val="000000"/>
                <w:kern w:val="0"/>
                <w:sz w:val="24"/>
              </w:rPr>
              <w:t>业务恢复时间</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一级故障(网络中断或无法正常使用，从而严重影响客户业务运营的情况)</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2小时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736"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二级故障(网络应用质量严重下降，但核心业务未中断；或者网络中部分非重要业务完全中断)</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8小时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三级故障(网络性能受到影响，但大部分业务仍能正常运行)</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24小时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5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left"/>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四级故障(网络性能受轻微影响或无影响，大部分业务仍能正常运行)</w:t>
            </w:r>
          </w:p>
        </w:tc>
        <w:tc>
          <w:tcPr>
            <w:tcW w:w="1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仿宋_GB2312" w:hAnsi="Times New Roman" w:eastAsia="仿宋_GB2312" w:cs="Times New Roman"/>
                <w:kern w:val="0"/>
                <w:szCs w:val="21"/>
              </w:rPr>
            </w:pPr>
            <w:r>
              <w:rPr>
                <w:rFonts w:hint="eastAsia" w:ascii="仿宋_GB2312" w:hAnsi="宋体" w:eastAsia="仿宋_GB2312" w:cs="Times New Roman"/>
                <w:color w:val="000000"/>
                <w:kern w:val="0"/>
                <w:sz w:val="24"/>
              </w:rPr>
              <w:t>72小时</w:t>
            </w:r>
          </w:p>
        </w:tc>
      </w:tr>
    </w:tbl>
    <w:p>
      <w:pPr>
        <w:pStyle w:val="2"/>
        <w:spacing w:line="360" w:lineRule="auto"/>
      </w:pPr>
    </w:p>
    <w:p>
      <w:pPr>
        <w:pStyle w:val="2"/>
        <w:spacing w:line="360" w:lineRule="auto"/>
      </w:pPr>
      <w:r>
        <w:rPr>
          <w:rFonts w:hint="eastAsia"/>
        </w:rPr>
        <w:t>3、现场支持</w:t>
      </w:r>
    </w:p>
    <w:p>
      <w:pPr>
        <w:pStyle w:val="2"/>
        <w:spacing w:line="360" w:lineRule="auto"/>
        <w:ind w:firstLine="420"/>
      </w:pPr>
      <w:r>
        <w:rPr>
          <w:rFonts w:hint="eastAsia"/>
        </w:rPr>
        <w:t>当远程支持方式不能有效解决故障时，我司将派遣工程师在约定时间内到达客户现场，协助进行现场故障诊断、排除。现场技术支持响应时间是指根据故障界别安排工程师在指定内到达现场，到达现场时间自远程判断需要派工程师去现场时开始计算。</w:t>
      </w:r>
    </w:p>
    <w:p>
      <w:pPr>
        <w:pStyle w:val="2"/>
        <w:spacing w:line="360" w:lineRule="auto"/>
      </w:pPr>
      <w:r>
        <w:rPr>
          <w:rFonts w:hint="eastAsia"/>
        </w:rPr>
        <w:t>4、系统软件版本升级</w:t>
      </w:r>
    </w:p>
    <w:p>
      <w:pPr>
        <w:pStyle w:val="2"/>
        <w:spacing w:line="360" w:lineRule="auto"/>
        <w:ind w:firstLine="420"/>
      </w:pPr>
      <w:r>
        <w:rPr>
          <w:rFonts w:hint="eastAsia"/>
        </w:rPr>
        <w:t>为保障用户业务的稳定性，系统本身不提供自动升级服务。在服务期内，续保产品系统版本出现可升级的新版本时，根据产品性能将为用户提供同代版本升级服务。由工程师为客户系统进行配置备份。在不影响业务系统正常运行的情况下，对系统版本进行升级，并完成新系统的配置恢复。新系统上线后，对网络连通性和业务可用性进行测试，保证业务的正常运行。</w:t>
      </w:r>
    </w:p>
    <w:p>
      <w:pPr>
        <w:pStyle w:val="2"/>
        <w:spacing w:line="360" w:lineRule="auto"/>
      </w:pPr>
      <w:r>
        <w:rPr>
          <w:rFonts w:hint="eastAsia"/>
        </w:rPr>
        <w:t>5、产品特征库升级服务</w:t>
      </w:r>
    </w:p>
    <w:p>
      <w:pPr>
        <w:pStyle w:val="2"/>
        <w:spacing w:line="360" w:lineRule="auto"/>
        <w:ind w:firstLine="420"/>
      </w:pPr>
      <w:r>
        <w:rPr>
          <w:rFonts w:hint="eastAsia"/>
        </w:rPr>
        <w:t>在服务期内，续保产品对需要升级特征库版本的安全产品（如IDS、IPS、WAF、上网行为等），在日常运维的过程中，根据产品的性能将对安全产品的特征库进行定期升级。在可升级的版本范围内，保证特征库及时更新。</w:t>
      </w:r>
    </w:p>
    <w:p>
      <w:pPr>
        <w:pStyle w:val="2"/>
        <w:spacing w:line="360" w:lineRule="auto"/>
      </w:pPr>
      <w:r>
        <w:rPr>
          <w:rFonts w:hint="eastAsia"/>
        </w:rPr>
        <w:t>6、产品保修</w:t>
      </w:r>
    </w:p>
    <w:p>
      <w:pPr>
        <w:pStyle w:val="2"/>
        <w:spacing w:line="360" w:lineRule="auto"/>
        <w:ind w:firstLine="420"/>
      </w:pPr>
      <w:r>
        <w:rPr>
          <w:rFonts w:hint="eastAsia"/>
        </w:rPr>
        <w:t>在服务期内，若续保产品出现软硬件故障，需提供免费维修服务。保障用户设备及业务系统的持续可用性。</w:t>
      </w:r>
    </w:p>
    <w:p>
      <w:pPr>
        <w:pStyle w:val="2"/>
        <w:spacing w:line="360" w:lineRule="auto"/>
      </w:pPr>
      <w:r>
        <w:rPr>
          <w:rFonts w:hint="eastAsia"/>
        </w:rPr>
        <w:t>7、备机服务</w:t>
      </w:r>
    </w:p>
    <w:p>
      <w:pPr>
        <w:pStyle w:val="2"/>
        <w:spacing w:line="360" w:lineRule="auto"/>
      </w:pPr>
      <w:r>
        <w:rPr>
          <w:rFonts w:hint="eastAsia"/>
        </w:rPr>
        <w:t>具备完善、充足的备机配件库。当用户设备发生故障且短时间内无法修复时，需提供备机服务。在短时间内，将备机或备件送至用户现场进行更换。确保业务系统的正常运行。</w:t>
      </w:r>
    </w:p>
    <w:p>
      <w:pPr>
        <w:pStyle w:val="2"/>
        <w:spacing w:line="360" w:lineRule="auto"/>
      </w:pPr>
      <w:r>
        <w:rPr>
          <w:rFonts w:hint="eastAsia"/>
        </w:rPr>
        <w:t>8、要求提供原厂售后服务函</w:t>
      </w:r>
    </w:p>
    <w:p>
      <w:pPr>
        <w:pStyle w:val="2"/>
      </w:pPr>
    </w:p>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7"/>
        <w:numPr>
          <w:ilvl w:val="0"/>
          <w:numId w:val="2"/>
        </w:numPr>
        <w:spacing w:before="0" w:beforeAutospacing="0" w:after="0" w:afterAutospacing="0" w:line="48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设备安装、系统集成、软件客户化均由乙方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pPr>
        <w:pStyle w:val="17"/>
        <w:numPr>
          <w:ilvl w:val="0"/>
          <w:numId w:val="2"/>
        </w:numPr>
        <w:spacing w:before="0" w:beforeAutospacing="0" w:after="0" w:afterAutospacing="0" w:line="480" w:lineRule="atLeas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2"/>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ind w:firstLine="608" w:firstLineChars="200"/>
        <w:rPr>
          <w:rFonts w:ascii="仿宋_GB2312" w:hAnsi="仿宋_GB2312" w:cs="仿宋_GB2312"/>
          <w:color w:val="000000"/>
          <w:spacing w:val="-8"/>
          <w:kern w:val="0"/>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2"/>
        <w:rPr>
          <w:rFonts w:ascii="仿宋_GB2312" w:hAnsi="仿宋_GB2312" w:cs="仿宋_GB2312"/>
          <w:bCs/>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rPr>
          <w:rFonts w:ascii="仿宋_GB2312" w:hAnsi="仿宋_GB2312" w:cs="仿宋_GB2312"/>
          <w:sz w:val="32"/>
          <w:szCs w:val="32"/>
        </w:rPr>
      </w:pPr>
      <w:r>
        <w:rPr>
          <w:rFonts w:hint="eastAsia" w:ascii="仿宋_GB2312" w:hAnsi="仿宋_GB2312" w:cs="仿宋_GB2312"/>
          <w:sz w:val="32"/>
          <w:szCs w:val="32"/>
        </w:rPr>
        <w:t xml:space="preserve">                                           年  月  日</w:t>
      </w:r>
    </w:p>
    <w:p>
      <w:pPr>
        <w:pStyle w:val="2"/>
        <w:rPr>
          <w:rFonts w:ascii="仿宋_GB2312" w:hAnsi="仿宋_GB2312" w:cs="仿宋_GB2312"/>
          <w:sz w:val="32"/>
          <w:szCs w:val="32"/>
        </w:rPr>
      </w:pPr>
    </w:p>
    <w:p>
      <w:pPr>
        <w:pStyle w:val="2"/>
        <w:rPr>
          <w:rFonts w:ascii="仿宋_GB2312" w:hAnsi="仿宋_GB2312" w:cs="仿宋_GB2312"/>
          <w:sz w:val="32"/>
          <w:szCs w:val="32"/>
        </w:rPr>
      </w:pPr>
    </w:p>
    <w:p>
      <w:pPr>
        <w:pStyle w:val="2"/>
        <w:rPr>
          <w:rFonts w:ascii="仿宋_GB2312" w:hAnsi="仿宋_GB2312" w:cs="仿宋_GB2312"/>
          <w:sz w:val="32"/>
          <w:szCs w:val="32"/>
        </w:rPr>
      </w:pPr>
    </w:p>
    <w:p>
      <w:pPr>
        <w:pStyle w:val="2"/>
        <w:rPr>
          <w:rFonts w:ascii="仿宋_GB2312" w:hAnsi="仿宋_GB2312" w:cs="仿宋_GB2312"/>
          <w:sz w:val="32"/>
          <w:szCs w:val="32"/>
        </w:rPr>
      </w:pPr>
    </w:p>
    <w:p>
      <w:pPr>
        <w:pStyle w:val="2"/>
        <w:rPr>
          <w:rFonts w:ascii="仿宋_GB2312" w:hAnsi="仿宋_GB2312" w:cs="仿宋_GB2312"/>
          <w:sz w:val="32"/>
          <w:szCs w:val="32"/>
        </w:rPr>
      </w:pPr>
    </w:p>
    <w:p>
      <w:pPr>
        <w:pStyle w:val="2"/>
        <w:rPr>
          <w:rFonts w:ascii="仿宋_GB2312" w:hAnsi="仿宋_GB2312" w:cs="仿宋_GB2312"/>
          <w:sz w:val="32"/>
          <w:szCs w:val="32"/>
        </w:rPr>
      </w:pPr>
    </w:p>
    <w:p>
      <w:pPr>
        <w:pStyle w:val="2"/>
        <w:rPr>
          <w:rFonts w:ascii="仿宋_GB2312" w:hAnsi="仿宋_GB2312" w:cs="仿宋_GB2312"/>
          <w:sz w:val="32"/>
          <w:szCs w:val="32"/>
        </w:rPr>
      </w:pPr>
      <w:r>
        <w:rPr>
          <w:rFonts w:hint="eastAsia" w:ascii="仿宋_GB2312" w:hAnsi="仿宋_GB2312" w:cs="仿宋_GB2312"/>
          <w:sz w:val="32"/>
          <w:szCs w:val="32"/>
        </w:rPr>
        <w:t>附件：</w:t>
      </w:r>
    </w:p>
    <w:p>
      <w:pPr>
        <w:rPr>
          <w:rFonts w:ascii="仿宋_GB2312" w:eastAsia="仿宋_GB2312" w:cs="Times New Roman"/>
          <w:sz w:val="24"/>
        </w:rPr>
      </w:pPr>
      <w:r>
        <w:rPr>
          <w:rFonts w:hint="eastAsia" w:ascii="仿宋_GB2312" w:eastAsia="仿宋_GB2312" w:cs="Times New Roman"/>
          <w:sz w:val="24"/>
        </w:rPr>
        <w:t>附件1 网络设备维保清单</w:t>
      </w:r>
    </w:p>
    <w:p>
      <w:pPr>
        <w:rPr>
          <w:rFonts w:hint="eastAsia" w:cs="Times New Roman"/>
        </w:rPr>
      </w:pPr>
    </w:p>
    <w:tbl>
      <w:tblPr>
        <w:tblW w:w="7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3"/>
        <w:gridCol w:w="1924"/>
        <w:gridCol w:w="2647"/>
        <w:gridCol w:w="87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6"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设备名称</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设备型号</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拟维保时间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核心交换机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S8610E</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接入交换机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RG-S6000C-48GT4XS-E</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105</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无线POE交换机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S2928G-24-P</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9"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无线AP</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AP530-I</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210</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1"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无线控制器</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RG-M8600E-WS-ED</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无线POE交换机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RG-S2910C-24GT2XS-HP-E</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接入交换机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RG-S2928G V3</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准入设备</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ESS 2000</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9</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网络交换机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RG-S6000C-48GT4XS-E</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5</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10</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光纤交换机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RG-S6220-48XS4QXS-L</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11</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光纤交换机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RG-S6220-48XS6QXS-H</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4</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12</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网络交换机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RG-S6000C-48GT4XS-E</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10</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13</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POE交换机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RG-S2910C-24GT2XS-HP-E</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5</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14</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核心交换机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N18012</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15</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POE交换机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RG-S2910C-24GT2XS-HP-E</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10</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16</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光纤交换机</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RG-S6250-48XS8CQ</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4</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17</w:t>
            </w:r>
          </w:p>
        </w:tc>
        <w:tc>
          <w:tcPr>
            <w:tcW w:w="1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网络交换机</w:t>
            </w:r>
          </w:p>
        </w:tc>
        <w:tc>
          <w:tcPr>
            <w:tcW w:w="26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RG-S5760C-48GT4XS-X</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14</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18</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无线控制器</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RG-WS6512</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imes New Roman"/>
                <w:color w:val="000000"/>
                <w:sz w:val="24"/>
              </w:rPr>
            </w:pPr>
            <w:r>
              <w:rPr>
                <w:rFonts w:hint="eastAsia" w:ascii="宋体" w:hAnsi="宋体" w:cs="Times New Roman"/>
                <w:color w:val="000000"/>
                <w:sz w:val="24"/>
              </w:rPr>
              <w:t>1年</w:t>
            </w:r>
          </w:p>
        </w:tc>
      </w:tr>
    </w:tbl>
    <w:p>
      <w:pPr>
        <w:rPr>
          <w:rFonts w:hint="eastAsia" w:cs="Times New Roman"/>
        </w:rPr>
      </w:pPr>
    </w:p>
    <w:p>
      <w:pPr>
        <w:rPr>
          <w:rFonts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ascii="仿宋_GB2312" w:eastAsia="仿宋_GB2312" w:cs="Times New Roman"/>
          <w:sz w:val="24"/>
        </w:rPr>
      </w:pPr>
    </w:p>
    <w:p>
      <w:pPr>
        <w:pStyle w:val="2"/>
      </w:pPr>
    </w:p>
    <w:p>
      <w:pPr>
        <w:pStyle w:val="2"/>
      </w:pPr>
    </w:p>
    <w:p>
      <w:pPr>
        <w:pStyle w:val="2"/>
        <w:rPr>
          <w:rFonts w:hint="eastAsia"/>
        </w:rPr>
      </w:pPr>
    </w:p>
    <w:p>
      <w:pPr>
        <w:rPr>
          <w:rFonts w:hint="eastAsia" w:ascii="仿宋_GB2312" w:eastAsia="仿宋_GB2312" w:cs="Times New Roman"/>
          <w:sz w:val="24"/>
        </w:rPr>
      </w:pPr>
    </w:p>
    <w:p>
      <w:pPr>
        <w:rPr>
          <w:rFonts w:hint="eastAsia" w:ascii="仿宋_GB2312" w:eastAsia="仿宋_GB2312" w:cs="Times New Roman"/>
          <w:sz w:val="24"/>
        </w:rPr>
      </w:pPr>
      <w:r>
        <w:rPr>
          <w:rFonts w:hint="eastAsia" w:ascii="仿宋_GB2312" w:eastAsia="仿宋_GB2312" w:cs="Times New Roman"/>
          <w:sz w:val="24"/>
        </w:rPr>
        <w:t>附件2 网络安全设备维保清单</w:t>
      </w:r>
    </w:p>
    <w:p>
      <w:pPr>
        <w:rPr>
          <w:rFonts w:hint="eastAsia" w:cs="Times New Roman"/>
        </w:rPr>
      </w:pPr>
    </w:p>
    <w:tbl>
      <w:tblPr>
        <w:tblW w:w="7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1922"/>
        <w:gridCol w:w="2409"/>
        <w:gridCol w:w="99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6"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设备名称</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设备型号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拟维保时间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安全管理中心</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V3.0/HD-NAC-NGSOC-2S02-C</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防火墙</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V3.5/HD-FW-N2-3S02-A</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4"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上网行为管理</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V3.0/HD-NAC-4S02-C</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9"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堡垒机</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V3.0/HD-NAC-Fort-3S02-C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1"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防火墙</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V3.5/HD-FW-N2-3S02-C</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5"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入侵检测系统</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V5.0/HD-NGIDS-E1-2S02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3"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安全管理中心</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V3.0/HD-NAC-NGSOC-2S02-C</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日志审计系统</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V4.0/HD-LAS-3S02-A</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45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多网隔离系统</w:t>
            </w:r>
          </w:p>
        </w:tc>
        <w:tc>
          <w:tcPr>
            <w:tcW w:w="240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V2.0/HD-LAC-MAP-1S02-C</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tc>
      </w:tr>
    </w:tbl>
    <w:p>
      <w:pPr>
        <w:pStyle w:val="2"/>
        <w:rPr>
          <w:rFonts w:ascii="仿宋_GB2312" w:hAnsi="仿宋_GB2312" w:cs="仿宋_GB2312"/>
          <w:sz w:val="32"/>
          <w:szCs w:val="32"/>
        </w:rPr>
      </w:pPr>
    </w:p>
    <w:p>
      <w:pPr>
        <w:pStyle w:val="2"/>
        <w:rPr>
          <w:rFonts w:hint="eastAsia" w:ascii="仿宋_GB2312" w:hAnsi="仿宋_GB2312" w:cs="仿宋_GB2312"/>
          <w:sz w:val="32"/>
          <w:szCs w:val="32"/>
        </w:rPr>
      </w:pP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1"/>
      <w:numFmt w:val="decimal"/>
      <w:suff w:val="nothing"/>
      <w:lvlText w:val="%1、"/>
      <w:lvlJc w:val="left"/>
      <w:pPr>
        <w:ind w:left="0" w:firstLine="0"/>
      </w:pPr>
      <w:rPr>
        <w:rFonts w:hint="eastAsia"/>
      </w:rPr>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2">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annotation subject"/>
    <w:basedOn w:val="6"/>
    <w:next w:val="6"/>
    <w:link w:val="20"/>
    <w:uiPriority w:val="0"/>
    <w:rPr>
      <w:b/>
      <w:bCs/>
    </w:rPr>
  </w:style>
  <w:style w:type="paragraph" w:styleId="6">
    <w:name w:val="annotation text"/>
    <w:basedOn w:val="1"/>
    <w:link w:val="19"/>
    <w:uiPriority w:val="0"/>
    <w:pPr>
      <w:jc w:val="left"/>
    </w:pPr>
  </w:style>
  <w:style w:type="paragraph" w:styleId="7">
    <w:name w:val="Body Text"/>
    <w:basedOn w:val="1"/>
    <w:next w:val="8"/>
    <w:unhideWhenUsed/>
    <w:qFormat/>
    <w:uiPriority w:val="99"/>
    <w:rPr>
      <w:rFonts w:ascii="仿宋_GB2312" w:eastAsia="仿宋_GB2312"/>
      <w:sz w:val="32"/>
    </w:rPr>
  </w:style>
  <w:style w:type="paragraph" w:customStyle="1" w:styleId="8">
    <w:name w:val="引用1"/>
    <w:basedOn w:val="1"/>
    <w:next w:val="1"/>
    <w:qFormat/>
    <w:uiPriority w:val="29"/>
    <w:pPr>
      <w:spacing w:beforeLines="50" w:afterLines="50" w:line="360" w:lineRule="auto"/>
    </w:pPr>
    <w:rPr>
      <w:i/>
      <w:iCs/>
      <w:color w:val="000000"/>
      <w:lang w:val="zh-CN"/>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18"/>
    <w:uiPriority w:val="0"/>
    <w:pPr>
      <w:tabs>
        <w:tab w:val="center" w:pos="4153"/>
        <w:tab w:val="right" w:pos="8306"/>
      </w:tabs>
      <w:snapToGrid w:val="0"/>
      <w:jc w:val="center"/>
    </w:pPr>
    <w:rPr>
      <w:sz w:val="18"/>
      <w:szCs w:val="18"/>
    </w:rPr>
  </w:style>
  <w:style w:type="paragraph" w:styleId="11">
    <w:name w:val="Normal (Web)"/>
    <w:basedOn w:val="1"/>
    <w:qFormat/>
    <w:uiPriority w:val="0"/>
    <w:pPr>
      <w:spacing w:line="336" w:lineRule="auto"/>
      <w:jc w:val="left"/>
    </w:pPr>
    <w:rPr>
      <w:rFonts w:ascii="宋体" w:hAnsi="宋体"/>
      <w:kern w:val="0"/>
      <w:sz w:val="24"/>
    </w:rPr>
  </w:style>
  <w:style w:type="character" w:styleId="13">
    <w:name w:val="Strong"/>
    <w:qFormat/>
    <w:uiPriority w:val="0"/>
    <w:rPr>
      <w:b/>
    </w:rPr>
  </w:style>
  <w:style w:type="character" w:styleId="14">
    <w:name w:val="annotation reference"/>
    <w:basedOn w:val="12"/>
    <w:uiPriority w:val="0"/>
    <w:rPr>
      <w:sz w:val="21"/>
      <w:szCs w:val="21"/>
    </w:rPr>
  </w:style>
  <w:style w:type="paragraph" w:customStyle="1" w:styleId="15">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6">
    <w:name w:val="列表段落1"/>
    <w:basedOn w:val="1"/>
    <w:qFormat/>
    <w:uiPriority w:val="34"/>
    <w:pPr>
      <w:ind w:firstLine="420" w:firstLineChars="200"/>
    </w:p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字符"/>
    <w:basedOn w:val="12"/>
    <w:link w:val="10"/>
    <w:uiPriority w:val="0"/>
    <w:rPr>
      <w:rFonts w:ascii="Calibri" w:hAnsi="Calibri" w:cs="黑体"/>
      <w:kern w:val="2"/>
      <w:sz w:val="18"/>
      <w:szCs w:val="18"/>
    </w:rPr>
  </w:style>
  <w:style w:type="character" w:customStyle="1" w:styleId="19">
    <w:name w:val="批注文字 字符"/>
    <w:basedOn w:val="12"/>
    <w:link w:val="6"/>
    <w:uiPriority w:val="0"/>
    <w:rPr>
      <w:rFonts w:ascii="Calibri" w:hAnsi="Calibri" w:cs="黑体"/>
      <w:kern w:val="2"/>
      <w:sz w:val="21"/>
      <w:szCs w:val="24"/>
    </w:rPr>
  </w:style>
  <w:style w:type="character" w:customStyle="1" w:styleId="20">
    <w:name w:val="批注主题 字符"/>
    <w:basedOn w:val="19"/>
    <w:link w:val="5"/>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611</Words>
  <Characters>3486</Characters>
  <Lines>29</Lines>
  <Paragraphs>8</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2024-07-10T02:25:00Z</dcterms:created>
  <dc:creator>Admin</dc:creator>
  <cp:lastModifiedBy>Admin</cp:lastModifiedBy>
  <cp:lastPrinted>2023-06-20T07:45:00Z</cp:lastPrinted>
  <dcterms:modified xsi:type="dcterms:W3CDTF">2024-07-11T09:31:38Z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