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adjustRightInd w:val="0"/>
        <w:snapToGrid w:val="0"/>
        <w:spacing w:line="590" w:lineRule="exact"/>
        <w:jc w:val="center"/>
        <w:rPr>
          <w:rFonts w:hint="eastAsia" w:ascii="方正小标宋简体" w:hAnsi="方正小标宋简体" w:eastAsia="方正小标宋简体" w:cs="方正小标宋简体"/>
          <w:b w:val="0"/>
          <w:bCs/>
          <w:color w:val="auto"/>
          <w:sz w:val="44"/>
          <w:szCs w:val="44"/>
          <w:highlight w:val="none"/>
        </w:rPr>
      </w:pPr>
      <w:bookmarkStart w:id="0" w:name="_GoBack"/>
      <w:r>
        <w:rPr>
          <w:rFonts w:hint="eastAsia" w:ascii="方正小标宋简体" w:hAnsi="方正小标宋简体" w:eastAsia="方正小标宋简体" w:cs="方正小标宋简体"/>
          <w:b w:val="0"/>
          <w:bCs/>
          <w:color w:val="auto"/>
          <w:sz w:val="44"/>
          <w:szCs w:val="44"/>
          <w:highlight w:val="none"/>
          <w:lang w:val="en-US" w:eastAsia="zh-CN"/>
        </w:rPr>
        <w:t>福建省肿瘤医院</w:t>
      </w:r>
      <w:r>
        <w:rPr>
          <w:rFonts w:hint="eastAsia" w:ascii="方正小标宋简体" w:hAnsi="宋体" w:eastAsia="方正小标宋简体"/>
          <w:bCs/>
          <w:sz w:val="44"/>
          <w:szCs w:val="44"/>
        </w:rPr>
        <w:t>电子预交金</w:t>
      </w:r>
      <w:r>
        <w:rPr>
          <w:rFonts w:hint="eastAsia" w:ascii="方正小标宋简体" w:hAnsi="宋体" w:eastAsia="方正小标宋简体"/>
          <w:bCs/>
          <w:sz w:val="44"/>
          <w:szCs w:val="44"/>
          <w:lang w:val="en-US" w:eastAsia="zh-CN"/>
        </w:rPr>
        <w:t>管理平台</w:t>
      </w:r>
      <w:r>
        <w:rPr>
          <w:rFonts w:hint="eastAsia" w:ascii="方正小标宋简体" w:hAnsi="方正小标宋简体" w:eastAsia="方正小标宋简体" w:cs="方正小标宋简体"/>
          <w:b w:val="0"/>
          <w:bCs/>
          <w:color w:val="auto"/>
          <w:sz w:val="44"/>
          <w:szCs w:val="44"/>
          <w:highlight w:val="none"/>
        </w:rPr>
        <w:t>项目</w:t>
      </w:r>
    </w:p>
    <w:p>
      <w:pPr>
        <w:pStyle w:val="5"/>
        <w:adjustRightInd w:val="0"/>
        <w:snapToGrid w:val="0"/>
        <w:spacing w:line="590" w:lineRule="exact"/>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招标</w:t>
      </w:r>
      <w:r>
        <w:rPr>
          <w:rFonts w:hint="eastAsia" w:ascii="方正小标宋简体" w:hAnsi="方正小标宋简体" w:eastAsia="方正小标宋简体" w:cs="方正小标宋简体"/>
          <w:b w:val="0"/>
          <w:bCs/>
          <w:color w:val="auto"/>
          <w:sz w:val="44"/>
          <w:szCs w:val="44"/>
          <w:highlight w:val="none"/>
          <w:lang w:val="en-US" w:eastAsia="zh-CN"/>
        </w:rPr>
        <w:t>采购公告</w:t>
      </w:r>
    </w:p>
    <w:p>
      <w:pPr>
        <w:pStyle w:val="5"/>
        <w:adjustRightInd w:val="0"/>
        <w:snapToGrid w:val="0"/>
        <w:spacing w:line="590" w:lineRule="exact"/>
        <w:jc w:val="center"/>
        <w:rPr>
          <w:rFonts w:hint="eastAsia" w:ascii="方正小标宋简体" w:hAnsi="方正小标宋简体" w:eastAsia="方正小标宋简体" w:cs="方正小标宋简体"/>
          <w:b w:val="0"/>
          <w:bCs/>
          <w:color w:val="auto"/>
          <w:sz w:val="44"/>
          <w:szCs w:val="44"/>
          <w:highlight w:val="none"/>
          <w:lang w:val="en-US" w:eastAsia="zh-CN"/>
        </w:rPr>
      </w:pPr>
    </w:p>
    <w:p>
      <w:pPr>
        <w:widowControl w:val="0"/>
        <w:numPr>
          <w:numId w:val="0"/>
        </w:numPr>
        <w:wordWrap/>
        <w:adjustRightInd w:val="0"/>
        <w:snapToGrid w:val="0"/>
        <w:spacing w:before="0" w:after="0" w:line="590" w:lineRule="exact"/>
        <w:ind w:left="0" w:leftChars="0" w:right="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widowControl w:val="0"/>
        <w:numPr>
          <w:numId w:val="0"/>
        </w:numPr>
        <w:wordWrap/>
        <w:spacing w:before="0" w:after="0" w:line="590" w:lineRule="exact"/>
        <w:ind w:left="0" w:leftChars="0" w:right="0" w:firstLine="640" w:firstLineChars="200"/>
        <w:jc w:val="both"/>
        <w:textAlignment w:val="auto"/>
        <w:outlineLvl w:val="9"/>
        <w:rPr>
          <w:rFonts w:hint="eastAsia"/>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医院电子预交金管理平台</w:t>
      </w:r>
    </w:p>
    <w:p>
      <w:pPr>
        <w:widowControl w:val="0"/>
        <w:numPr>
          <w:numId w:val="0"/>
        </w:numPr>
        <w:wordWrap/>
        <w:spacing w:before="0" w:after="0" w:line="590" w:lineRule="exact"/>
        <w:ind w:left="0" w:leftChars="0" w:right="0"/>
        <w:jc w:val="both"/>
        <w:textAlignment w:val="auto"/>
        <w:outlineLvl w:val="9"/>
        <w:rPr>
          <w:rFonts w:hint="eastAsia"/>
          <w:sz w:val="32"/>
          <w:szCs w:val="32"/>
        </w:rPr>
      </w:pPr>
      <w:r>
        <w:rPr>
          <w:rFonts w:hint="eastAsia" w:ascii="仿宋_GB2312" w:hAnsi="仿宋_GB2312" w:eastAsia="仿宋_GB2312" w:cs="仿宋_GB2312"/>
          <w:color w:val="000000"/>
          <w:sz w:val="32"/>
          <w:szCs w:val="32"/>
          <w:highlight w:val="none"/>
          <w:lang w:val="en-US" w:eastAsia="zh-CN"/>
        </w:rPr>
        <w:t xml:space="preserve">    2、采购预算金额：</w:t>
      </w:r>
      <w:r>
        <w:rPr>
          <w:rFonts w:hint="eastAsia" w:ascii="仿宋_GB2312" w:hAnsi="仿宋_GB2312" w:eastAsia="仿宋_GB2312" w:cs="仿宋_GB2312"/>
          <w:sz w:val="32"/>
          <w:szCs w:val="32"/>
          <w:lang w:val="en-US" w:eastAsia="zh-CN"/>
        </w:rPr>
        <w:t>280000</w:t>
      </w:r>
      <w:r>
        <w:rPr>
          <w:rFonts w:hint="eastAsia" w:ascii="仿宋_GB2312" w:hAnsi="仿宋_GB2312" w:eastAsia="仿宋_GB2312" w:cs="仿宋_GB2312"/>
          <w:color w:val="000000"/>
          <w:sz w:val="32"/>
          <w:szCs w:val="32"/>
          <w:highlight w:val="none"/>
          <w:lang w:val="en-US" w:eastAsia="zh-CN"/>
        </w:rPr>
        <w:t>.00元</w:t>
      </w:r>
    </w:p>
    <w:p>
      <w:pPr>
        <w:widowControl w:val="0"/>
        <w:numPr>
          <w:numId w:val="0"/>
        </w:numPr>
        <w:wordWrap/>
        <w:adjustRightInd w:val="0"/>
        <w:snapToGrid w:val="0"/>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交货地点：福马路420号肿瘤医院院内。</w:t>
      </w:r>
    </w:p>
    <w:p>
      <w:pPr>
        <w:widowControl w:val="0"/>
        <w:numPr>
          <w:numId w:val="0"/>
        </w:numPr>
        <w:wordWrap/>
        <w:adjustRightInd w:val="0"/>
        <w:snapToGrid w:val="0"/>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4、本项目不接受联合体投标，不允许分包。</w:t>
      </w:r>
    </w:p>
    <w:p>
      <w:pPr>
        <w:widowControl w:val="0"/>
        <w:numPr>
          <w:numId w:val="0"/>
        </w:numPr>
        <w:wordWrap/>
        <w:adjustRightInd w:val="0"/>
        <w:snapToGrid w:val="0"/>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090000" w:fill="FFFFFF"/>
        </w:rPr>
        <w:t>采购需求：（包括但不限于标的名称、数量、简要技术需求或服务要求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交货期及控制价</w:t>
      </w:r>
      <w:r>
        <w:rPr>
          <w:rFonts w:hint="eastAsia" w:ascii="仿宋_GB2312" w:hAnsi="仿宋_GB2312" w:eastAsia="仿宋_GB2312" w:cs="仿宋_GB2312"/>
          <w:i w:val="0"/>
          <w:iCs w:val="0"/>
          <w:caps w:val="0"/>
          <w:color w:val="auto"/>
          <w:spacing w:val="0"/>
          <w:sz w:val="32"/>
          <w:szCs w:val="32"/>
          <w:highlight w:val="none"/>
          <w:shd w:val="clear" w:color="090000" w:fill="FFFFFF"/>
        </w:rPr>
        <w:t>等）</w:t>
      </w:r>
    </w:p>
    <w:p>
      <w:pPr>
        <w:pStyle w:val="8"/>
        <w:widowControl w:val="0"/>
        <w:wordWrap/>
        <w:adjustRightInd w:val="0"/>
        <w:snapToGrid w:val="0"/>
        <w:spacing w:line="240" w:lineRule="auto"/>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交货期</w:t>
            </w:r>
          </w:p>
        </w:tc>
        <w:tc>
          <w:tcPr>
            <w:tcW w:w="1772"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32"/>
                <w:szCs w:val="32"/>
                <w:lang w:val="en-US" w:eastAsia="zh-CN"/>
              </w:rPr>
              <w:t>电子预交金管理平台</w:t>
            </w:r>
          </w:p>
        </w:tc>
        <w:tc>
          <w:tcPr>
            <w:tcW w:w="990"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60" w:type="dxa"/>
            <w:vAlign w:val="center"/>
          </w:tcPr>
          <w:p>
            <w:pPr>
              <w:widowControl w:val="0"/>
              <w:wordWrap/>
              <w:adjustRightInd w:val="0"/>
              <w:snapToGrid w:val="0"/>
              <w:spacing w:line="240" w:lineRule="auto"/>
              <w:jc w:val="both"/>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725" w:type="dxa"/>
            <w:vAlign w:val="center"/>
          </w:tcPr>
          <w:p>
            <w:pPr>
              <w:widowControl w:val="0"/>
              <w:tabs>
                <w:tab w:val="left" w:pos="360"/>
              </w:tabs>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90天</w:t>
            </w:r>
          </w:p>
        </w:tc>
        <w:tc>
          <w:tcPr>
            <w:tcW w:w="1772"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32"/>
                <w:szCs w:val="32"/>
                <w:highlight w:val="none"/>
                <w:lang w:val="en-US" w:eastAsia="zh-CN"/>
              </w:rPr>
              <w:t>280000.00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495" w:type="dxa"/>
            <w:gridSpan w:val="5"/>
            <w:vAlign w:val="center"/>
          </w:tcPr>
          <w:p>
            <w:pPr>
              <w:pStyle w:val="18"/>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ab/>
            </w:r>
            <w:r>
              <w:rPr>
                <w:rFonts w:hint="eastAsia" w:ascii="仿宋_GB2312" w:hAnsi="仿宋_GB2312" w:eastAsia="仿宋_GB2312" w:cs="仿宋_GB2312"/>
                <w:sz w:val="28"/>
                <w:szCs w:val="28"/>
                <w:highlight w:val="none"/>
                <w:lang w:val="en-US" w:eastAsia="zh-CN"/>
              </w:rPr>
              <w:t>备注说明：</w:t>
            </w:r>
            <w:r>
              <w:rPr>
                <w:rFonts w:hint="eastAsia" w:ascii="宋体" w:hAnsi="宋体" w:eastAsia="宋体" w:cs="宋体"/>
                <w:color w:val="000000"/>
                <w:sz w:val="28"/>
                <w:szCs w:val="28"/>
              </w:rPr>
              <w:t>报价含货物、运输、安装调试、验收、保险、税费等相关费用。</w:t>
            </w:r>
          </w:p>
        </w:tc>
      </w:tr>
    </w:tbl>
    <w:p>
      <w:pPr>
        <w:pStyle w:val="8"/>
        <w:widowControl w:val="0"/>
        <w:wordWrap/>
        <w:adjustRightInd w:val="0"/>
        <w:snapToGrid w:val="0"/>
        <w:spacing w:line="240" w:lineRule="auto"/>
        <w:jc w:val="center"/>
        <w:textAlignment w:val="auto"/>
        <w:rPr>
          <w:rFonts w:hint="eastAsia" w:ascii="仿宋_GB2312" w:hAnsi="仿宋_GB2312" w:eastAsia="仿宋_GB2312" w:cs="仿宋_GB2312"/>
          <w:b/>
          <w:sz w:val="32"/>
          <w:szCs w:val="32"/>
          <w:highlight w:val="none"/>
          <w:lang w:val="en-US" w:eastAsia="zh-CN"/>
        </w:rPr>
      </w:pPr>
    </w:p>
    <w:p>
      <w:pPr>
        <w:numPr>
          <w:ilvl w:val="0"/>
          <w:numId w:val="2"/>
        </w:numPr>
        <w:adjustRightInd w:val="0"/>
        <w:snapToGrid w:val="0"/>
        <w:spacing w:before="0" w:after="0" w:line="590" w:lineRule="exact"/>
        <w:ind w:left="0" w:leftChars="0" w:right="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numId w:val="0"/>
        </w:numPr>
        <w:wordWrap/>
        <w:adjustRightInd w:val="0"/>
        <w:snapToGrid w:val="0"/>
        <w:spacing w:before="0" w:after="0" w:line="59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委托代表人资格证明书（附法人及委托人身份证）。</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4、</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参加本次活动前三年内，在经营活动中没有重大违法违规记录的承诺。</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资格审查采用方式：资格后审。</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7、</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pStyle w:val="3"/>
        <w:widowControl/>
        <w:numPr>
          <w:ilvl w:val="0"/>
          <w:numId w:val="2"/>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590" w:lineRule="exact"/>
        <w:ind w:left="0" w:leftChars="0" w:right="0" w:firstLine="640" w:firstLineChars="200"/>
        <w:jc w:val="left"/>
        <w:textAlignment w:val="baseline"/>
        <w:rPr>
          <w:rStyle w:val="16"/>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6"/>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6"/>
          <w:rFonts w:hint="eastAsia" w:ascii="黑体" w:hAnsi="黑体" w:eastAsia="黑体" w:cs="黑体"/>
          <w:b w:val="0"/>
          <w:bCs w:val="0"/>
          <w:i w:val="0"/>
          <w:iCs w:val="0"/>
          <w:caps w:val="0"/>
          <w:color w:val="auto"/>
          <w:spacing w:val="0"/>
          <w:sz w:val="32"/>
          <w:szCs w:val="32"/>
          <w:shd w:val="clear" w:color="0B0000" w:fill="FFFFFF"/>
          <w:lang w:eastAsia="zh-CN"/>
        </w:rPr>
        <w:t>（</w:t>
      </w:r>
      <w:r>
        <w:rPr>
          <w:rStyle w:val="16"/>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numId w:val="0"/>
        </w:numPr>
        <w:spacing w:before="0" w:after="0" w:line="590" w:lineRule="exact"/>
        <w:ind w:left="0" w:leftChars="0" w:right="0"/>
        <w:rPr>
          <w:rFonts w:hint="default"/>
          <w:lang w:val="en-US" w:eastAsia="zh-CN"/>
        </w:rPr>
      </w:pPr>
    </w:p>
    <w:p>
      <w:pPr>
        <w:numPr>
          <w:numId w:val="0"/>
        </w:numPr>
        <w:adjustRightInd w:val="0"/>
        <w:snapToGrid w:val="0"/>
        <w:spacing w:before="0" w:after="0" w:line="590" w:lineRule="exact"/>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numId w:val="0"/>
        </w:numPr>
        <w:adjustRightInd w:val="0"/>
        <w:snapToGrid w:val="0"/>
        <w:spacing w:before="0" w:after="0" w:line="590" w:lineRule="exact"/>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adjustRightInd w:val="0"/>
        <w:snapToGrid w:val="0"/>
        <w:spacing w:before="0" w:after="0" w:line="590" w:lineRule="exact"/>
        <w:ind w:left="0" w:leftChars="0" w:right="0" w:firstLine="640" w:firstLineChars="200"/>
        <w:jc w:val="left"/>
        <w:rPr>
          <w:rFonts w:hint="eastAsia" w:ascii="黑体" w:hAnsi="黑体" w:eastAsia="黑体" w:cs="黑体"/>
          <w:b w:val="0"/>
          <w:bCs w:val="0"/>
          <w:strike w:val="0"/>
          <w:dstrike w:val="0"/>
          <w:color w:val="000000"/>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adjustRightInd w:val="0"/>
        <w:snapToGrid w:val="0"/>
        <w:spacing w:before="0" w:after="0" w:line="590" w:lineRule="exact"/>
        <w:ind w:left="0" w:leftChars="0" w:right="0" w:firstLine="640" w:firstLineChars="200"/>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6"/>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6"/>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17:30点</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 xml:space="preserve"> 9:00点</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pacing w:val="-8"/>
          <w:kern w:val="0"/>
          <w:sz w:val="32"/>
          <w:szCs w:val="32"/>
          <w:shd w:val="clear" w:color="auto" w:fill="FFFFFF"/>
          <w:lang w:val="en-US" w:eastAsia="zh-CN"/>
        </w:rPr>
        <w:t>参加会议的公司应准备PPT材料（含方案介绍、服务及集成能力、应用案例、报价等）、技术参数等材料，每公司讲解时间30分钟（含答疑10分钟）；同时上述材料须交予院方留档（发送邮件到wlb@fjzlhospital.com，并提供U盘留档）。</w:t>
      </w:r>
    </w:p>
    <w:p>
      <w:pPr>
        <w:adjustRightInd w:val="0"/>
        <w:snapToGrid w:val="0"/>
        <w:spacing w:before="0" w:after="0" w:line="590" w:lineRule="exact"/>
        <w:ind w:left="0" w:leftChars="0" w:right="0" w:firstLine="640" w:firstLineChars="200"/>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adjustRightInd w:val="0"/>
        <w:snapToGrid w:val="0"/>
        <w:spacing w:before="0" w:after="0" w:line="590" w:lineRule="exact"/>
        <w:ind w:left="0" w:leftChars="0" w:right="0"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3"/>
        </w:numPr>
        <w:adjustRightInd w:val="0"/>
        <w:snapToGrid w:val="0"/>
        <w:spacing w:before="0" w:after="0" w:line="590" w:lineRule="exact"/>
        <w:ind w:left="0" w:leftChars="0"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numPr>
          <w:numId w:val="0"/>
        </w:numPr>
        <w:spacing w:before="0" w:after="0" w:line="590" w:lineRule="exact"/>
        <w:ind w:left="0" w:leftChars="0" w:right="0" w:firstLine="42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9"/>
        <w:numPr>
          <w:numId w:val="0"/>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1、应结合我院实际医疗及管理需要，对系统进行客户化修改，包括但不限于结合医院实际管理需求；同时不得使用主管部门禁止使用的操作系统及数据库。</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信创国产化，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19"/>
        <w:numPr>
          <w:ilvl w:val="0"/>
          <w:numId w:val="4"/>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由于本项目与诊疗无关，必须支持国产化操作系统、数据库及前端国产化工作站，暂时未能实现的，后续政策要求时不再另行收费，并在投标文件中出具承诺函。</w:t>
      </w:r>
    </w:p>
    <w:p>
      <w:pPr>
        <w:adjustRightInd w:val="0"/>
        <w:snapToGrid w:val="0"/>
        <w:spacing w:before="0" w:after="0" w:line="590" w:lineRule="exact"/>
        <w:ind w:left="0" w:leftChars="0" w:right="0"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adjustRightInd w:val="0"/>
        <w:snapToGrid w:val="0"/>
        <w:spacing w:before="0" w:after="0" w:line="590" w:lineRule="exact"/>
        <w:ind w:left="0" w:leftChars="0"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adjustRightInd w:val="0"/>
        <w:snapToGrid w:val="0"/>
        <w:spacing w:before="0" w:after="0" w:line="590" w:lineRule="exact"/>
        <w:ind w:left="0" w:leftChars="0" w:right="0" w:firstLine="48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adjustRightInd w:val="0"/>
        <w:snapToGrid w:val="0"/>
        <w:spacing w:before="0" w:after="0" w:line="590" w:lineRule="exact"/>
        <w:ind w:left="0" w:leftChars="0" w:right="0"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adjustRightInd w:val="0"/>
        <w:snapToGrid w:val="0"/>
        <w:spacing w:before="0" w:after="0" w:line="590" w:lineRule="exact"/>
        <w:ind w:left="0" w:leftChars="0" w:right="0" w:firstLine="48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adjustRightInd w:val="0"/>
        <w:snapToGrid w:val="0"/>
        <w:spacing w:before="0" w:after="0" w:line="590" w:lineRule="exact"/>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凡有意参加投标者，请于</w:t>
      </w:r>
      <w:r>
        <w:rPr>
          <w:rFonts w:hint="eastAsia" w:ascii="仿宋_GB2312" w:hAnsi="仿宋_GB2312" w:eastAsia="仿宋_GB2312" w:cs="仿宋_GB2312"/>
          <w:color w:val="000000"/>
          <w:sz w:val="32"/>
          <w:szCs w:val="32"/>
          <w:highlight w:val="none"/>
          <w:lang w:eastAsia="zh-CN"/>
        </w:rPr>
        <w:t>2024年</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19</w:t>
      </w:r>
      <w:r>
        <w:rPr>
          <w:rFonts w:hint="eastAsia" w:ascii="仿宋_GB2312" w:hAnsi="仿宋_GB2312" w:eastAsia="仿宋_GB2312" w:cs="仿宋_GB2312"/>
          <w:color w:val="000000"/>
          <w:sz w:val="32"/>
          <w:szCs w:val="32"/>
          <w:highlight w:val="none"/>
        </w:rPr>
        <w:t xml:space="preserve">日至 </w:t>
      </w:r>
      <w:r>
        <w:rPr>
          <w:rFonts w:hint="eastAsia" w:ascii="仿宋_GB2312" w:hAnsi="仿宋_GB2312" w:eastAsia="仿宋_GB2312" w:cs="仿宋_GB2312"/>
          <w:color w:val="000000"/>
          <w:sz w:val="32"/>
          <w:szCs w:val="32"/>
          <w:highlight w:val="none"/>
          <w:lang w:eastAsia="zh-CN"/>
        </w:rPr>
        <w:t>2024年</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26</w:t>
      </w:r>
      <w:r>
        <w:rPr>
          <w:rFonts w:hint="eastAsia" w:ascii="仿宋_GB2312" w:hAnsi="仿宋_GB2312" w:eastAsia="仿宋_GB2312" w:cs="仿宋_GB2312"/>
          <w:color w:val="000000"/>
          <w:sz w:val="32"/>
          <w:szCs w:val="32"/>
          <w:highlight w:val="none"/>
        </w:rPr>
        <w:t>日(节假日除外)8：00-12：00或14：</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0-17：</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0，携带加盖公章的营业执照复印件、个人授权函（需加盖供应商公章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含联系方式</w:t>
      </w:r>
      <w:r>
        <w:rPr>
          <w:rFonts w:hint="eastAsia" w:ascii="仿宋_GB2312" w:hAnsi="仿宋_GB2312" w:eastAsia="仿宋_GB2312" w:cs="仿宋_GB2312"/>
          <w:color w:val="000000"/>
          <w:sz w:val="32"/>
          <w:szCs w:val="32"/>
          <w:highlight w:val="none"/>
        </w:rPr>
        <w:t>）和身份证复印件前往福建省肿瘤医院</w:t>
      </w:r>
      <w:r>
        <w:rPr>
          <w:rFonts w:hint="eastAsia" w:ascii="仿宋_GB2312" w:hAnsi="仿宋_GB2312" w:eastAsia="仿宋_GB2312" w:cs="仿宋_GB2312"/>
          <w:color w:val="000000"/>
          <w:sz w:val="32"/>
          <w:szCs w:val="32"/>
          <w:highlight w:val="none"/>
          <w:lang w:val="en-US" w:eastAsia="zh-CN"/>
        </w:rPr>
        <w:t>网络技术中心</w:t>
      </w:r>
      <w:r>
        <w:rPr>
          <w:rFonts w:hint="eastAsia" w:ascii="仿宋_GB2312" w:hAnsi="仿宋_GB2312" w:eastAsia="仿宋_GB2312" w:cs="仿宋_GB2312"/>
          <w:color w:val="000000"/>
          <w:sz w:val="32"/>
          <w:szCs w:val="32"/>
          <w:highlight w:val="none"/>
        </w:rPr>
        <w:t>报名。</w:t>
      </w:r>
    </w:p>
    <w:p>
      <w:pPr>
        <w:adjustRightInd w:val="0"/>
        <w:snapToGrid w:val="0"/>
        <w:spacing w:before="0" w:after="0" w:line="590" w:lineRule="exact"/>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金工</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联系电话： 0591-</w:t>
      </w:r>
      <w:r>
        <w:rPr>
          <w:rFonts w:hint="eastAsia" w:ascii="仿宋_GB2312" w:hAnsi="仿宋_GB2312" w:eastAsia="仿宋_GB2312" w:cs="仿宋_GB2312"/>
          <w:color w:val="000000"/>
          <w:sz w:val="32"/>
          <w:szCs w:val="32"/>
          <w:highlight w:val="none"/>
          <w:lang w:val="en-US" w:eastAsia="zh-CN"/>
        </w:rPr>
        <w:t>83660063-8822</w:t>
      </w:r>
    </w:p>
    <w:p>
      <w:pPr>
        <w:numPr>
          <w:ilvl w:val="0"/>
          <w:numId w:val="5"/>
        </w:numPr>
        <w:adjustRightInd w:val="0"/>
        <w:snapToGrid w:val="0"/>
        <w:spacing w:before="0" w:after="0" w:line="590" w:lineRule="exact"/>
        <w:ind w:left="0" w:leftChars="0" w:right="0" w:firstLine="640" w:firstLineChars="2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adjustRightInd w:val="0"/>
        <w:snapToGrid w:val="0"/>
        <w:spacing w:before="0" w:after="0" w:line="590" w:lineRule="exact"/>
        <w:ind w:left="0" w:leftChars="0" w:right="0"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adjustRightInd w:val="0"/>
        <w:snapToGrid w:val="0"/>
        <w:spacing w:before="0" w:after="0" w:line="590" w:lineRule="exact"/>
        <w:ind w:left="0" w:leftChars="0" w:right="0"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附件（招标内容及要求）</w:t>
      </w:r>
    </w:p>
    <w:p>
      <w:pPr>
        <w:wordWrap/>
        <w:adjustRightInd w:val="0"/>
        <w:snapToGrid w:val="0"/>
        <w:spacing w:before="0" w:after="0" w:line="590" w:lineRule="exact"/>
        <w:ind w:left="0" w:leftChars="0" w:right="0" w:firstLine="48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备注：附件或招</w:t>
      </w:r>
      <w:r>
        <w:rPr>
          <w:rFonts w:hint="eastAsia" w:ascii="仿宋_GB2312" w:hAnsi="仿宋_GB2312" w:eastAsia="仿宋_GB2312" w:cs="仿宋_GB2312"/>
          <w:color w:val="auto"/>
          <w:sz w:val="32"/>
          <w:szCs w:val="32"/>
          <w:highlight w:val="none"/>
          <w:lang w:val="en-US" w:eastAsia="zh-CN"/>
        </w:rPr>
        <w:t>标内容及要求填写技术规格需求、评分标准验收标准、安装及调试、培训要求、质量保证、售后服务要求、技术资料要求、备品备件、交货期、付款方式及主要合同条款）。</w:t>
      </w:r>
    </w:p>
    <w:p>
      <w:pPr>
        <w:keepNext/>
        <w:widowControl/>
        <w:numPr>
          <w:numId w:val="0"/>
        </w:numPr>
        <w:shd w:val="clear" w:color="auto" w:fill="FFFFFF"/>
        <w:wordWrap/>
        <w:autoSpaceDE w:val="0"/>
        <w:spacing w:before="0" w:after="0" w:line="590" w:lineRule="exact"/>
        <w:ind w:left="0" w:leftChars="0" w:right="0"/>
        <w:jc w:val="both"/>
        <w:textAlignment w:val="auto"/>
        <w:outlineLvl w:val="9"/>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主要</w:t>
      </w:r>
      <w:r>
        <w:rPr>
          <w:rFonts w:hint="eastAsia" w:ascii="仿宋_GB2312" w:hAnsi="仿宋_GB2312" w:eastAsia="仿宋_GB2312" w:cs="仿宋_GB2312"/>
          <w:b w:val="0"/>
          <w:bCs/>
          <w:color w:val="000000"/>
          <w:kern w:val="0"/>
          <w:sz w:val="32"/>
          <w:szCs w:val="32"/>
          <w:shd w:val="clear" w:color="auto" w:fill="FFFFFF"/>
        </w:rPr>
        <w:t>技术功能及服务要求</w:t>
      </w:r>
    </w:p>
    <w:p>
      <w:pPr>
        <w:numPr>
          <w:ilvl w:val="0"/>
          <w:numId w:val="6"/>
        </w:numPr>
        <w:wordWrap/>
        <w:adjustRightInd/>
        <w:snapToGrid/>
        <w:spacing w:before="0" w:after="0" w:line="590" w:lineRule="exact"/>
        <w:ind w:left="0" w:leftChars="0" w:right="0" w:firstLine="482"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管理平台</w:t>
      </w:r>
    </w:p>
    <w:p>
      <w:pPr>
        <w:numPr>
          <w:ilvl w:val="0"/>
          <w:numId w:val="7"/>
        </w:numPr>
        <w:wordWrap/>
        <w:adjustRightInd/>
        <w:snapToGrid/>
        <w:spacing w:before="0" w:after="0" w:line="590" w:lineRule="exact"/>
        <w:ind w:left="0" w:leftChars="0" w:right="0" w:firstLine="480" w:firstLineChars="200"/>
        <w:textAlignment w:val="auto"/>
        <w:outlineLvl w:val="9"/>
        <w:rPr>
          <w:rFonts w:hint="eastAsia" w:ascii="宋体" w:hAnsi="宋体" w:eastAsia="宋体" w:cs="宋体"/>
          <w:b w:val="0"/>
          <w:bCs w:val="0"/>
          <w:color w:val="0C0C0C"/>
          <w:sz w:val="28"/>
          <w:szCs w:val="28"/>
          <w:lang w:val="en-US" w:eastAsia="zh-CN"/>
        </w:rPr>
      </w:pPr>
      <w:r>
        <w:rPr>
          <w:rFonts w:hint="eastAsia" w:ascii="宋体" w:hAnsi="宋体" w:cs="宋体"/>
          <w:b w:val="0"/>
          <w:bCs w:val="0"/>
          <w:sz w:val="28"/>
          <w:szCs w:val="28"/>
          <w:lang w:val="en-US" w:eastAsia="zh-CN"/>
        </w:rPr>
        <w:t>基础信息</w:t>
      </w:r>
      <w:r>
        <w:rPr>
          <w:rFonts w:hint="eastAsia" w:ascii="宋体" w:hAnsi="宋体" w:eastAsia="宋体" w:cs="宋体"/>
          <w:b w:val="0"/>
          <w:bCs w:val="0"/>
          <w:sz w:val="28"/>
          <w:szCs w:val="28"/>
          <w:lang w:val="en-US" w:eastAsia="zh-CN"/>
        </w:rPr>
        <w:t>管理</w:t>
      </w:r>
      <w:r>
        <w:rPr>
          <w:rFonts w:hint="eastAsia" w:ascii="宋体" w:hAnsi="宋体" w:cs="宋体"/>
          <w:b w:val="0"/>
          <w:bCs w:val="0"/>
          <w:sz w:val="28"/>
          <w:szCs w:val="28"/>
          <w:lang w:val="en-US" w:eastAsia="zh-CN"/>
        </w:rPr>
        <w:t>：</w:t>
      </w:r>
      <w:r>
        <w:rPr>
          <w:rFonts w:hint="eastAsia" w:ascii="宋体" w:hAnsi="宋体" w:eastAsia="宋体" w:cs="宋体"/>
          <w:b w:val="0"/>
          <w:bCs w:val="0"/>
          <w:color w:val="0C0C0C"/>
          <w:sz w:val="28"/>
          <w:szCs w:val="28"/>
          <w:lang w:val="en-US" w:eastAsia="zh-CN"/>
        </w:rPr>
        <w:t>含</w:t>
      </w:r>
      <w:r>
        <w:rPr>
          <w:rFonts w:hint="eastAsia" w:ascii="宋体" w:hAnsi="宋体" w:eastAsia="宋体" w:cs="宋体"/>
          <w:b w:val="0"/>
          <w:bCs w:val="0"/>
          <w:color w:val="0C0C0C"/>
          <w:sz w:val="28"/>
          <w:szCs w:val="28"/>
          <w:lang w:val="en-US"/>
        </w:rPr>
        <w:t>预交金电子凭证的种类</w:t>
      </w:r>
      <w:r>
        <w:rPr>
          <w:rFonts w:hint="eastAsia" w:ascii="宋体" w:hAnsi="宋体" w:eastAsia="宋体" w:cs="宋体"/>
          <w:b w:val="0"/>
          <w:bCs w:val="0"/>
          <w:color w:val="0C0C0C"/>
          <w:sz w:val="28"/>
          <w:szCs w:val="28"/>
          <w:lang w:val="en-US" w:eastAsia="zh-CN"/>
        </w:rPr>
        <w:t>设置、</w:t>
      </w:r>
      <w:r>
        <w:rPr>
          <w:rFonts w:hint="eastAsia" w:ascii="宋体" w:hAnsi="宋体" w:eastAsia="宋体" w:cs="宋体"/>
          <w:b w:val="0"/>
          <w:bCs w:val="0"/>
          <w:color w:val="0C0C0C"/>
          <w:sz w:val="28"/>
          <w:szCs w:val="28"/>
          <w:lang w:val="en-US"/>
        </w:rPr>
        <w:t>显示模版</w:t>
      </w:r>
      <w:r>
        <w:rPr>
          <w:rFonts w:hint="eastAsia" w:ascii="宋体" w:hAnsi="宋体" w:eastAsia="宋体" w:cs="宋体"/>
          <w:b w:val="0"/>
          <w:bCs w:val="0"/>
          <w:color w:val="0C0C0C"/>
          <w:sz w:val="28"/>
          <w:szCs w:val="28"/>
          <w:lang w:val="en-US" w:eastAsia="zh-CN"/>
        </w:rPr>
        <w:t>设置、</w:t>
      </w:r>
      <w:r>
        <w:rPr>
          <w:rFonts w:hint="eastAsia" w:ascii="宋体" w:hAnsi="宋体" w:eastAsia="宋体" w:cs="宋体"/>
          <w:b w:val="0"/>
          <w:bCs w:val="0"/>
          <w:color w:val="0C0C0C"/>
          <w:sz w:val="28"/>
          <w:szCs w:val="28"/>
          <w:lang w:val="en-US"/>
        </w:rPr>
        <w:t>打印模版</w:t>
      </w:r>
      <w:r>
        <w:rPr>
          <w:rFonts w:hint="eastAsia" w:ascii="宋体" w:hAnsi="宋体" w:eastAsia="宋体" w:cs="宋体"/>
          <w:b w:val="0"/>
          <w:bCs w:val="0"/>
          <w:color w:val="0C0C0C"/>
          <w:sz w:val="28"/>
          <w:szCs w:val="28"/>
          <w:lang w:val="en-US" w:eastAsia="zh-CN"/>
        </w:rPr>
        <w:t>设置等。</w:t>
      </w:r>
    </w:p>
    <w:p>
      <w:pPr>
        <w:numPr>
          <w:ilvl w:val="0"/>
          <w:numId w:val="7"/>
        </w:numPr>
        <w:wordWrap/>
        <w:adjustRightInd/>
        <w:snapToGrid/>
        <w:spacing w:before="0" w:after="0" w:line="590" w:lineRule="exact"/>
        <w:ind w:left="0" w:leftChars="0" w:right="0" w:firstLine="480" w:firstLineChars="200"/>
        <w:textAlignment w:val="auto"/>
        <w:outlineLvl w:val="9"/>
        <w:rPr>
          <w:rFonts w:hint="eastAsia" w:ascii="宋体" w:hAnsi="宋体" w:eastAsia="宋体" w:cs="宋体"/>
          <w:b w:val="0"/>
          <w:bCs w:val="0"/>
          <w:color w:val="0C0C0C"/>
          <w:sz w:val="28"/>
          <w:szCs w:val="28"/>
          <w:lang w:val="en-US" w:eastAsia="zh-CN"/>
        </w:rPr>
      </w:pPr>
      <w:r>
        <w:rPr>
          <w:rFonts w:hint="eastAsia" w:ascii="宋体" w:hAnsi="宋体" w:cs="宋体"/>
          <w:b w:val="0"/>
          <w:bCs w:val="0"/>
          <w:sz w:val="28"/>
          <w:szCs w:val="28"/>
          <w:lang w:val="en-US" w:eastAsia="zh-CN"/>
        </w:rPr>
        <w:t>基础信息管理：</w:t>
      </w:r>
      <w:r>
        <w:rPr>
          <w:rFonts w:hint="eastAsia" w:ascii="宋体" w:hAnsi="宋体" w:eastAsia="宋体" w:cs="宋体"/>
          <w:b w:val="0"/>
          <w:bCs w:val="0"/>
          <w:color w:val="0C0C0C"/>
          <w:sz w:val="28"/>
          <w:szCs w:val="28"/>
          <w:lang w:val="en-US" w:eastAsia="zh-CN"/>
        </w:rPr>
        <w:t>预交金电子凭证号段管理：含预交金电子凭证号段入库、号段分发、号段回收、凭证号段预警设置等。</w:t>
      </w:r>
    </w:p>
    <w:p>
      <w:pPr>
        <w:numPr>
          <w:ilvl w:val="0"/>
          <w:numId w:val="7"/>
        </w:numPr>
        <w:wordWrap/>
        <w:adjustRightInd/>
        <w:snapToGrid/>
        <w:spacing w:before="0" w:after="0" w:line="590" w:lineRule="exact"/>
        <w:ind w:left="0" w:leftChars="0" w:right="0" w:firstLine="48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预交金电子凭证开具管理：</w:t>
      </w:r>
      <w:r>
        <w:rPr>
          <w:rFonts w:hint="eastAsia" w:ascii="宋体" w:hAnsi="宋体" w:eastAsia="宋体" w:cs="宋体"/>
          <w:b w:val="0"/>
          <w:bCs w:val="0"/>
          <w:color w:val="0C0C0C"/>
          <w:sz w:val="28"/>
          <w:szCs w:val="28"/>
          <w:lang w:val="en-US" w:eastAsia="zh-CN"/>
        </w:rPr>
        <w:t>与HIS系统对接，预交金充值、退款、结算、结算撤销时请求预交金电子凭证管理平台开具预交金电子凭证等。</w:t>
      </w:r>
      <w:r>
        <w:rPr>
          <w:rFonts w:hint="eastAsia" w:ascii="宋体" w:hAnsi="宋体" w:cs="宋体"/>
          <w:b w:val="0"/>
          <w:bCs w:val="0"/>
          <w:color w:val="0C0C0C"/>
          <w:sz w:val="28"/>
          <w:szCs w:val="28"/>
          <w:lang w:val="en-US" w:eastAsia="zh-CN"/>
        </w:rPr>
        <w:t>包含</w:t>
      </w:r>
      <w:r>
        <w:rPr>
          <w:rFonts w:hint="eastAsia" w:ascii="宋体" w:hAnsi="宋体" w:eastAsia="宋体" w:cs="宋体"/>
          <w:b w:val="0"/>
          <w:bCs w:val="0"/>
          <w:sz w:val="28"/>
          <w:szCs w:val="28"/>
        </w:rPr>
        <w:t>预交金开具</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预交金退费</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预交金结算</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预交金结算撤销</w:t>
      </w:r>
      <w:r>
        <w:rPr>
          <w:rFonts w:hint="eastAsia" w:ascii="宋体" w:hAnsi="宋体" w:cs="宋体"/>
          <w:b w:val="0"/>
          <w:bCs w:val="0"/>
          <w:sz w:val="28"/>
          <w:szCs w:val="28"/>
          <w:lang w:val="en-US" w:eastAsia="zh-CN"/>
        </w:rPr>
        <w:t>等。</w:t>
      </w:r>
    </w:p>
    <w:p>
      <w:pPr>
        <w:numPr>
          <w:ilvl w:val="0"/>
          <w:numId w:val="7"/>
        </w:numPr>
        <w:wordWrap/>
        <w:adjustRightInd/>
        <w:snapToGrid/>
        <w:spacing w:before="0" w:after="0" w:line="590" w:lineRule="exact"/>
        <w:ind w:left="0" w:leftChars="0" w:right="0" w:firstLine="480" w:firstLineChars="200"/>
        <w:textAlignment w:val="auto"/>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预交金电子凭证交付管理：</w:t>
      </w:r>
    </w:p>
    <w:p>
      <w:pPr>
        <w:pStyle w:val="4"/>
        <w:numPr>
          <w:ilvl w:val="0"/>
          <w:numId w:val="8"/>
        </w:numPr>
        <w:wordWrap/>
        <w:adjustRightInd/>
        <w:snapToGrid/>
        <w:spacing w:before="0" w:after="0" w:line="590" w:lineRule="exact"/>
        <w:ind w:left="0" w:leftChars="0" w:right="0" w:firstLine="48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取票小程序交付</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将</w:t>
      </w:r>
      <w:r>
        <w:rPr>
          <w:rFonts w:hint="eastAsia" w:ascii="宋体" w:hAnsi="宋体" w:eastAsia="宋体" w:cs="宋体"/>
          <w:b w:val="0"/>
          <w:bCs w:val="0"/>
          <w:sz w:val="28"/>
          <w:szCs w:val="28"/>
        </w:rPr>
        <w:t>预交金电子凭证信息</w:t>
      </w:r>
      <w:r>
        <w:rPr>
          <w:rFonts w:hint="eastAsia" w:ascii="宋体" w:hAnsi="宋体" w:eastAsia="宋体" w:cs="宋体"/>
          <w:b w:val="0"/>
          <w:bCs w:val="0"/>
          <w:sz w:val="28"/>
          <w:szCs w:val="28"/>
          <w:lang w:val="en-US" w:eastAsia="zh-CN"/>
        </w:rPr>
        <w:t>交付至</w:t>
      </w:r>
      <w:r>
        <w:rPr>
          <w:rFonts w:hint="eastAsia" w:ascii="宋体" w:hAnsi="宋体" w:eastAsia="宋体" w:cs="宋体"/>
          <w:b w:val="0"/>
          <w:bCs w:val="0"/>
          <w:sz w:val="28"/>
          <w:szCs w:val="28"/>
        </w:rPr>
        <w:t>取票小程序，取票小程序根据患者手机号、身份证号自动归集预交金电子凭证，当患者/缴款人登录取票小程序，即可看到该患者/缴款人相关的预交金电子凭证。</w:t>
      </w:r>
    </w:p>
    <w:p>
      <w:pPr>
        <w:pStyle w:val="4"/>
        <w:numPr>
          <w:ilvl w:val="0"/>
          <w:numId w:val="8"/>
        </w:numPr>
        <w:wordWrap/>
        <w:adjustRightInd/>
        <w:snapToGrid/>
        <w:spacing w:before="0" w:after="0" w:line="590" w:lineRule="exact"/>
        <w:ind w:left="0" w:leftChars="0" w:right="0" w:firstLine="480" w:firstLineChars="200"/>
        <w:textAlignment w:val="auto"/>
        <w:outlineLvl w:val="9"/>
        <w:rPr>
          <w:rFonts w:hint="eastAsia" w:ascii="宋体" w:hAnsi="宋体" w:cs="宋体"/>
          <w:b w:val="0"/>
          <w:bCs w:val="0"/>
          <w:sz w:val="28"/>
          <w:szCs w:val="28"/>
          <w:lang w:val="en-US" w:eastAsia="zh-CN"/>
        </w:rPr>
      </w:pPr>
      <w:r>
        <w:rPr>
          <w:rFonts w:hint="eastAsia" w:ascii="宋体" w:hAnsi="宋体" w:eastAsia="宋体" w:cs="宋体"/>
          <w:b w:val="0"/>
          <w:bCs w:val="0"/>
          <w:sz w:val="28"/>
          <w:szCs w:val="28"/>
          <w:lang w:val="en-US" w:eastAsia="zh-CN"/>
        </w:rPr>
        <w:t>公众号交付：</w:t>
      </w:r>
      <w:r>
        <w:rPr>
          <w:rFonts w:hint="eastAsia" w:ascii="宋体" w:hAnsi="宋体" w:cs="宋体"/>
          <w:b w:val="0"/>
          <w:bCs w:val="0"/>
          <w:sz w:val="28"/>
          <w:szCs w:val="28"/>
          <w:lang w:val="en-US" w:eastAsia="zh-CN"/>
        </w:rPr>
        <w:t>通过医院</w:t>
      </w:r>
      <w:r>
        <w:rPr>
          <w:rFonts w:hint="eastAsia" w:ascii="宋体" w:hAnsi="宋体" w:eastAsia="宋体" w:cs="宋体"/>
          <w:b w:val="0"/>
          <w:bCs w:val="0"/>
          <w:sz w:val="28"/>
          <w:szCs w:val="28"/>
          <w:lang w:val="en-US" w:eastAsia="zh-CN"/>
        </w:rPr>
        <w:t>自建公众号，</w:t>
      </w:r>
      <w:r>
        <w:rPr>
          <w:rFonts w:hint="eastAsia" w:ascii="宋体" w:hAnsi="宋体" w:eastAsia="宋体" w:cs="宋体"/>
          <w:b w:val="0"/>
          <w:bCs w:val="0"/>
          <w:sz w:val="28"/>
          <w:szCs w:val="28"/>
          <w:lang w:val="en-US"/>
        </w:rPr>
        <w:t>可以将电子凭证系统返回的H5链接</w:t>
      </w:r>
      <w:r>
        <w:rPr>
          <w:rFonts w:hint="eastAsia" w:ascii="宋体" w:hAnsi="宋体" w:cs="宋体"/>
          <w:b w:val="0"/>
          <w:bCs w:val="0"/>
          <w:sz w:val="28"/>
          <w:szCs w:val="28"/>
          <w:lang w:val="en-US" w:eastAsia="zh-CN"/>
        </w:rPr>
        <w:t>并</w:t>
      </w:r>
      <w:r>
        <w:rPr>
          <w:rFonts w:hint="eastAsia" w:ascii="宋体" w:hAnsi="宋体" w:eastAsia="宋体" w:cs="宋体"/>
          <w:b w:val="0"/>
          <w:bCs w:val="0"/>
          <w:sz w:val="28"/>
          <w:szCs w:val="28"/>
          <w:lang w:val="en-US"/>
        </w:rPr>
        <w:t>挂接到公众号上，将对应凭证推送给患者</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lang w:val="en-US"/>
        </w:rPr>
        <w:t>患者</w:t>
      </w:r>
      <w:r>
        <w:rPr>
          <w:rFonts w:hint="eastAsia" w:ascii="宋体" w:hAnsi="宋体" w:eastAsia="宋体" w:cs="宋体"/>
          <w:b w:val="0"/>
          <w:bCs w:val="0"/>
          <w:sz w:val="28"/>
          <w:szCs w:val="28"/>
          <w:lang w:val="en-US" w:eastAsia="zh-CN"/>
        </w:rPr>
        <w:t>查看详情时，跳转到电子凭证H5查看电子凭证，</w:t>
      </w:r>
      <w:r>
        <w:rPr>
          <w:rFonts w:hint="eastAsia" w:ascii="宋体" w:hAnsi="宋体" w:cs="宋体"/>
          <w:b w:val="0"/>
          <w:bCs w:val="0"/>
          <w:sz w:val="28"/>
          <w:szCs w:val="28"/>
          <w:lang w:val="en-US" w:eastAsia="zh-CN"/>
        </w:rPr>
        <w:t>同时</w:t>
      </w:r>
      <w:r>
        <w:rPr>
          <w:rFonts w:hint="eastAsia" w:ascii="宋体" w:hAnsi="宋体" w:eastAsia="宋体" w:cs="宋体"/>
          <w:b w:val="0"/>
          <w:bCs w:val="0"/>
          <w:sz w:val="28"/>
          <w:szCs w:val="28"/>
          <w:lang w:val="en-US" w:eastAsia="zh-CN"/>
        </w:rPr>
        <w:t>支持发送到邮箱。</w:t>
      </w:r>
    </w:p>
    <w:p>
      <w:pPr>
        <w:numPr>
          <w:ilvl w:val="0"/>
          <w:numId w:val="7"/>
        </w:numPr>
        <w:wordWrap/>
        <w:adjustRightInd/>
        <w:snapToGrid/>
        <w:spacing w:before="0" w:after="0" w:line="590" w:lineRule="exact"/>
        <w:ind w:left="0" w:leftChars="0" w:right="0" w:firstLine="480" w:firstLineChars="200"/>
        <w:textAlignment w:val="auto"/>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预交金电子凭证综合报表管理：包含各种预交金明细报表、预交金汇总报表等，可通过开票点、业务日期、凭证种类、凭证状态、凭证号码、患者姓名等维度进行预交金开具数据查询，并支持导出、打印查询结果。</w:t>
      </w:r>
    </w:p>
    <w:p>
      <w:pPr>
        <w:numPr>
          <w:ilvl w:val="0"/>
          <w:numId w:val="7"/>
        </w:numPr>
        <w:wordWrap/>
        <w:adjustRightInd/>
        <w:snapToGrid/>
        <w:spacing w:before="0" w:after="0" w:line="590" w:lineRule="exact"/>
        <w:ind w:left="0" w:leftChars="0" w:right="0" w:firstLine="480" w:firstLineChars="200"/>
        <w:textAlignment w:val="auto"/>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预交金电子凭证相关接口</w:t>
      </w:r>
    </w:p>
    <w:p>
      <w:pPr>
        <w:numPr>
          <w:numId w:val="0"/>
        </w:numPr>
        <w:wordWrap/>
        <w:adjustRightInd/>
        <w:snapToGrid/>
        <w:spacing w:before="0" w:after="0" w:line="590" w:lineRule="exact"/>
        <w:ind w:left="0" w:leftChars="0" w:right="0" w:firstLine="480" w:firstLineChars="200"/>
        <w:textAlignment w:val="auto"/>
        <w:outlineLvl w:val="9"/>
        <w:rPr>
          <w:rFonts w:hint="eastAsia" w:ascii="宋体" w:hAnsi="宋体" w:eastAsia="宋体" w:cs="仿宋"/>
          <w:b w:val="0"/>
          <w:bCs w:val="0"/>
          <w:sz w:val="28"/>
          <w:szCs w:val="28"/>
          <w:lang w:val="en-US"/>
        </w:rPr>
      </w:pPr>
      <w:r>
        <w:rPr>
          <w:rFonts w:hint="eastAsia" w:ascii="宋体" w:hAnsi="宋体" w:cs="仿宋"/>
          <w:b w:val="0"/>
          <w:bCs w:val="0"/>
          <w:sz w:val="28"/>
          <w:szCs w:val="28"/>
          <w:lang w:val="en-US" w:eastAsia="zh-CN"/>
        </w:rPr>
        <w:t>包含</w:t>
      </w:r>
      <w:r>
        <w:rPr>
          <w:rFonts w:hint="eastAsia" w:ascii="宋体" w:hAnsi="宋体" w:eastAsia="宋体" w:cs="仿宋"/>
          <w:b w:val="0"/>
          <w:bCs w:val="0"/>
          <w:sz w:val="28"/>
          <w:szCs w:val="28"/>
          <w:lang w:val="en-US" w:eastAsia="zh-CN"/>
        </w:rPr>
        <w:t>预交金电子凭证开具接口、预交金退款电子凭证开具接口、预交金电子凭证打印接口、</w:t>
      </w:r>
      <w:r>
        <w:rPr>
          <w:rFonts w:hint="eastAsia" w:ascii="宋体" w:hAnsi="宋体" w:eastAsia="宋体" w:cs="仿宋"/>
          <w:b w:val="0"/>
          <w:bCs w:val="0"/>
          <w:sz w:val="28"/>
          <w:szCs w:val="28"/>
          <w:lang w:val="en-US"/>
        </w:rPr>
        <w:t>获取</w:t>
      </w:r>
      <w:r>
        <w:rPr>
          <w:rFonts w:hint="eastAsia" w:ascii="宋体" w:hAnsi="宋体" w:eastAsia="宋体" w:cs="仿宋"/>
          <w:b w:val="0"/>
          <w:bCs w:val="0"/>
          <w:sz w:val="28"/>
          <w:szCs w:val="28"/>
          <w:lang w:val="en-US" w:eastAsia="zh-CN"/>
        </w:rPr>
        <w:t>预交金H5</w:t>
      </w:r>
      <w:r>
        <w:rPr>
          <w:rFonts w:hint="eastAsia" w:ascii="宋体" w:hAnsi="宋体" w:eastAsia="宋体" w:cs="仿宋"/>
          <w:b w:val="0"/>
          <w:bCs w:val="0"/>
          <w:sz w:val="28"/>
          <w:szCs w:val="28"/>
          <w:lang w:val="en-US"/>
        </w:rPr>
        <w:t>地址</w:t>
      </w:r>
      <w:r>
        <w:rPr>
          <w:rFonts w:hint="eastAsia" w:ascii="宋体" w:hAnsi="宋体" w:eastAsia="宋体" w:cs="仿宋"/>
          <w:b w:val="0"/>
          <w:bCs w:val="0"/>
          <w:sz w:val="28"/>
          <w:szCs w:val="28"/>
          <w:lang w:val="en-US" w:eastAsia="zh-CN"/>
        </w:rPr>
        <w:t>接口、</w:t>
      </w:r>
      <w:r>
        <w:rPr>
          <w:rFonts w:hint="eastAsia" w:ascii="宋体" w:hAnsi="宋体" w:eastAsia="宋体" w:cs="仿宋"/>
          <w:b w:val="0"/>
          <w:bCs w:val="0"/>
          <w:sz w:val="28"/>
          <w:szCs w:val="28"/>
          <w:lang w:val="en-US"/>
        </w:rPr>
        <w:t>接收预交金开具汇总核对数据接口</w:t>
      </w:r>
      <w:r>
        <w:rPr>
          <w:rFonts w:hint="eastAsia" w:ascii="宋体" w:hAnsi="宋体" w:eastAsia="宋体" w:cs="仿宋"/>
          <w:b w:val="0"/>
          <w:bCs w:val="0"/>
          <w:sz w:val="28"/>
          <w:szCs w:val="28"/>
          <w:lang w:val="en-US" w:eastAsia="zh-CN"/>
        </w:rPr>
        <w:t>、</w:t>
      </w:r>
      <w:r>
        <w:rPr>
          <w:rFonts w:hint="eastAsia" w:ascii="宋体" w:hAnsi="宋体" w:eastAsia="宋体" w:cs="仿宋"/>
          <w:b w:val="0"/>
          <w:bCs w:val="0"/>
          <w:sz w:val="28"/>
          <w:szCs w:val="28"/>
          <w:lang w:val="en-US"/>
        </w:rPr>
        <w:t>查询预交金开具汇总核对数据结果接口</w:t>
      </w:r>
      <w:r>
        <w:rPr>
          <w:rFonts w:hint="eastAsia" w:ascii="宋体" w:hAnsi="宋体" w:cs="仿宋"/>
          <w:b w:val="0"/>
          <w:bCs w:val="0"/>
          <w:sz w:val="28"/>
          <w:szCs w:val="28"/>
          <w:lang w:val="en-US" w:eastAsia="zh-CN"/>
        </w:rPr>
        <w:t>等相关接口</w:t>
      </w:r>
    </w:p>
    <w:p>
      <w:pPr>
        <w:numPr>
          <w:ilvl w:val="0"/>
          <w:numId w:val="6"/>
        </w:numPr>
        <w:wordWrap/>
        <w:adjustRightInd/>
        <w:snapToGrid/>
        <w:spacing w:before="0" w:after="0" w:line="590" w:lineRule="exact"/>
        <w:ind w:left="0" w:leftChars="0" w:right="0" w:firstLine="482"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医院预交金电子凭证存档</w:t>
      </w:r>
      <w:r>
        <w:rPr>
          <w:rFonts w:hint="eastAsia" w:ascii="宋体" w:hAnsi="宋体" w:cs="宋体"/>
          <w:b w:val="0"/>
          <w:bCs w:val="0"/>
          <w:sz w:val="28"/>
          <w:szCs w:val="28"/>
          <w:lang w:val="en-US" w:eastAsia="zh-CN"/>
        </w:rPr>
        <w:t>管理</w:t>
      </w:r>
    </w:p>
    <w:p>
      <w:pPr>
        <w:numPr>
          <w:ilvl w:val="0"/>
          <w:numId w:val="9"/>
        </w:numPr>
        <w:wordWrap/>
        <w:adjustRightInd/>
        <w:snapToGrid/>
        <w:spacing w:before="0" w:after="0" w:line="590" w:lineRule="exact"/>
        <w:ind w:left="0" w:leftChars="0" w:right="0" w:firstLine="48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电子凭证存储：可将开具的电子凭证保存留底，按日期进行归档，方便分表检索。</w:t>
      </w:r>
    </w:p>
    <w:p>
      <w:pPr>
        <w:numPr>
          <w:ilvl w:val="0"/>
          <w:numId w:val="9"/>
        </w:numPr>
        <w:wordWrap/>
        <w:adjustRightInd/>
        <w:snapToGrid/>
        <w:spacing w:before="0" w:after="0" w:line="590" w:lineRule="exact"/>
        <w:ind w:left="0" w:leftChars="0" w:right="0" w:firstLine="48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电子凭证输出：可按照就诊人、电子凭证号等查询条件，在管理平台中查询电子凭证，并可查看详细的电子凭证信息。同时，系统提供打印和导出功能，满足业务人员导出数据核对需求。</w:t>
      </w:r>
    </w:p>
    <w:p>
      <w:pPr>
        <w:numPr>
          <w:ilvl w:val="0"/>
          <w:numId w:val="6"/>
        </w:numPr>
        <w:wordWrap/>
        <w:adjustRightInd/>
        <w:snapToGrid/>
        <w:spacing w:before="0" w:after="0" w:line="590" w:lineRule="exact"/>
        <w:ind w:left="0" w:leftChars="0" w:right="0" w:firstLine="482"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收费开票数据核对平台</w:t>
      </w:r>
    </w:p>
    <w:p>
      <w:pPr>
        <w:numPr>
          <w:numId w:val="0"/>
        </w:numPr>
        <w:wordWrap/>
        <w:adjustRightInd/>
        <w:snapToGrid/>
        <w:spacing w:before="0" w:after="0" w:line="590" w:lineRule="exact"/>
        <w:ind w:left="0" w:leftChars="0" w:right="0" w:firstLine="480" w:firstLineChars="200"/>
        <w:textAlignment w:val="auto"/>
        <w:outlineLvl w:val="9"/>
        <w:rPr>
          <w:rFonts w:hint="eastAsia" w:ascii="宋体" w:hAnsi="宋体" w:eastAsia="宋体" w:cs="仿宋"/>
          <w:b w:val="0"/>
          <w:bCs w:val="0"/>
          <w:sz w:val="28"/>
          <w:szCs w:val="28"/>
        </w:rPr>
      </w:pPr>
      <w:r>
        <w:rPr>
          <w:rFonts w:hint="eastAsia" w:ascii="宋体" w:hAnsi="宋体" w:eastAsia="宋体" w:cs="仿宋"/>
          <w:b w:val="0"/>
          <w:bCs w:val="0"/>
          <w:sz w:val="28"/>
          <w:szCs w:val="28"/>
        </w:rPr>
        <w:t>针对医院HIS系统提供收费结算数据与预交金电子凭证管理平台提供的开具凭证信息，详细记录患者在院期间的费用去向，包括预交费用金额、费用支出、退费金额等具体信息，形成完整的明细流水账清单，便于医院了解每笔收入的进出账情况。</w:t>
      </w:r>
    </w:p>
    <w:p>
      <w:pPr>
        <w:numPr>
          <w:numId w:val="0"/>
        </w:numPr>
        <w:wordWrap/>
        <w:adjustRightInd/>
        <w:snapToGrid/>
        <w:spacing w:before="0" w:after="0" w:line="590" w:lineRule="exact"/>
        <w:ind w:left="0" w:leftChars="0" w:right="0" w:firstLine="480" w:firstLineChars="200"/>
        <w:textAlignment w:val="auto"/>
        <w:outlineLvl w:val="9"/>
        <w:rPr>
          <w:rFonts w:hint="eastAsia" w:ascii="宋体" w:hAnsi="宋体" w:eastAsia="宋体" w:cs="仿宋"/>
          <w:b w:val="0"/>
          <w:bCs w:val="0"/>
          <w:sz w:val="28"/>
          <w:szCs w:val="28"/>
        </w:rPr>
      </w:pPr>
      <w:r>
        <w:rPr>
          <w:rFonts w:hint="eastAsia" w:ascii="宋体" w:hAnsi="宋体" w:eastAsia="宋体" w:cs="仿宋"/>
          <w:b w:val="0"/>
          <w:bCs w:val="0"/>
          <w:sz w:val="28"/>
          <w:szCs w:val="28"/>
        </w:rPr>
        <w:t>HIS系统与</w:t>
      </w:r>
      <w:r>
        <w:rPr>
          <w:rFonts w:hint="eastAsia" w:ascii="宋体" w:hAnsi="宋体" w:cs="仿宋"/>
          <w:b w:val="0"/>
          <w:bCs w:val="0"/>
          <w:sz w:val="28"/>
          <w:szCs w:val="28"/>
          <w:lang w:eastAsia="zh-CN"/>
        </w:rPr>
        <w:t>预交金电子凭证管理平台</w:t>
      </w:r>
      <w:r>
        <w:rPr>
          <w:rFonts w:hint="eastAsia" w:ascii="宋体" w:hAnsi="宋体" w:eastAsia="宋体" w:cs="仿宋"/>
          <w:b w:val="0"/>
          <w:bCs w:val="0"/>
          <w:sz w:val="28"/>
          <w:szCs w:val="28"/>
        </w:rPr>
        <w:t>对接，每日自动核对数据，生成核对日报，人工复核对账结果。</w:t>
      </w:r>
    </w:p>
    <w:p>
      <w:pPr>
        <w:numPr>
          <w:ilvl w:val="0"/>
          <w:numId w:val="6"/>
        </w:numPr>
        <w:wordWrap/>
        <w:adjustRightInd/>
        <w:snapToGrid/>
        <w:spacing w:before="0" w:after="0" w:line="590" w:lineRule="exact"/>
        <w:ind w:left="0" w:leftChars="0" w:right="0" w:firstLine="482"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CA电子签名系统接口</w:t>
      </w:r>
    </w:p>
    <w:p>
      <w:pPr>
        <w:wordWrap/>
        <w:adjustRightInd/>
        <w:snapToGrid/>
        <w:spacing w:before="0" w:after="0" w:line="590" w:lineRule="exact"/>
        <w:ind w:left="0" w:leftChars="0" w:right="0" w:firstLine="48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仿宋"/>
          <w:b w:val="0"/>
          <w:bCs w:val="0"/>
          <w:sz w:val="28"/>
          <w:szCs w:val="28"/>
          <w:lang w:val="en-US" w:eastAsia="zh-CN"/>
        </w:rPr>
        <w:t>预交金</w:t>
      </w:r>
      <w:r>
        <w:rPr>
          <w:rFonts w:hint="eastAsia" w:ascii="宋体" w:hAnsi="宋体" w:eastAsia="宋体" w:cs="宋体"/>
          <w:b w:val="0"/>
          <w:bCs w:val="0"/>
          <w:sz w:val="28"/>
          <w:szCs w:val="28"/>
          <w:lang w:val="en-US" w:eastAsia="zh-CN"/>
        </w:rPr>
        <w:t>电子凭证管理</w:t>
      </w:r>
      <w:r>
        <w:rPr>
          <w:rFonts w:hint="eastAsia" w:ascii="宋体" w:hAnsi="宋体" w:eastAsia="宋体" w:cs="仿宋"/>
          <w:b w:val="0"/>
          <w:bCs w:val="0"/>
          <w:sz w:val="28"/>
          <w:szCs w:val="28"/>
        </w:rPr>
        <w:t>需实现CA电子签名认证，支持与CA电子签名认证系统对接。</w:t>
      </w:r>
    </w:p>
    <w:p>
      <w:pPr>
        <w:numPr>
          <w:ilvl w:val="0"/>
          <w:numId w:val="6"/>
        </w:numPr>
        <w:wordWrap/>
        <w:adjustRightInd/>
        <w:snapToGrid/>
        <w:spacing w:before="0" w:after="0" w:line="590" w:lineRule="exact"/>
        <w:ind w:left="0" w:leftChars="0" w:right="0" w:firstLine="482"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打印及通知接口</w:t>
      </w:r>
    </w:p>
    <w:p>
      <w:pPr>
        <w:wordWrap/>
        <w:adjustRightInd/>
        <w:snapToGrid/>
        <w:spacing w:before="0" w:after="0" w:line="590" w:lineRule="exact"/>
        <w:ind w:left="0" w:leftChars="0" w:right="0" w:firstLine="48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仿宋"/>
          <w:b w:val="0"/>
          <w:bCs w:val="0"/>
          <w:sz w:val="28"/>
          <w:szCs w:val="28"/>
        </w:rPr>
        <w:t>提供预交金电子凭证打印接口，供HIS系统调用接口进行打印及发送预交金电子凭证。</w:t>
      </w:r>
    </w:p>
    <w:p>
      <w:pPr>
        <w:pStyle w:val="4"/>
        <w:adjustRightInd w:val="0"/>
        <w:snapToGrid w:val="0"/>
        <w:spacing w:line="590" w:lineRule="exact"/>
        <w:ind w:firstLine="0"/>
        <w:jc w:val="center"/>
        <w:rPr>
          <w:rFonts w:hint="eastAsia" w:ascii="仿宋_GB2312" w:hAnsi="仿宋_GB2312" w:eastAsia="仿宋_GB2312" w:cs="仿宋_GB2312"/>
          <w:b/>
          <w:sz w:val="32"/>
          <w:szCs w:val="32"/>
          <w:highlight w:val="none"/>
        </w:rPr>
      </w:pPr>
    </w:p>
    <w:p>
      <w:pPr>
        <w:pStyle w:val="4"/>
        <w:adjustRightInd w:val="0"/>
        <w:snapToGrid w:val="0"/>
        <w:spacing w:line="590" w:lineRule="exact"/>
        <w:ind w:firstLine="0"/>
        <w:jc w:val="center"/>
        <w:rPr>
          <w:rFonts w:hint="eastAsia" w:ascii="仿宋_GB2312" w:hAnsi="仿宋_GB2312" w:eastAsia="仿宋_GB2312" w:cs="仿宋_GB2312"/>
          <w:b/>
          <w:sz w:val="32"/>
          <w:szCs w:val="32"/>
          <w:highlight w:val="none"/>
        </w:rPr>
      </w:pPr>
    </w:p>
    <w:p>
      <w:pPr>
        <w:pStyle w:val="4"/>
        <w:adjustRightInd w:val="0"/>
        <w:snapToGrid w:val="0"/>
        <w:spacing w:line="590" w:lineRule="exact"/>
        <w:ind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4"/>
        <w:adjustRightInd w:val="0"/>
        <w:snapToGrid w:val="0"/>
        <w:spacing w:line="59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一、投标书</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line="59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line="590" w:lineRule="exact"/>
        <w:ind w:firstLine="600"/>
        <w:rPr>
          <w:rFonts w:hint="eastAsia" w:ascii="仿宋_GB2312" w:hAnsi="仿宋_GB2312" w:eastAsia="仿宋_GB2312" w:cs="仿宋_GB2312"/>
          <w:sz w:val="32"/>
          <w:szCs w:val="32"/>
          <w:highlight w:val="none"/>
        </w:rPr>
      </w:pPr>
    </w:p>
    <w:p>
      <w:pPr>
        <w:adjustRightInd w:val="0"/>
        <w:snapToGrid w:val="0"/>
        <w:spacing w:line="590" w:lineRule="exact"/>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line="590" w:lineRule="exact"/>
        <w:rPr>
          <w:rFonts w:hint="eastAsia" w:ascii="仿宋_GB2312" w:hAnsi="仿宋_GB2312" w:eastAsia="仿宋_GB2312" w:cs="仿宋_GB2312"/>
          <w:sz w:val="32"/>
          <w:szCs w:val="32"/>
          <w:highlight w:val="none"/>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3"/>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3"/>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bl>
    <w:p>
      <w:pPr>
        <w:adjustRightInd w:val="0"/>
        <w:snapToGrid w:val="0"/>
        <w:spacing w:line="590" w:lineRule="exact"/>
        <w:jc w:val="center"/>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二、投标委托代表人资格证明书</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w:t>
      </w:r>
      <w:r>
        <w:rPr>
          <w:rFonts w:hint="eastAsia" w:ascii="仿宋_GB2312" w:hAnsi="仿宋_GB2312" w:eastAsia="仿宋_GB2312" w:cs="仿宋_GB2312"/>
          <w:sz w:val="32"/>
          <w:szCs w:val="32"/>
          <w:highlight w:val="none"/>
          <w:lang w:val="en-US" w:eastAsia="zh-CN"/>
        </w:rPr>
        <w:t>联系方式：</w:t>
      </w:r>
      <w:r>
        <w:rPr>
          <w:rFonts w:hint="eastAsia" w:ascii="仿宋_GB2312" w:hAnsi="仿宋_GB2312" w:eastAsia="仿宋_GB2312" w:cs="仿宋_GB2312"/>
          <w:sz w:val="32"/>
          <w:szCs w:val="32"/>
          <w:highlight w:val="none"/>
        </w:rPr>
        <w:t xml:space="preserve">   系委托代表人。为施工、竣工和保修项目，签署上述项目的投标文件、进行合同谈判、签署合同和处理与之有关的一切事务。</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ind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三、投标承诺书</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四、投标方案</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line="590" w:lineRule="exact"/>
        <w:ind w:left="33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五、投标人提交的其它材料</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bookmarkEnd w:id="0"/>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4052021">
    <w:nsid w:val="66C2F235"/>
    <w:multiLevelType w:val="singleLevel"/>
    <w:tmpl w:val="66C2F235"/>
    <w:lvl w:ilvl="0" w:tentative="1">
      <w:start w:val="1"/>
      <w:numFmt w:val="decimalEnclosedCircleChinese"/>
      <w:suff w:val="nothing"/>
      <w:lvlText w:val="%1　"/>
      <w:lvlJc w:val="left"/>
      <w:pPr>
        <w:ind w:left="0" w:leftChars="0" w:firstLine="400" w:firstLineChars="0"/>
      </w:pPr>
      <w:rPr>
        <w:rFonts w:hint="eastAsia"/>
      </w:rPr>
    </w:lvl>
  </w:abstractNum>
  <w:abstractNum w:abstractNumId="386881836">
    <w:nsid w:val="170F592C"/>
    <w:multiLevelType w:val="multilevel"/>
    <w:tmpl w:val="170F592C"/>
    <w:lvl w:ilvl="0" w:tentative="1">
      <w:start w:val="1"/>
      <w:numFmt w:val="decimal"/>
      <w:lvlText w:val="%1"/>
      <w:lvlJc w:val="left"/>
      <w:pPr>
        <w:ind w:left="425" w:hanging="425"/>
      </w:pPr>
    </w:lvl>
    <w:lvl w:ilvl="1" w:tentative="1">
      <w:start w:val="1"/>
      <w:numFmt w:val="decimal"/>
      <w:pStyle w:val="2"/>
      <w:lvlText w:val="%2."/>
      <w:lvlJc w:val="left"/>
      <w:pPr>
        <w:ind w:left="992" w:hanging="567"/>
      </w:pPr>
      <w:rPr>
        <w:rFonts w:ascii="Times New Roman" w:hAnsi="Times New Roman" w:cs="Times New Roman"/>
        <w:b w:val="0"/>
        <w:bCs w:val="0"/>
        <w:i w:val="0"/>
        <w:iCs w:val="0"/>
        <w:caps w:val="0"/>
        <w:smallCaps w:val="0"/>
        <w:strike w:val="0"/>
        <w:dstrike w:val="0"/>
        <w:snapToGrid w:val="0"/>
        <w:color w:val="000000"/>
        <w:spacing w:val="0"/>
        <w:w w:val="0"/>
        <w:kern w:val="0"/>
        <w:position w:val="0"/>
        <w:sz w:val="16"/>
        <w:szCs w:val="16"/>
        <w:u w:val="none" w:color="000000"/>
        <w:shd w:val="clear" w:color="000000" w:fill="000000"/>
        <w:lang w:val="zh-CN" w:eastAsia="zh-CN" w:bidi="zh-CN"/>
      </w:r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2257841487">
    <w:nsid w:val="8693ED4F"/>
    <w:multiLevelType w:val="singleLevel"/>
    <w:tmpl w:val="8693ED4F"/>
    <w:lvl w:ilvl="0" w:tentative="1">
      <w:start w:val="1"/>
      <w:numFmt w:val="chineseCounting"/>
      <w:suff w:val="nothing"/>
      <w:lvlText w:val="（%1）"/>
      <w:lvlJc w:val="left"/>
      <w:rPr>
        <w:rFonts w:hint="eastAsia"/>
      </w:r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1724054838">
    <w:nsid w:val="66C2FD36"/>
    <w:multiLevelType w:val="singleLevel"/>
    <w:tmpl w:val="66C2FD36"/>
    <w:lvl w:ilvl="0" w:tentative="1">
      <w:start w:val="1"/>
      <w:numFmt w:val="decimal"/>
      <w:suff w:val="nothing"/>
      <w:lvlText w:val="%1．"/>
      <w:lvlJc w:val="left"/>
      <w:pPr>
        <w:ind w:left="0" w:leftChars="0" w:firstLine="400" w:firstLineChars="0"/>
      </w:pPr>
      <w:rPr>
        <w:rFonts w:hint="default"/>
      </w:rPr>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abstractNum w:abstractNumId="1724050819">
    <w:nsid w:val="66C2ED83"/>
    <w:multiLevelType w:val="singleLevel"/>
    <w:tmpl w:val="66C2ED83"/>
    <w:lvl w:ilvl="0" w:tentative="1">
      <w:start w:val="1"/>
      <w:numFmt w:val="decimal"/>
      <w:suff w:val="nothing"/>
      <w:lvlText w:val="%1．"/>
      <w:lvlJc w:val="left"/>
      <w:pPr>
        <w:ind w:left="0" w:leftChars="0" w:firstLine="400" w:firstLineChars="0"/>
      </w:pPr>
      <w:rPr>
        <w:rFonts w:hint="default"/>
      </w:rPr>
    </w:lvl>
  </w:abstractNum>
  <w:abstractNum w:abstractNumId="1675063653">
    <w:nsid w:val="63D77165"/>
    <w:multiLevelType w:val="singleLevel"/>
    <w:tmpl w:val="63D77165"/>
    <w:lvl w:ilvl="0" w:tentative="1">
      <w:start w:val="2"/>
      <w:numFmt w:val="decimal"/>
      <w:suff w:val="nothing"/>
      <w:lvlText w:val="%1、"/>
      <w:lvlJc w:val="left"/>
    </w:lvl>
  </w:abstractNum>
  <w:abstractNum w:abstractNumId="3996564523">
    <w:nsid w:val="EE36BC2B"/>
    <w:multiLevelType w:val="singleLevel"/>
    <w:tmpl w:val="EE36BC2B"/>
    <w:lvl w:ilvl="0" w:tentative="1">
      <w:start w:val="7"/>
      <w:numFmt w:val="chineseCounting"/>
      <w:suff w:val="nothing"/>
      <w:lvlText w:val="%1、"/>
      <w:lvlJc w:val="left"/>
      <w:rPr>
        <w:rFonts w:hint="eastAsia"/>
      </w:rPr>
    </w:lvl>
  </w:abstractNum>
  <w:num w:numId="1">
    <w:abstractNumId w:val="386881836"/>
  </w:num>
  <w:num w:numId="2">
    <w:abstractNumId w:val="2215036519"/>
  </w:num>
  <w:num w:numId="3">
    <w:abstractNumId w:val="3996564523"/>
  </w:num>
  <w:num w:numId="4">
    <w:abstractNumId w:val="1675063653"/>
  </w:num>
  <w:num w:numId="5">
    <w:abstractNumId w:val="1686896950"/>
  </w:num>
  <w:num w:numId="6">
    <w:abstractNumId w:val="2257841487"/>
  </w:num>
  <w:num w:numId="7">
    <w:abstractNumId w:val="1724050819"/>
  </w:num>
  <w:num w:numId="8">
    <w:abstractNumId w:val="1724052021"/>
  </w:num>
  <w:num w:numId="9">
    <w:abstractNumId w:val="17240548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GI4YzIzYjQ4ODY0NWZiNTk5YmVhMmRiMzhjNDMwZWM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numPr>
        <w:ilvl w:val="1"/>
        <w:numId w:val="1"/>
      </w:numPr>
      <w:outlineLvl w:val="0"/>
    </w:p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5">
    <w:name w:val="Default Paragraph Font"/>
    <w:semiHidden/>
    <w:unhideWhenUsed/>
    <w:qFormat/>
    <w:uiPriority w:val="1"/>
  </w:style>
  <w:style w:type="paragraph" w:styleId="4">
    <w:name w:val="Normal Indent"/>
    <w:basedOn w:val="1"/>
    <w:next w:val="5"/>
    <w:link w:val="23"/>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6">
    <w:name w:val="Body Text"/>
    <w:basedOn w:val="1"/>
    <w:next w:val="7"/>
    <w:semiHidden/>
    <w:unhideWhenUsed/>
    <w:qFormat/>
    <w:uiPriority w:val="99"/>
    <w:rPr>
      <w:rFonts w:ascii="仿宋_GB2312" w:eastAsia="仿宋_GB2312"/>
      <w:sz w:val="32"/>
    </w:rPr>
  </w:style>
  <w:style w:type="paragraph" w:customStyle="1" w:styleId="7">
    <w:name w:val="Quote"/>
    <w:basedOn w:val="1"/>
    <w:next w:val="1"/>
    <w:qFormat/>
    <w:uiPriority w:val="29"/>
    <w:pPr>
      <w:spacing w:beforeLines="50" w:afterLines="50" w:line="360" w:lineRule="auto"/>
    </w:pPr>
    <w:rPr>
      <w:i/>
      <w:iCs/>
      <w:color w:val="000000"/>
      <w:lang w:val="zh-CN"/>
    </w:rPr>
  </w:style>
  <w:style w:type="paragraph" w:styleId="8">
    <w:name w:val="Plain Text"/>
    <w:basedOn w:val="1"/>
    <w:link w:val="24"/>
    <w:unhideWhenUsed/>
    <w:qFormat/>
    <w:uiPriority w:val="0"/>
    <w:rPr>
      <w:rFonts w:ascii="宋体" w:hAnsi="Courier New" w:eastAsia="微软雅黑"/>
      <w:kern w:val="0"/>
      <w:sz w:val="22"/>
      <w:szCs w:val="20"/>
    </w:rPr>
  </w:style>
  <w:style w:type="paragraph" w:styleId="9">
    <w:name w:val="Balloon Text"/>
    <w:basedOn w:val="1"/>
    <w:link w:val="27"/>
    <w:semiHidden/>
    <w:unhideWhenUsed/>
    <w:qFormat/>
    <w:uiPriority w:val="99"/>
    <w:rPr>
      <w:sz w:val="18"/>
      <w:szCs w:val="18"/>
    </w:rPr>
  </w:style>
  <w:style w:type="paragraph" w:styleId="10">
    <w:name w:val="footer"/>
    <w:basedOn w:val="1"/>
    <w:link w:val="21"/>
    <w:semiHidden/>
    <w:unhideWhenUsed/>
    <w:qFormat/>
    <w:uiPriority w:val="99"/>
    <w:pPr>
      <w:tabs>
        <w:tab w:val="center" w:pos="4153"/>
        <w:tab w:val="right" w:pos="8306"/>
      </w:tabs>
      <w:snapToGrid w:val="0"/>
      <w:jc w:val="left"/>
    </w:pPr>
    <w:rPr>
      <w:sz w:val="18"/>
      <w:szCs w:val="18"/>
    </w:rPr>
  </w:style>
  <w:style w:type="paragraph" w:styleId="11">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Message Header"/>
    <w:basedOn w:val="1"/>
    <w:link w:val="2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4">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22"/>
    <w:rPr>
      <w:b/>
    </w:rPr>
  </w:style>
  <w:style w:type="character" w:styleId="17">
    <w:name w:val="Hyperlink"/>
    <w:qFormat/>
    <w:uiPriority w:val="0"/>
    <w:rPr>
      <w:color w:val="0000FF"/>
      <w:u w:val="single"/>
    </w:rPr>
  </w:style>
  <w:style w:type="paragraph" w:customStyle="1" w:styleId="18">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页眉 Char"/>
    <w:basedOn w:val="15"/>
    <w:link w:val="11"/>
    <w:semiHidden/>
    <w:qFormat/>
    <w:uiPriority w:val="99"/>
    <w:rPr>
      <w:sz w:val="18"/>
      <w:szCs w:val="18"/>
    </w:rPr>
  </w:style>
  <w:style w:type="character" w:customStyle="1" w:styleId="21">
    <w:name w:val="页脚 Char"/>
    <w:basedOn w:val="15"/>
    <w:link w:val="10"/>
    <w:semiHidden/>
    <w:qFormat/>
    <w:uiPriority w:val="99"/>
    <w:rPr>
      <w:sz w:val="18"/>
      <w:szCs w:val="18"/>
    </w:rPr>
  </w:style>
  <w:style w:type="character" w:customStyle="1" w:styleId="22">
    <w:name w:val="信息标题 Char"/>
    <w:basedOn w:val="15"/>
    <w:link w:val="12"/>
    <w:qFormat/>
    <w:uiPriority w:val="99"/>
    <w:rPr>
      <w:rFonts w:ascii="Cambria" w:hAnsi="Cambria" w:eastAsia="宋体" w:cs="Times New Roman"/>
      <w:kern w:val="0"/>
      <w:sz w:val="24"/>
      <w:szCs w:val="24"/>
      <w:shd w:val="pct20" w:color="auto" w:fill="auto"/>
    </w:rPr>
  </w:style>
  <w:style w:type="character" w:customStyle="1" w:styleId="23">
    <w:name w:val="正文缩进 Char"/>
    <w:link w:val="4"/>
    <w:qFormat/>
    <w:uiPriority w:val="0"/>
    <w:rPr>
      <w:rFonts w:ascii="Times New Roman" w:hAnsi="Times New Roman" w:eastAsia="宋体" w:cs="Times New Roman"/>
      <w:kern w:val="0"/>
      <w:sz w:val="20"/>
      <w:szCs w:val="20"/>
    </w:rPr>
  </w:style>
  <w:style w:type="character" w:customStyle="1" w:styleId="24">
    <w:name w:val="纯文本 Char"/>
    <w:basedOn w:val="15"/>
    <w:link w:val="8"/>
    <w:qFormat/>
    <w:uiPriority w:val="0"/>
    <w:rPr>
      <w:rFonts w:ascii="宋体" w:hAnsi="Courier New" w:eastAsia="微软雅黑" w:cs="Times New Roman"/>
      <w:kern w:val="0"/>
      <w:sz w:val="22"/>
      <w:szCs w:val="20"/>
    </w:rPr>
  </w:style>
  <w:style w:type="character" w:customStyle="1" w:styleId="25">
    <w:name w:val="HTML 预设格式 Char"/>
    <w:basedOn w:val="15"/>
    <w:link w:val="13"/>
    <w:qFormat/>
    <w:uiPriority w:val="0"/>
    <w:rPr>
      <w:rFonts w:ascii="宋体" w:hAnsi="宋体" w:eastAsia="宋体" w:cs="Times New Roman"/>
      <w:kern w:val="0"/>
      <w:sz w:val="24"/>
      <w:szCs w:val="24"/>
    </w:rPr>
  </w:style>
  <w:style w:type="character" w:customStyle="1" w:styleId="26">
    <w:name w:val="font01"/>
    <w:basedOn w:val="15"/>
    <w:qFormat/>
    <w:uiPriority w:val="0"/>
    <w:rPr>
      <w:rFonts w:hint="eastAsia" w:ascii="宋体" w:hAnsi="宋体" w:eastAsia="宋体" w:cs="宋体"/>
      <w:color w:val="000000"/>
      <w:sz w:val="20"/>
      <w:szCs w:val="20"/>
      <w:u w:val="none"/>
    </w:rPr>
  </w:style>
  <w:style w:type="character" w:customStyle="1" w:styleId="27">
    <w:name w:val="批注框文本 Char"/>
    <w:basedOn w:val="15"/>
    <w:link w:val="9"/>
    <w:semiHidden/>
    <w:qFormat/>
    <w:uiPriority w:val="99"/>
    <w:rPr>
      <w:rFonts w:ascii="Times New Roman" w:hAnsi="Times New Roman" w:eastAsia="宋体" w:cs="Times New Roman"/>
      <w:sz w:val="18"/>
      <w:szCs w:val="18"/>
    </w:rPr>
  </w:style>
  <w:style w:type="character" w:customStyle="1" w:styleId="28">
    <w:name w:val="font3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14</Pages>
  <Words>5101</Words>
  <Characters>5337</Characters>
  <Lines>38</Lines>
  <Paragraphs>10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2023-05-12T16:18:00Z</dcterms:created>
  <dc:creator>HP Inc.</dc:creator>
  <cp:lastModifiedBy>Admin</cp:lastModifiedBy>
  <cp:lastPrinted>2023-06-06T07:51:00Z</cp:lastPrinted>
  <dcterms:modified xsi:type="dcterms:W3CDTF">2024-08-19T08:35:06Z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EA34CA7902564E4EBA8FC86DA394FC5C_13</vt:lpwstr>
  </property>
</Properties>
</file>