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D7C3D">
      <w:pPr>
        <w:adjustRightInd/>
        <w:snapToGrid/>
        <w:spacing w:after="0" w:line="480" w:lineRule="atLeast"/>
        <w:jc w:val="center"/>
        <w:rPr>
          <w:rFonts w:hint="eastAsia" w:ascii="宋体" w:hAnsi="宋体" w:eastAsia="宋体" w:cs="宋体"/>
          <w:b/>
          <w:bCs/>
          <w:color w:val="404040"/>
          <w:sz w:val="36"/>
          <w:szCs w:val="36"/>
        </w:rPr>
      </w:pPr>
      <w:r>
        <w:rPr>
          <w:rFonts w:hint="eastAsia" w:ascii="宋体" w:hAnsi="宋体" w:eastAsia="宋体" w:cs="宋体"/>
          <w:b/>
          <w:bCs/>
          <w:color w:val="404040"/>
          <w:sz w:val="36"/>
          <w:szCs w:val="36"/>
        </w:rPr>
        <w:t>原劳服配电房电缆改造工程项目招标文件</w:t>
      </w:r>
    </w:p>
    <w:p w14:paraId="3A70E70F">
      <w:pPr>
        <w:adjustRightInd/>
        <w:snapToGrid/>
        <w:spacing w:before="150" w:after="0" w:line="480" w:lineRule="atLeast"/>
        <w:jc w:val="both"/>
        <w:rPr>
          <w:rFonts w:hint="eastAsia" w:ascii="方正仿宋简体" w:hAnsi="宋体" w:eastAsia="方正仿宋简体" w:cs="宋体"/>
          <w:color w:val="404040"/>
          <w:sz w:val="28"/>
          <w:szCs w:val="28"/>
        </w:rPr>
      </w:pPr>
      <w:r>
        <w:rPr>
          <w:rFonts w:hint="eastAsia" w:ascii="黑体" w:hAnsi="黑体" w:eastAsia="黑体" w:cs="宋体"/>
          <w:b/>
          <w:bCs/>
          <w:color w:val="404040"/>
          <w:sz w:val="26"/>
        </w:rPr>
        <w:t>一、招标项目概况和范围</w:t>
      </w:r>
    </w:p>
    <w:p w14:paraId="14178F0D">
      <w:pPr>
        <w:adjustRightInd/>
        <w:snapToGrid/>
        <w:spacing w:after="0" w:line="480" w:lineRule="atLeast"/>
        <w:ind w:firstLine="520" w:firstLineChars="200"/>
        <w:rPr>
          <w:rFonts w:hint="eastAsia" w:ascii="宋体" w:hAnsi="宋体" w:eastAsia="宋体" w:cs="宋体"/>
          <w:color w:val="404040"/>
          <w:sz w:val="26"/>
          <w:szCs w:val="26"/>
        </w:rPr>
      </w:pPr>
      <w:r>
        <w:rPr>
          <w:rFonts w:hint="eastAsia" w:ascii="宋体" w:hAnsi="宋体" w:eastAsia="宋体" w:cs="宋体"/>
          <w:color w:val="404040"/>
          <w:sz w:val="26"/>
          <w:szCs w:val="26"/>
        </w:rPr>
        <w:t>1、项目名称：原劳服配电房电缆改造</w:t>
      </w:r>
    </w:p>
    <w:p w14:paraId="05D5FFEE">
      <w:pPr>
        <w:adjustRightInd/>
        <w:snapToGrid/>
        <w:spacing w:before="150" w:after="0" w:line="480" w:lineRule="atLeast"/>
        <w:ind w:firstLine="480"/>
        <w:jc w:val="both"/>
        <w:rPr>
          <w:rFonts w:hint="eastAsia" w:ascii="方正仿宋简体" w:hAnsi="宋体" w:eastAsia="方正仿宋简体" w:cs="宋体"/>
          <w:color w:val="404040"/>
          <w:sz w:val="28"/>
          <w:szCs w:val="28"/>
        </w:rPr>
      </w:pPr>
      <w:r>
        <w:rPr>
          <w:rFonts w:hint="eastAsia" w:ascii="宋体" w:hAnsi="宋体" w:eastAsia="宋体" w:cs="宋体"/>
          <w:color w:val="404040"/>
          <w:sz w:val="26"/>
          <w:szCs w:val="26"/>
        </w:rPr>
        <w:t>2、工程地点：福马路420号。</w:t>
      </w:r>
    </w:p>
    <w:p w14:paraId="6B39C554">
      <w:pPr>
        <w:adjustRightInd/>
        <w:snapToGrid/>
        <w:spacing w:before="150" w:after="0" w:line="480" w:lineRule="atLeast"/>
        <w:ind w:firstLine="480"/>
        <w:jc w:val="both"/>
        <w:rPr>
          <w:rFonts w:hint="eastAsia" w:ascii="方正仿宋简体" w:hAnsi="宋体" w:eastAsia="方正仿宋简体" w:cs="宋体"/>
          <w:color w:val="404040"/>
          <w:sz w:val="28"/>
          <w:szCs w:val="28"/>
        </w:rPr>
      </w:pPr>
      <w:r>
        <w:rPr>
          <w:rFonts w:hint="eastAsia" w:ascii="宋体" w:hAnsi="宋体" w:eastAsia="宋体" w:cs="宋体"/>
          <w:color w:val="404040"/>
          <w:sz w:val="26"/>
          <w:szCs w:val="26"/>
        </w:rPr>
        <w:t>3、招标范围和内容：本项目招标工程量清单内全部内容。</w:t>
      </w:r>
    </w:p>
    <w:p w14:paraId="00E19D9D">
      <w:pPr>
        <w:adjustRightInd/>
        <w:snapToGrid/>
        <w:spacing w:before="150" w:after="0" w:line="480" w:lineRule="atLeast"/>
        <w:ind w:firstLine="480"/>
        <w:jc w:val="both"/>
        <w:rPr>
          <w:rFonts w:hint="eastAsia" w:ascii="方正仿宋简体" w:hAnsi="宋体" w:eastAsia="方正仿宋简体" w:cs="宋体"/>
          <w:color w:val="404040"/>
          <w:sz w:val="28"/>
          <w:szCs w:val="28"/>
        </w:rPr>
      </w:pPr>
      <w:r>
        <w:rPr>
          <w:rFonts w:hint="eastAsia" w:ascii="宋体" w:hAnsi="宋体" w:eastAsia="宋体" w:cs="宋体"/>
          <w:color w:val="404040"/>
          <w:sz w:val="26"/>
          <w:szCs w:val="26"/>
        </w:rPr>
        <w:t>4、承包方式：包工包料。</w:t>
      </w:r>
    </w:p>
    <w:p w14:paraId="62DD2073">
      <w:pPr>
        <w:adjustRightInd/>
        <w:snapToGrid/>
        <w:spacing w:before="150" w:after="0" w:line="480" w:lineRule="atLeast"/>
        <w:ind w:firstLine="480"/>
        <w:jc w:val="both"/>
        <w:rPr>
          <w:rFonts w:hint="eastAsia" w:ascii="方正仿宋简体" w:hAnsi="宋体" w:eastAsia="方正仿宋简体" w:cs="宋体"/>
          <w:color w:val="404040"/>
          <w:sz w:val="28"/>
          <w:szCs w:val="28"/>
        </w:rPr>
      </w:pPr>
      <w:r>
        <w:rPr>
          <w:rFonts w:hint="eastAsia" w:ascii="宋体" w:hAnsi="宋体" w:eastAsia="宋体" w:cs="宋体"/>
          <w:color w:val="404040"/>
          <w:sz w:val="26"/>
          <w:szCs w:val="26"/>
        </w:rPr>
        <w:t>5、工期要求：合同签订后，接甲方通知后30日历天完工，具体施工时间与院方协商，要求不影响医院的正常工作。</w:t>
      </w:r>
    </w:p>
    <w:p w14:paraId="555FA86E">
      <w:pPr>
        <w:adjustRightInd/>
        <w:snapToGrid/>
        <w:spacing w:after="0" w:line="480" w:lineRule="atLeast"/>
        <w:ind w:left="420"/>
        <w:jc w:val="both"/>
        <w:rPr>
          <w:rFonts w:hint="eastAsia" w:ascii="方正仿宋简体" w:hAnsi="宋体" w:eastAsia="方正仿宋简体" w:cs="宋体"/>
          <w:color w:val="404040"/>
          <w:sz w:val="28"/>
          <w:szCs w:val="28"/>
        </w:rPr>
      </w:pPr>
      <w:r>
        <w:rPr>
          <w:rFonts w:hint="eastAsia" w:ascii="宋体" w:hAnsi="宋体" w:eastAsia="宋体" w:cs="宋体"/>
          <w:color w:val="404040"/>
          <w:sz w:val="26"/>
          <w:szCs w:val="26"/>
        </w:rPr>
        <w:t>6、工程质量要求：符合《工程施工质量验收规范》合格标准。</w:t>
      </w:r>
    </w:p>
    <w:p w14:paraId="04E4C972">
      <w:pPr>
        <w:adjustRightInd/>
        <w:snapToGrid/>
        <w:spacing w:before="150" w:after="0" w:line="480" w:lineRule="atLeast"/>
        <w:ind w:firstLine="450"/>
        <w:jc w:val="both"/>
        <w:rPr>
          <w:rFonts w:hint="eastAsia" w:ascii="宋体" w:hAnsi="宋体" w:eastAsia="宋体" w:cs="宋体"/>
          <w:color w:val="404040"/>
          <w:sz w:val="26"/>
          <w:szCs w:val="26"/>
        </w:rPr>
      </w:pPr>
      <w:r>
        <w:rPr>
          <w:rFonts w:hint="eastAsia" w:ascii="宋体" w:hAnsi="宋体" w:eastAsia="宋体" w:cs="宋体"/>
          <w:color w:val="404040"/>
          <w:sz w:val="26"/>
          <w:szCs w:val="26"/>
        </w:rPr>
        <w:t>7、预算价：约28.222万</w:t>
      </w:r>
    </w:p>
    <w:p w14:paraId="5B8EFE6C">
      <w:pPr>
        <w:adjustRightInd/>
        <w:snapToGrid/>
        <w:spacing w:before="150" w:after="0" w:line="480" w:lineRule="atLeast"/>
        <w:ind w:firstLine="450"/>
        <w:jc w:val="both"/>
        <w:rPr>
          <w:rFonts w:hint="eastAsia" w:ascii="方正仿宋简体" w:hAnsi="宋体" w:eastAsia="方正仿宋简体" w:cs="宋体"/>
          <w:color w:val="404040"/>
          <w:sz w:val="28"/>
          <w:szCs w:val="28"/>
        </w:rPr>
      </w:pPr>
      <w:r>
        <w:rPr>
          <w:rFonts w:hint="eastAsia" w:ascii="宋体" w:hAnsi="宋体" w:eastAsia="宋体" w:cs="宋体"/>
          <w:color w:val="404040"/>
          <w:sz w:val="26"/>
          <w:szCs w:val="26"/>
        </w:rPr>
        <w:t>8、质保期：贰年，自工程竣工验收合格之日算起。</w:t>
      </w:r>
    </w:p>
    <w:p w14:paraId="01C4796B">
      <w:pPr>
        <w:adjustRightInd/>
        <w:snapToGrid/>
        <w:spacing w:before="150" w:after="0" w:line="480" w:lineRule="atLeast"/>
        <w:jc w:val="both"/>
        <w:rPr>
          <w:rFonts w:hint="eastAsia" w:ascii="方正仿宋简体" w:hAnsi="宋体" w:eastAsia="方正仿宋简体" w:cs="宋体"/>
          <w:color w:val="404040"/>
          <w:sz w:val="28"/>
          <w:szCs w:val="28"/>
        </w:rPr>
      </w:pPr>
      <w:r>
        <w:rPr>
          <w:rFonts w:hint="eastAsia" w:ascii="黑体" w:hAnsi="黑体" w:eastAsia="黑体" w:cs="宋体"/>
          <w:b/>
          <w:bCs/>
          <w:color w:val="404040"/>
          <w:sz w:val="26"/>
        </w:rPr>
        <w:t>二、投标人资格要求及审查办法</w:t>
      </w:r>
    </w:p>
    <w:p w14:paraId="1269190B">
      <w:pPr>
        <w:adjustRightInd/>
        <w:snapToGrid/>
        <w:spacing w:before="150" w:after="0" w:line="480" w:lineRule="atLeast"/>
        <w:ind w:firstLine="480"/>
        <w:jc w:val="both"/>
        <w:rPr>
          <w:rFonts w:hint="eastAsia" w:ascii="宋体" w:hAnsi="宋体" w:eastAsia="宋体" w:cs="宋体"/>
          <w:color w:val="404040"/>
          <w:sz w:val="26"/>
          <w:szCs w:val="26"/>
        </w:rPr>
      </w:pPr>
      <w:r>
        <w:rPr>
          <w:rFonts w:hint="eastAsia" w:ascii="宋体" w:hAnsi="宋体" w:eastAsia="宋体" w:cs="宋体"/>
          <w:color w:val="404040"/>
          <w:sz w:val="26"/>
          <w:szCs w:val="26"/>
        </w:rPr>
        <w:t>1.本招标项目要求投标人应具有独立法人资格(投标人应在投标文件中提供企业法人营业执照和税务登记证复印件,并加盖投标人单位公章)。</w:t>
      </w:r>
    </w:p>
    <w:p w14:paraId="669EC7A3">
      <w:pPr>
        <w:adjustRightInd/>
        <w:snapToGrid/>
        <w:spacing w:before="150" w:after="0" w:line="480" w:lineRule="atLeast"/>
        <w:ind w:firstLine="480"/>
        <w:jc w:val="both"/>
        <w:rPr>
          <w:rFonts w:hint="eastAsia" w:ascii="宋体" w:hAnsi="宋体" w:eastAsia="宋体" w:cs="宋体"/>
          <w:color w:val="404040"/>
          <w:sz w:val="26"/>
          <w:szCs w:val="26"/>
        </w:rPr>
      </w:pPr>
      <w:r>
        <w:rPr>
          <w:rFonts w:hint="eastAsia" w:ascii="宋体" w:hAnsi="宋体" w:eastAsia="宋体" w:cs="宋体"/>
          <w:color w:val="404040"/>
          <w:sz w:val="26"/>
          <w:szCs w:val="26"/>
        </w:rPr>
        <w:t>2、委托代表人资格证明书（附法人及委托人身份证）。</w:t>
      </w:r>
    </w:p>
    <w:p w14:paraId="29BF9A11">
      <w:pPr>
        <w:adjustRightInd/>
        <w:snapToGrid/>
        <w:spacing w:before="150" w:after="0" w:line="480" w:lineRule="atLeast"/>
        <w:ind w:firstLine="480"/>
        <w:jc w:val="both"/>
        <w:rPr>
          <w:rFonts w:hint="eastAsia" w:ascii="宋体" w:hAnsi="宋体" w:eastAsia="宋体" w:cs="宋体"/>
          <w:color w:val="404040"/>
          <w:sz w:val="26"/>
          <w:szCs w:val="26"/>
          <w:lang w:eastAsia="zh-CN"/>
        </w:rPr>
      </w:pPr>
      <w:r>
        <w:rPr>
          <w:rFonts w:hint="eastAsia" w:ascii="宋体" w:hAnsi="宋体" w:eastAsia="宋体" w:cs="宋体"/>
          <w:color w:val="404040"/>
          <w:sz w:val="26"/>
          <w:szCs w:val="26"/>
        </w:rPr>
        <w:t>3、具有依法缴纳税收和社会保障资金的良好记录（近三个月缴交凭证，不含投标当月）</w:t>
      </w:r>
      <w:r>
        <w:rPr>
          <w:rFonts w:hint="eastAsia" w:ascii="宋体" w:hAnsi="宋体" w:eastAsia="宋体" w:cs="宋体"/>
          <w:color w:val="404040"/>
          <w:sz w:val="26"/>
          <w:szCs w:val="26"/>
          <w:lang w:eastAsia="zh-CN"/>
        </w:rPr>
        <w:t>。</w:t>
      </w:r>
    </w:p>
    <w:p w14:paraId="1358A917">
      <w:pPr>
        <w:adjustRightInd/>
        <w:snapToGrid/>
        <w:spacing w:before="150" w:after="0" w:line="480" w:lineRule="atLeast"/>
        <w:ind w:firstLine="520" w:firstLineChars="200"/>
        <w:jc w:val="both"/>
        <w:rPr>
          <w:rFonts w:hint="eastAsia" w:ascii="宋体" w:hAnsi="宋体" w:eastAsia="宋体" w:cs="宋体"/>
          <w:color w:val="404040"/>
          <w:sz w:val="26"/>
          <w:szCs w:val="26"/>
        </w:rPr>
      </w:pPr>
      <w:r>
        <w:rPr>
          <w:rFonts w:hint="eastAsia" w:ascii="宋体" w:hAnsi="宋体" w:eastAsia="宋体" w:cs="宋体"/>
          <w:color w:val="404040"/>
          <w:sz w:val="26"/>
          <w:szCs w:val="26"/>
        </w:rPr>
        <w:t>4.本招标项目要求投标人具有建设主管部门核发的合格有效的</w:t>
      </w:r>
      <w:r>
        <w:rPr>
          <w:rFonts w:ascii="宋体" w:hAnsi="宋体" w:eastAsia="宋体" w:cs="宋体"/>
          <w:color w:val="404040"/>
          <w:sz w:val="26"/>
          <w:szCs w:val="26"/>
        </w:rPr>
        <w:t>机电设备安装工程专业承包</w:t>
      </w:r>
      <w:r>
        <w:rPr>
          <w:rFonts w:hint="eastAsia" w:ascii="宋体" w:hAnsi="宋体" w:eastAsia="宋体" w:cs="宋体"/>
          <w:color w:val="404040"/>
          <w:sz w:val="26"/>
          <w:szCs w:val="26"/>
        </w:rPr>
        <w:t>三级及以上资质或</w:t>
      </w:r>
      <w:r>
        <w:rPr>
          <w:rFonts w:ascii="宋体" w:hAnsi="宋体" w:eastAsia="宋体" w:cs="宋体"/>
          <w:color w:val="404040"/>
          <w:sz w:val="26"/>
          <w:szCs w:val="26"/>
        </w:rPr>
        <w:t>建筑装修装饰工程专业承包</w:t>
      </w:r>
      <w:r>
        <w:rPr>
          <w:rFonts w:hint="eastAsia" w:ascii="宋体" w:hAnsi="宋体" w:eastAsia="宋体" w:cs="宋体"/>
          <w:color w:val="404040"/>
          <w:sz w:val="26"/>
          <w:szCs w:val="26"/>
        </w:rPr>
        <w:t>二级及以上资质，同时持有《施工企业安全生产许可证》</w:t>
      </w:r>
      <w:r>
        <w:rPr>
          <w:rFonts w:ascii="宋体" w:hAnsi="宋体" w:eastAsia="宋体" w:cs="宋体"/>
          <w:color w:val="404040"/>
          <w:sz w:val="26"/>
          <w:szCs w:val="26"/>
        </w:rPr>
        <w:t>。</w:t>
      </w:r>
    </w:p>
    <w:p w14:paraId="7F508911">
      <w:pPr>
        <w:adjustRightInd/>
        <w:snapToGrid/>
        <w:spacing w:before="150" w:after="0" w:line="480" w:lineRule="atLeast"/>
        <w:ind w:firstLine="480"/>
        <w:jc w:val="both"/>
        <w:rPr>
          <w:rFonts w:hint="eastAsia" w:ascii="宋体" w:hAnsi="宋体" w:eastAsia="宋体" w:cs="宋体"/>
          <w:color w:val="404040"/>
          <w:sz w:val="26"/>
          <w:szCs w:val="26"/>
        </w:rPr>
      </w:pPr>
      <w:r>
        <w:rPr>
          <w:rFonts w:hint="eastAsia" w:ascii="宋体" w:hAnsi="宋体" w:eastAsia="宋体" w:cs="宋体"/>
          <w:color w:val="404040"/>
          <w:sz w:val="26"/>
          <w:szCs w:val="26"/>
        </w:rPr>
        <w:t>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w:t>
      </w:r>
    </w:p>
    <w:p w14:paraId="4712263C">
      <w:pPr>
        <w:adjustRightInd/>
        <w:snapToGrid/>
        <w:spacing w:before="150" w:after="0" w:line="480" w:lineRule="atLeast"/>
        <w:ind w:firstLine="480"/>
        <w:jc w:val="both"/>
        <w:rPr>
          <w:rFonts w:hint="eastAsia" w:ascii="宋体" w:hAnsi="宋体" w:eastAsia="宋体" w:cs="宋体"/>
          <w:color w:val="404040"/>
          <w:sz w:val="26"/>
          <w:szCs w:val="26"/>
          <w:lang w:eastAsia="zh-CN"/>
        </w:rPr>
      </w:pPr>
      <w:r>
        <w:rPr>
          <w:rFonts w:hint="eastAsia" w:ascii="宋体" w:hAnsi="宋体" w:eastAsia="宋体" w:cs="宋体"/>
          <w:color w:val="404040"/>
          <w:sz w:val="26"/>
          <w:szCs w:val="26"/>
        </w:rPr>
        <w:t>5、参加本次活动前三年内，在经营活动中没有重大违法违规记录的承诺，加盖投标人单位公章</w:t>
      </w:r>
      <w:r>
        <w:rPr>
          <w:rFonts w:hint="eastAsia" w:ascii="宋体" w:hAnsi="宋体" w:eastAsia="宋体" w:cs="宋体"/>
          <w:color w:val="404040"/>
          <w:sz w:val="26"/>
          <w:szCs w:val="26"/>
          <w:lang w:eastAsia="zh-CN"/>
        </w:rPr>
        <w:t>。</w:t>
      </w:r>
    </w:p>
    <w:p w14:paraId="556DCA81">
      <w:pPr>
        <w:adjustRightInd/>
        <w:snapToGrid/>
        <w:spacing w:before="150" w:after="0" w:line="480" w:lineRule="atLeast"/>
        <w:ind w:left="225" w:firstLine="240"/>
        <w:jc w:val="both"/>
        <w:rPr>
          <w:rFonts w:hint="eastAsia" w:ascii="方正仿宋简体" w:hAnsi="宋体" w:eastAsia="方正仿宋简体" w:cs="宋体"/>
          <w:color w:val="404040"/>
          <w:sz w:val="28"/>
          <w:szCs w:val="28"/>
        </w:rPr>
      </w:pPr>
      <w:r>
        <w:rPr>
          <w:rFonts w:hint="eastAsia" w:ascii="宋体" w:hAnsi="宋体" w:eastAsia="宋体" w:cs="宋体"/>
          <w:color w:val="404040"/>
          <w:sz w:val="26"/>
          <w:szCs w:val="26"/>
        </w:rPr>
        <w:t>6、资格审查采用方式：资格后审。</w:t>
      </w:r>
    </w:p>
    <w:p w14:paraId="56C991F2">
      <w:pPr>
        <w:adjustRightInd/>
        <w:snapToGrid/>
        <w:spacing w:before="150" w:after="0" w:line="480" w:lineRule="atLeast"/>
        <w:ind w:firstLine="480"/>
        <w:jc w:val="both"/>
        <w:rPr>
          <w:rFonts w:hint="eastAsia" w:ascii="宋体" w:hAnsi="宋体" w:eastAsia="宋体" w:cs="宋体"/>
          <w:color w:val="404040"/>
          <w:sz w:val="26"/>
          <w:szCs w:val="26"/>
          <w:lang w:val="en-US" w:eastAsia="zh-CN"/>
        </w:rPr>
      </w:pPr>
      <w:r>
        <w:rPr>
          <w:rFonts w:hint="eastAsia" w:ascii="宋体" w:hAnsi="宋体" w:eastAsia="宋体" w:cs="宋体"/>
          <w:color w:val="404040"/>
          <w:sz w:val="26"/>
          <w:szCs w:val="26"/>
          <w:lang w:val="en-US" w:eastAsia="zh-CN"/>
        </w:rPr>
        <w:t>7、本招标项目不接受联合体投标，不接受备选投标方案，不允许分包。</w:t>
      </w:r>
    </w:p>
    <w:p w14:paraId="2ABF3682">
      <w:pPr>
        <w:adjustRightInd/>
        <w:snapToGrid/>
        <w:spacing w:before="150" w:after="0" w:line="480" w:lineRule="atLeast"/>
        <w:ind w:firstLine="480"/>
        <w:jc w:val="both"/>
        <w:rPr>
          <w:rFonts w:hint="eastAsia" w:ascii="宋体" w:hAnsi="宋体" w:eastAsia="宋体" w:cs="宋体"/>
          <w:color w:val="404040"/>
          <w:sz w:val="26"/>
          <w:szCs w:val="26"/>
        </w:rPr>
      </w:pPr>
      <w:r>
        <w:rPr>
          <w:rFonts w:hint="eastAsia" w:ascii="宋体" w:hAnsi="宋体" w:eastAsia="宋体" w:cs="宋体"/>
          <w:color w:val="404040"/>
          <w:sz w:val="26"/>
          <w:szCs w:val="26"/>
          <w:lang w:val="en-US" w:eastAsia="zh-CN"/>
        </w:rPr>
        <w:t>8.信用记录查询结果：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14:paraId="47E0DE41">
      <w:pPr>
        <w:adjustRightInd/>
        <w:snapToGrid/>
        <w:spacing w:before="150" w:after="0" w:line="480" w:lineRule="atLeast"/>
        <w:ind w:firstLine="480"/>
        <w:jc w:val="both"/>
        <w:rPr>
          <w:rFonts w:hint="eastAsia" w:ascii="宋体" w:hAnsi="宋体" w:eastAsia="宋体" w:cs="宋体"/>
          <w:color w:val="404040"/>
          <w:sz w:val="26"/>
          <w:szCs w:val="26"/>
        </w:rPr>
      </w:pPr>
      <w:r>
        <w:rPr>
          <w:rFonts w:hint="eastAsia" w:ascii="宋体" w:hAnsi="宋体" w:eastAsia="宋体" w:cs="宋体"/>
          <w:color w:val="404040"/>
          <w:sz w:val="26"/>
          <w:szCs w:val="26"/>
          <w:lang w:val="en-US" w:eastAsia="zh-CN"/>
        </w:rPr>
        <w:t>9.依法缴纳税收证明材料：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w:t>
      </w:r>
    </w:p>
    <w:p w14:paraId="29458A01">
      <w:pPr>
        <w:adjustRightInd/>
        <w:snapToGrid/>
        <w:spacing w:before="150" w:after="0" w:line="480" w:lineRule="atLeast"/>
        <w:ind w:firstLine="480"/>
        <w:jc w:val="both"/>
        <w:rPr>
          <w:rFonts w:hint="eastAsia" w:ascii="宋体" w:hAnsi="宋体" w:eastAsia="宋体" w:cs="宋体"/>
          <w:color w:val="404040"/>
          <w:sz w:val="26"/>
          <w:szCs w:val="26"/>
        </w:rPr>
      </w:pPr>
      <w:r>
        <w:rPr>
          <w:rFonts w:hint="eastAsia" w:ascii="宋体" w:hAnsi="宋体" w:eastAsia="宋体" w:cs="宋体"/>
          <w:color w:val="404040"/>
          <w:sz w:val="26"/>
          <w:szCs w:val="26"/>
          <w:lang w:val="en-US" w:eastAsia="zh-CN"/>
        </w:rPr>
        <w:t>10.依法缴纳社会保障资金证明材料：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w:t>
      </w:r>
    </w:p>
    <w:p w14:paraId="04FA2655">
      <w:pPr>
        <w:adjustRightInd/>
        <w:snapToGrid/>
        <w:spacing w:before="150" w:after="0" w:line="480" w:lineRule="atLeast"/>
        <w:jc w:val="both"/>
        <w:rPr>
          <w:rFonts w:hint="eastAsia" w:ascii="方正仿宋简体" w:hAnsi="宋体" w:eastAsia="方正仿宋简体" w:cs="宋体"/>
          <w:color w:val="404040"/>
          <w:sz w:val="28"/>
          <w:szCs w:val="28"/>
        </w:rPr>
      </w:pPr>
      <w:r>
        <w:rPr>
          <w:rFonts w:hint="eastAsia" w:ascii="黑体" w:hAnsi="黑体" w:eastAsia="黑体" w:cs="宋体"/>
          <w:b/>
          <w:bCs/>
          <w:color w:val="404040"/>
          <w:sz w:val="26"/>
        </w:rPr>
        <w:t>三、招标文件的获取</w:t>
      </w:r>
    </w:p>
    <w:p w14:paraId="2A7AC011">
      <w:pPr>
        <w:adjustRightInd/>
        <w:snapToGrid/>
        <w:spacing w:before="150" w:after="0" w:line="480" w:lineRule="atLeast"/>
        <w:jc w:val="both"/>
        <w:rPr>
          <w:rFonts w:hint="eastAsia" w:ascii="方正仿宋简体" w:hAnsi="宋体" w:eastAsia="方正仿宋简体" w:cs="宋体"/>
          <w:color w:val="404040"/>
          <w:sz w:val="28"/>
          <w:szCs w:val="28"/>
          <w:highlight w:val="none"/>
        </w:rPr>
      </w:pPr>
      <w:r>
        <w:rPr>
          <w:rFonts w:hint="eastAsia" w:ascii="宋体" w:hAnsi="宋体" w:eastAsia="宋体" w:cs="宋体"/>
          <w:color w:val="404040"/>
          <w:sz w:val="26"/>
          <w:szCs w:val="26"/>
          <w:highlight w:val="none"/>
        </w:rPr>
        <w:t>1、本招标项目不采用电子招投标。</w:t>
      </w:r>
    </w:p>
    <w:p w14:paraId="4BA5F3D1">
      <w:pPr>
        <w:adjustRightInd/>
        <w:snapToGrid/>
        <w:spacing w:before="150" w:after="0" w:line="480" w:lineRule="atLeast"/>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2、凡有意参加投标者，请于</w:t>
      </w:r>
      <w:r>
        <w:rPr>
          <w:rFonts w:hint="eastAsia" w:ascii="宋体" w:hAnsi="宋体" w:eastAsia="宋体" w:cs="宋体"/>
          <w:color w:val="404040"/>
          <w:sz w:val="26"/>
          <w:szCs w:val="26"/>
          <w:highlight w:val="none"/>
          <w:lang w:val="en-US" w:eastAsia="zh-CN"/>
        </w:rPr>
        <w:t>2024</w:t>
      </w:r>
      <w:r>
        <w:rPr>
          <w:rFonts w:hint="eastAsia" w:ascii="宋体" w:hAnsi="宋体" w:eastAsia="宋体" w:cs="宋体"/>
          <w:color w:val="404040"/>
          <w:sz w:val="26"/>
          <w:szCs w:val="26"/>
          <w:highlight w:val="none"/>
        </w:rPr>
        <w:t>年</w:t>
      </w:r>
      <w:r>
        <w:rPr>
          <w:rFonts w:hint="eastAsia" w:ascii="宋体" w:hAnsi="宋体" w:eastAsia="宋体" w:cs="宋体"/>
          <w:color w:val="404040"/>
          <w:sz w:val="26"/>
          <w:szCs w:val="26"/>
          <w:highlight w:val="none"/>
          <w:lang w:val="en-US" w:eastAsia="zh-CN"/>
        </w:rPr>
        <w:t>9</w:t>
      </w:r>
      <w:r>
        <w:rPr>
          <w:rFonts w:hint="eastAsia" w:ascii="宋体" w:hAnsi="宋体" w:eastAsia="宋体" w:cs="宋体"/>
          <w:color w:val="404040"/>
          <w:sz w:val="26"/>
          <w:szCs w:val="26"/>
          <w:highlight w:val="none"/>
        </w:rPr>
        <w:t>月</w:t>
      </w:r>
      <w:r>
        <w:rPr>
          <w:rFonts w:hint="eastAsia" w:ascii="宋体" w:hAnsi="宋体" w:eastAsia="宋体" w:cs="宋体"/>
          <w:color w:val="404040"/>
          <w:sz w:val="26"/>
          <w:szCs w:val="26"/>
          <w:highlight w:val="none"/>
          <w:lang w:val="en-US" w:eastAsia="zh-CN"/>
        </w:rPr>
        <w:t>26</w:t>
      </w:r>
      <w:r>
        <w:rPr>
          <w:rFonts w:hint="eastAsia" w:ascii="宋体" w:hAnsi="宋体" w:eastAsia="宋体" w:cs="宋体"/>
          <w:color w:val="404040"/>
          <w:sz w:val="26"/>
          <w:szCs w:val="26"/>
          <w:highlight w:val="none"/>
        </w:rPr>
        <w:t>日至</w:t>
      </w:r>
      <w:r>
        <w:rPr>
          <w:rFonts w:hint="eastAsia" w:ascii="宋体" w:hAnsi="宋体" w:eastAsia="宋体" w:cs="宋体"/>
          <w:color w:val="404040"/>
          <w:sz w:val="26"/>
          <w:szCs w:val="26"/>
          <w:highlight w:val="none"/>
          <w:lang w:val="en-US" w:eastAsia="zh-CN"/>
        </w:rPr>
        <w:t>2024</w:t>
      </w:r>
      <w:r>
        <w:rPr>
          <w:rFonts w:hint="eastAsia" w:ascii="宋体" w:hAnsi="宋体" w:eastAsia="宋体" w:cs="宋体"/>
          <w:color w:val="404040"/>
          <w:sz w:val="26"/>
          <w:szCs w:val="26"/>
          <w:highlight w:val="none"/>
        </w:rPr>
        <w:t>年</w:t>
      </w:r>
      <w:r>
        <w:rPr>
          <w:rFonts w:hint="eastAsia" w:ascii="宋体" w:hAnsi="宋体" w:eastAsia="宋体" w:cs="宋体"/>
          <w:color w:val="404040"/>
          <w:sz w:val="26"/>
          <w:szCs w:val="26"/>
          <w:highlight w:val="none"/>
          <w:lang w:val="en-US" w:eastAsia="zh-CN"/>
        </w:rPr>
        <w:t>10</w:t>
      </w:r>
      <w:r>
        <w:rPr>
          <w:rFonts w:hint="eastAsia" w:ascii="宋体" w:hAnsi="宋体" w:eastAsia="宋体" w:cs="宋体"/>
          <w:color w:val="404040"/>
          <w:sz w:val="26"/>
          <w:szCs w:val="26"/>
          <w:highlight w:val="none"/>
        </w:rPr>
        <w:t>月</w:t>
      </w:r>
      <w:r>
        <w:rPr>
          <w:rFonts w:hint="eastAsia" w:ascii="宋体" w:hAnsi="宋体" w:eastAsia="宋体" w:cs="宋体"/>
          <w:color w:val="404040"/>
          <w:sz w:val="26"/>
          <w:szCs w:val="26"/>
          <w:highlight w:val="none"/>
          <w:lang w:val="en-US" w:eastAsia="zh-CN"/>
        </w:rPr>
        <w:t>8</w:t>
      </w:r>
      <w:r>
        <w:rPr>
          <w:rFonts w:hint="eastAsia" w:ascii="宋体" w:hAnsi="宋体" w:eastAsia="宋体" w:cs="宋体"/>
          <w:color w:val="404040"/>
          <w:sz w:val="26"/>
          <w:szCs w:val="26"/>
          <w:highlight w:val="none"/>
        </w:rPr>
        <w:t>日(节假日除外)8：00-12：00或14：</w:t>
      </w:r>
      <w:r>
        <w:rPr>
          <w:rFonts w:hint="eastAsia" w:ascii="宋体" w:hAnsi="宋体" w:eastAsia="宋体" w:cs="宋体"/>
          <w:color w:val="404040"/>
          <w:sz w:val="26"/>
          <w:szCs w:val="26"/>
          <w:highlight w:val="none"/>
          <w:lang w:val="en-US" w:eastAsia="zh-CN"/>
        </w:rPr>
        <w:t>3</w:t>
      </w:r>
      <w:r>
        <w:rPr>
          <w:rFonts w:hint="eastAsia" w:ascii="宋体" w:hAnsi="宋体" w:eastAsia="宋体" w:cs="宋体"/>
          <w:color w:val="404040"/>
          <w:sz w:val="26"/>
          <w:szCs w:val="26"/>
          <w:highlight w:val="none"/>
        </w:rPr>
        <w:t>0-17：</w:t>
      </w:r>
      <w:r>
        <w:rPr>
          <w:rFonts w:hint="eastAsia" w:ascii="宋体" w:hAnsi="宋体" w:eastAsia="宋体" w:cs="宋体"/>
          <w:color w:val="404040"/>
          <w:sz w:val="26"/>
          <w:szCs w:val="26"/>
          <w:highlight w:val="none"/>
          <w:lang w:val="en-US" w:eastAsia="zh-CN"/>
        </w:rPr>
        <w:t>0</w:t>
      </w:r>
      <w:r>
        <w:rPr>
          <w:rFonts w:hint="eastAsia" w:ascii="宋体" w:hAnsi="宋体" w:eastAsia="宋体" w:cs="宋体"/>
          <w:color w:val="404040"/>
          <w:sz w:val="26"/>
          <w:szCs w:val="26"/>
          <w:highlight w:val="none"/>
        </w:rPr>
        <w:t>0，携带加盖公章的营业执照复印件、介绍信前往福建省肿瘤医院总务科报名。</w:t>
      </w:r>
    </w:p>
    <w:p w14:paraId="0A0C9D16">
      <w:pPr>
        <w:adjustRightInd/>
        <w:snapToGrid/>
        <w:spacing w:before="150" w:after="0" w:line="480" w:lineRule="atLeast"/>
        <w:jc w:val="both"/>
        <w:rPr>
          <w:rFonts w:hint="eastAsia" w:ascii="方正仿宋简体" w:hAnsi="宋体" w:eastAsia="方正仿宋简体" w:cs="宋体"/>
          <w:color w:val="404040"/>
          <w:sz w:val="28"/>
          <w:szCs w:val="28"/>
          <w:highlight w:val="none"/>
        </w:rPr>
      </w:pPr>
      <w:r>
        <w:rPr>
          <w:rFonts w:hint="eastAsia" w:ascii="宋体" w:hAnsi="宋体" w:eastAsia="宋体" w:cs="宋体"/>
          <w:color w:val="404040"/>
          <w:sz w:val="26"/>
          <w:szCs w:val="26"/>
          <w:highlight w:val="none"/>
        </w:rPr>
        <w:t>项目联系人：陈女士  联系电话：0591-62752801</w:t>
      </w:r>
    </w:p>
    <w:p w14:paraId="27086814">
      <w:pPr>
        <w:adjustRightInd/>
        <w:snapToGrid/>
        <w:spacing w:before="150" w:after="0" w:line="480" w:lineRule="atLeast"/>
        <w:jc w:val="both"/>
        <w:rPr>
          <w:rFonts w:hint="eastAsia" w:ascii="方正仿宋简体" w:hAnsi="宋体" w:eastAsia="方正仿宋简体" w:cs="宋体"/>
          <w:color w:val="404040"/>
          <w:sz w:val="28"/>
          <w:szCs w:val="28"/>
          <w:highlight w:val="none"/>
        </w:rPr>
      </w:pPr>
      <w:r>
        <w:rPr>
          <w:rFonts w:hint="eastAsia" w:ascii="黑体" w:hAnsi="黑体" w:eastAsia="黑体" w:cs="宋体"/>
          <w:b/>
          <w:bCs/>
          <w:color w:val="404040"/>
          <w:sz w:val="26"/>
          <w:highlight w:val="none"/>
        </w:rPr>
        <w:t>四、答疑截止时间</w:t>
      </w:r>
    </w:p>
    <w:p w14:paraId="565B061A">
      <w:pPr>
        <w:adjustRightInd/>
        <w:snapToGrid/>
        <w:spacing w:before="150" w:after="0" w:line="480" w:lineRule="atLeast"/>
        <w:ind w:firstLine="480"/>
        <w:jc w:val="both"/>
        <w:rPr>
          <w:rFonts w:hint="eastAsia" w:ascii="方正仿宋简体" w:hAnsi="宋体" w:eastAsia="方正仿宋简体" w:cs="宋体"/>
          <w:color w:val="404040"/>
          <w:sz w:val="28"/>
          <w:szCs w:val="28"/>
          <w:highlight w:val="none"/>
        </w:rPr>
      </w:pPr>
      <w:r>
        <w:rPr>
          <w:rFonts w:hint="eastAsia" w:ascii="宋体" w:hAnsi="宋体" w:eastAsia="宋体" w:cs="宋体"/>
          <w:color w:val="404040"/>
          <w:sz w:val="26"/>
          <w:szCs w:val="26"/>
          <w:highlight w:val="none"/>
        </w:rPr>
        <w:t>投标人若要求澄清招标文件，应在获取招标文件截止时间后的2个工作日内提出，招标人将随时解答。</w:t>
      </w:r>
    </w:p>
    <w:p w14:paraId="7B3747C9">
      <w:pPr>
        <w:adjustRightInd/>
        <w:snapToGrid/>
        <w:spacing w:before="150" w:after="0" w:line="480" w:lineRule="atLeast"/>
        <w:jc w:val="both"/>
        <w:rPr>
          <w:rFonts w:hint="eastAsia" w:ascii="方正仿宋简体" w:hAnsi="宋体" w:eastAsia="方正仿宋简体" w:cs="宋体"/>
          <w:color w:val="404040"/>
          <w:sz w:val="28"/>
          <w:szCs w:val="28"/>
          <w:highlight w:val="none"/>
        </w:rPr>
      </w:pPr>
      <w:r>
        <w:rPr>
          <w:rFonts w:hint="eastAsia" w:ascii="黑体" w:hAnsi="黑体" w:eastAsia="黑体" w:cs="宋体"/>
          <w:b/>
          <w:bCs/>
          <w:color w:val="404040"/>
          <w:sz w:val="26"/>
          <w:highlight w:val="none"/>
        </w:rPr>
        <w:t>五、投标文件的要求及递交</w:t>
      </w:r>
    </w:p>
    <w:p w14:paraId="245CF9D9">
      <w:pPr>
        <w:adjustRightInd/>
        <w:snapToGrid/>
        <w:spacing w:before="150" w:after="0" w:line="480" w:lineRule="atLeast"/>
        <w:ind w:firstLine="480"/>
        <w:jc w:val="both"/>
        <w:rPr>
          <w:rFonts w:hint="eastAsia" w:ascii="方正仿宋简体" w:hAnsi="宋体" w:eastAsia="方正仿宋简体" w:cs="宋体"/>
          <w:color w:val="404040"/>
          <w:sz w:val="28"/>
          <w:szCs w:val="28"/>
          <w:highlight w:val="none"/>
        </w:rPr>
      </w:pPr>
      <w:r>
        <w:rPr>
          <w:rFonts w:hint="eastAsia" w:ascii="宋体" w:hAnsi="宋体" w:eastAsia="宋体" w:cs="宋体"/>
          <w:color w:val="404040"/>
          <w:sz w:val="26"/>
          <w:szCs w:val="26"/>
          <w:highlight w:val="none"/>
        </w:rPr>
        <w:t>1、投标文件正本</w:t>
      </w:r>
      <w:r>
        <w:rPr>
          <w:rFonts w:hint="eastAsia" w:ascii="宋体" w:hAnsi="宋体" w:eastAsia="宋体" w:cs="宋体"/>
          <w:bCs/>
          <w:color w:val="404040"/>
          <w:sz w:val="26"/>
          <w:szCs w:val="26"/>
          <w:highlight w:val="none"/>
          <w:u w:val="single"/>
        </w:rPr>
        <w:t>壹</w:t>
      </w:r>
      <w:r>
        <w:rPr>
          <w:rFonts w:hint="eastAsia" w:ascii="宋体" w:hAnsi="宋体" w:eastAsia="宋体" w:cs="宋体"/>
          <w:color w:val="404040"/>
          <w:sz w:val="26"/>
          <w:szCs w:val="26"/>
          <w:highlight w:val="none"/>
        </w:rPr>
        <w:t>份</w:t>
      </w:r>
      <w:r>
        <w:rPr>
          <w:rFonts w:ascii="宋体" w:hAnsi="宋体" w:eastAsia="宋体" w:cs="宋体"/>
          <w:color w:val="404040"/>
          <w:sz w:val="26"/>
          <w:szCs w:val="26"/>
          <w:highlight w:val="none"/>
        </w:rPr>
        <w:t>,</w:t>
      </w:r>
      <w:r>
        <w:rPr>
          <w:rFonts w:hint="eastAsia" w:ascii="宋体" w:hAnsi="宋体" w:eastAsia="宋体" w:cs="宋体"/>
          <w:color w:val="404040"/>
          <w:sz w:val="26"/>
          <w:szCs w:val="26"/>
          <w:highlight w:val="none"/>
        </w:rPr>
        <w:t>副本</w:t>
      </w:r>
      <w:r>
        <w:rPr>
          <w:rFonts w:hint="eastAsia" w:ascii="宋体" w:hAnsi="宋体" w:eastAsia="宋体" w:cs="宋体"/>
          <w:color w:val="404040"/>
          <w:sz w:val="26"/>
          <w:szCs w:val="26"/>
          <w:highlight w:val="none"/>
          <w:u w:val="single"/>
        </w:rPr>
        <w:t>壹</w:t>
      </w:r>
      <w:r>
        <w:rPr>
          <w:rFonts w:hint="eastAsia" w:ascii="宋体" w:hAnsi="宋体" w:eastAsia="宋体" w:cs="宋体"/>
          <w:color w:val="404040"/>
          <w:sz w:val="26"/>
          <w:szCs w:val="26"/>
          <w:highlight w:val="none"/>
        </w:rPr>
        <w:t>份并密封加盖投标人公章。投标文件未密封完好将导致投标被拒绝。</w:t>
      </w:r>
    </w:p>
    <w:p w14:paraId="36FB217D">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2、投标文件递交的截止时间：</w:t>
      </w:r>
      <w:r>
        <w:rPr>
          <w:rFonts w:hint="eastAsia" w:ascii="宋体" w:hAnsi="宋体" w:eastAsia="宋体" w:cs="宋体"/>
          <w:color w:val="404040"/>
          <w:sz w:val="26"/>
          <w:szCs w:val="26"/>
          <w:highlight w:val="none"/>
          <w:lang w:val="en-US" w:eastAsia="zh-CN"/>
        </w:rPr>
        <w:t>2024</w:t>
      </w:r>
      <w:r>
        <w:rPr>
          <w:rFonts w:hint="eastAsia" w:ascii="宋体" w:hAnsi="宋体" w:eastAsia="宋体" w:cs="宋体"/>
          <w:color w:val="404040"/>
          <w:sz w:val="26"/>
          <w:szCs w:val="26"/>
          <w:highlight w:val="none"/>
        </w:rPr>
        <w:t>年</w:t>
      </w:r>
      <w:r>
        <w:rPr>
          <w:rFonts w:hint="eastAsia" w:ascii="宋体" w:hAnsi="宋体" w:eastAsia="宋体" w:cs="宋体"/>
          <w:color w:val="404040"/>
          <w:sz w:val="26"/>
          <w:szCs w:val="26"/>
          <w:highlight w:val="none"/>
          <w:lang w:val="en-US" w:eastAsia="zh-CN"/>
        </w:rPr>
        <w:t>10</w:t>
      </w:r>
      <w:r>
        <w:rPr>
          <w:rFonts w:hint="eastAsia" w:ascii="宋体" w:hAnsi="宋体" w:eastAsia="宋体" w:cs="宋体"/>
          <w:color w:val="404040"/>
          <w:sz w:val="26"/>
          <w:szCs w:val="26"/>
          <w:highlight w:val="none"/>
        </w:rPr>
        <w:t>月</w:t>
      </w:r>
      <w:r>
        <w:rPr>
          <w:rFonts w:hint="eastAsia" w:ascii="宋体" w:hAnsi="宋体" w:eastAsia="宋体" w:cs="宋体"/>
          <w:color w:val="404040"/>
          <w:sz w:val="26"/>
          <w:szCs w:val="26"/>
          <w:highlight w:val="none"/>
          <w:lang w:val="en-US" w:eastAsia="zh-CN"/>
        </w:rPr>
        <w:t>9</w:t>
      </w:r>
      <w:r>
        <w:rPr>
          <w:rFonts w:hint="eastAsia" w:ascii="宋体" w:hAnsi="宋体" w:eastAsia="宋体" w:cs="宋体"/>
          <w:color w:val="404040"/>
          <w:sz w:val="26"/>
          <w:szCs w:val="26"/>
          <w:highlight w:val="none"/>
        </w:rPr>
        <w:t>日9:00，提交地点为福建省肿瘤医院总务科，未送达指定地点或逾期送达者拒收。</w:t>
      </w:r>
    </w:p>
    <w:p w14:paraId="061DB147">
      <w:pPr>
        <w:adjustRightInd/>
        <w:snapToGrid/>
        <w:spacing w:before="150" w:after="0" w:line="480" w:lineRule="atLeast"/>
        <w:jc w:val="both"/>
        <w:rPr>
          <w:rFonts w:hint="eastAsia" w:ascii="方正仿宋简体" w:hAnsi="宋体" w:eastAsia="方正仿宋简体" w:cs="宋体"/>
          <w:color w:val="404040"/>
          <w:sz w:val="28"/>
          <w:szCs w:val="28"/>
          <w:highlight w:val="none"/>
        </w:rPr>
      </w:pPr>
      <w:r>
        <w:rPr>
          <w:rFonts w:hint="eastAsia" w:ascii="黑体" w:hAnsi="黑体" w:eastAsia="黑体" w:cs="宋体"/>
          <w:b/>
          <w:bCs/>
          <w:color w:val="404040"/>
          <w:sz w:val="26"/>
          <w:highlight w:val="none"/>
        </w:rPr>
        <w:t>六、开标评标时间地点</w:t>
      </w:r>
    </w:p>
    <w:p w14:paraId="07D969F9">
      <w:pPr>
        <w:adjustRightInd/>
        <w:snapToGrid/>
        <w:spacing w:before="150" w:after="0" w:line="480" w:lineRule="atLeast"/>
        <w:ind w:firstLine="390" w:firstLineChars="15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1、开标时间：20</w:t>
      </w:r>
      <w:r>
        <w:rPr>
          <w:rFonts w:hint="eastAsia" w:ascii="宋体" w:hAnsi="宋体" w:eastAsia="宋体" w:cs="宋体"/>
          <w:color w:val="404040"/>
          <w:sz w:val="26"/>
          <w:szCs w:val="26"/>
          <w:highlight w:val="none"/>
          <w:lang w:val="en-US" w:eastAsia="zh-CN"/>
        </w:rPr>
        <w:t>24</w:t>
      </w:r>
      <w:r>
        <w:rPr>
          <w:rFonts w:hint="eastAsia" w:ascii="宋体" w:hAnsi="宋体" w:eastAsia="宋体" w:cs="宋体"/>
          <w:color w:val="404040"/>
          <w:sz w:val="26"/>
          <w:szCs w:val="26"/>
          <w:highlight w:val="none"/>
        </w:rPr>
        <w:t>年</w:t>
      </w:r>
      <w:r>
        <w:rPr>
          <w:rFonts w:hint="eastAsia" w:ascii="宋体" w:hAnsi="宋体" w:eastAsia="宋体" w:cs="宋体"/>
          <w:color w:val="404040"/>
          <w:sz w:val="26"/>
          <w:szCs w:val="26"/>
          <w:highlight w:val="none"/>
          <w:lang w:val="en-US" w:eastAsia="zh-CN"/>
        </w:rPr>
        <w:t>10</w:t>
      </w:r>
      <w:r>
        <w:rPr>
          <w:rFonts w:hint="eastAsia" w:ascii="宋体" w:hAnsi="宋体" w:eastAsia="宋体" w:cs="宋体"/>
          <w:color w:val="404040"/>
          <w:sz w:val="26"/>
          <w:szCs w:val="26"/>
          <w:highlight w:val="none"/>
        </w:rPr>
        <w:t>月9</w:t>
      </w:r>
      <w:bookmarkStart w:id="0" w:name="_GoBack"/>
      <w:bookmarkEnd w:id="0"/>
      <w:r>
        <w:rPr>
          <w:rFonts w:hint="eastAsia" w:ascii="宋体" w:hAnsi="宋体" w:eastAsia="宋体" w:cs="宋体"/>
          <w:color w:val="404040"/>
          <w:sz w:val="26"/>
          <w:szCs w:val="26"/>
          <w:highlight w:val="none"/>
        </w:rPr>
        <w:t>日</w:t>
      </w:r>
      <w:r>
        <w:rPr>
          <w:rFonts w:hint="eastAsia" w:ascii="宋体" w:hAnsi="宋体" w:eastAsia="宋体" w:cs="宋体"/>
          <w:color w:val="404040"/>
          <w:sz w:val="26"/>
          <w:szCs w:val="26"/>
          <w:highlight w:val="none"/>
          <w:lang w:val="en-US" w:eastAsia="zh-CN"/>
        </w:rPr>
        <w:t>9</w:t>
      </w:r>
      <w:r>
        <w:rPr>
          <w:rFonts w:hint="eastAsia" w:ascii="宋体" w:hAnsi="宋体" w:eastAsia="宋体" w:cs="宋体"/>
          <w:color w:val="404040"/>
          <w:sz w:val="26"/>
          <w:szCs w:val="26"/>
          <w:highlight w:val="none"/>
        </w:rPr>
        <w:t>:</w:t>
      </w:r>
      <w:r>
        <w:rPr>
          <w:rFonts w:hint="eastAsia" w:ascii="宋体" w:hAnsi="宋体" w:eastAsia="宋体" w:cs="宋体"/>
          <w:color w:val="404040"/>
          <w:sz w:val="26"/>
          <w:szCs w:val="26"/>
          <w:highlight w:val="none"/>
          <w:lang w:val="en-US" w:eastAsia="zh-CN"/>
        </w:rPr>
        <w:t>0</w:t>
      </w:r>
      <w:r>
        <w:rPr>
          <w:rFonts w:hint="eastAsia" w:ascii="宋体" w:hAnsi="宋体" w:eastAsia="宋体" w:cs="宋体"/>
          <w:color w:val="404040"/>
          <w:sz w:val="26"/>
          <w:szCs w:val="26"/>
          <w:highlight w:val="none"/>
        </w:rPr>
        <w:t>0时</w:t>
      </w:r>
    </w:p>
    <w:p w14:paraId="4D6E3E7C">
      <w:pPr>
        <w:adjustRightInd/>
        <w:snapToGrid/>
        <w:spacing w:before="150" w:after="0" w:line="480" w:lineRule="atLeast"/>
        <w:ind w:firstLine="480"/>
        <w:jc w:val="both"/>
        <w:rPr>
          <w:rFonts w:hint="eastAsia" w:ascii="方正仿宋简体" w:hAnsi="宋体" w:eastAsia="方正仿宋简体" w:cs="宋体"/>
          <w:color w:val="404040"/>
          <w:sz w:val="28"/>
          <w:szCs w:val="28"/>
        </w:rPr>
      </w:pPr>
      <w:r>
        <w:rPr>
          <w:rFonts w:hint="eastAsia" w:ascii="宋体" w:hAnsi="宋体" w:eastAsia="宋体" w:cs="宋体"/>
          <w:color w:val="404040"/>
          <w:sz w:val="26"/>
          <w:szCs w:val="26"/>
        </w:rPr>
        <w:t>2、评标时间：开标后即开始评标。</w:t>
      </w:r>
    </w:p>
    <w:p w14:paraId="6789E7F5">
      <w:pPr>
        <w:adjustRightInd/>
        <w:snapToGrid/>
        <w:spacing w:before="150" w:after="0" w:line="480" w:lineRule="atLeast"/>
        <w:ind w:firstLine="520" w:firstLineChars="200"/>
        <w:jc w:val="both"/>
        <w:rPr>
          <w:rFonts w:hint="eastAsia" w:ascii="宋体" w:hAnsi="宋体" w:eastAsia="宋体" w:cs="宋体"/>
          <w:color w:val="404040"/>
          <w:sz w:val="26"/>
          <w:szCs w:val="26"/>
        </w:rPr>
      </w:pPr>
      <w:r>
        <w:rPr>
          <w:rFonts w:hint="eastAsia" w:ascii="宋体" w:hAnsi="宋体" w:eastAsia="宋体" w:cs="宋体"/>
          <w:color w:val="404040"/>
          <w:sz w:val="26"/>
          <w:szCs w:val="26"/>
        </w:rPr>
        <w:t>3、地点：福建省肿瘤医院科研楼一楼总务科</w:t>
      </w:r>
    </w:p>
    <w:p w14:paraId="342D7124">
      <w:pPr>
        <w:adjustRightInd/>
        <w:snapToGrid/>
        <w:spacing w:before="150" w:after="0" w:line="480" w:lineRule="atLeast"/>
        <w:ind w:firstLine="480"/>
        <w:jc w:val="both"/>
        <w:rPr>
          <w:rFonts w:hint="eastAsia" w:ascii="宋体" w:hAnsi="宋体" w:eastAsia="宋体" w:cs="宋体"/>
          <w:color w:val="404040"/>
          <w:sz w:val="26"/>
          <w:szCs w:val="26"/>
        </w:rPr>
      </w:pPr>
      <w:r>
        <w:rPr>
          <w:rFonts w:hint="eastAsia" w:ascii="宋体" w:hAnsi="宋体" w:eastAsia="宋体" w:cs="宋体"/>
          <w:color w:val="404040"/>
          <w:sz w:val="26"/>
          <w:szCs w:val="26"/>
        </w:rPr>
        <w:t>备注：以上时间地点若有更改，以招标人电话通知为准。</w:t>
      </w:r>
    </w:p>
    <w:p w14:paraId="6F646113">
      <w:pPr>
        <w:adjustRightInd/>
        <w:snapToGrid/>
        <w:spacing w:before="150" w:after="0" w:line="480" w:lineRule="atLeast"/>
        <w:jc w:val="both"/>
        <w:rPr>
          <w:rFonts w:hint="eastAsia" w:ascii="方正仿宋简体" w:hAnsi="宋体" w:eastAsia="方正仿宋简体" w:cs="宋体"/>
          <w:color w:val="404040"/>
          <w:sz w:val="28"/>
          <w:szCs w:val="28"/>
        </w:rPr>
      </w:pPr>
      <w:r>
        <w:rPr>
          <w:rFonts w:hint="eastAsia" w:ascii="黑体" w:hAnsi="黑体" w:eastAsia="黑体" w:cs="宋体"/>
          <w:b/>
          <w:bCs/>
          <w:color w:val="404040"/>
          <w:sz w:val="26"/>
        </w:rPr>
        <w:t>八、评标原则及办法</w:t>
      </w:r>
    </w:p>
    <w:p w14:paraId="0DB5692A">
      <w:pPr>
        <w:adjustRightInd/>
        <w:snapToGrid/>
        <w:spacing w:before="150" w:after="0" w:line="480" w:lineRule="atLeast"/>
        <w:ind w:firstLine="480"/>
        <w:jc w:val="both"/>
        <w:rPr>
          <w:rFonts w:hint="eastAsia" w:ascii="方正仿宋简体" w:hAnsi="宋体" w:eastAsia="方正仿宋简体" w:cs="宋体"/>
          <w:color w:val="404040"/>
          <w:sz w:val="28"/>
          <w:szCs w:val="28"/>
        </w:rPr>
      </w:pPr>
      <w:r>
        <w:rPr>
          <w:rFonts w:hint="eastAsia" w:ascii="宋体" w:hAnsi="宋体" w:eastAsia="宋体" w:cs="宋体"/>
          <w:color w:val="404040"/>
          <w:sz w:val="26"/>
          <w:szCs w:val="26"/>
        </w:rPr>
        <w:t>1、评标活动遵循公平、公正、科学和择优的原则。</w:t>
      </w:r>
    </w:p>
    <w:p w14:paraId="690DFCA2">
      <w:pPr>
        <w:adjustRightInd/>
        <w:snapToGrid/>
        <w:spacing w:before="150" w:after="0" w:line="480" w:lineRule="atLeast"/>
        <w:ind w:firstLine="480"/>
        <w:jc w:val="both"/>
        <w:rPr>
          <w:rFonts w:hint="eastAsia" w:ascii="宋体" w:hAnsi="宋体" w:eastAsia="宋体" w:cs="宋体"/>
          <w:color w:val="404040"/>
          <w:sz w:val="26"/>
          <w:szCs w:val="26"/>
        </w:rPr>
      </w:pPr>
      <w:r>
        <w:rPr>
          <w:rFonts w:hint="eastAsia" w:ascii="宋体" w:hAnsi="宋体" w:eastAsia="宋体" w:cs="宋体"/>
          <w:color w:val="404040"/>
          <w:sz w:val="26"/>
          <w:szCs w:val="26"/>
        </w:rPr>
        <w:t>2、评标方法：</w:t>
      </w:r>
      <w:r>
        <w:rPr>
          <w:rFonts w:hint="eastAsia" w:ascii="宋体" w:hAnsi="宋体" w:eastAsia="宋体" w:cs="宋体"/>
          <w:color w:val="404040"/>
          <w:sz w:val="26"/>
          <w:szCs w:val="26"/>
          <w:lang w:eastAsia="zh-CN"/>
        </w:rPr>
        <w:t>综合评分</w:t>
      </w:r>
      <w:r>
        <w:rPr>
          <w:rFonts w:hint="eastAsia" w:ascii="宋体" w:hAnsi="宋体" w:eastAsia="宋体" w:cs="宋体"/>
          <w:color w:val="404040"/>
          <w:sz w:val="26"/>
          <w:szCs w:val="26"/>
        </w:rPr>
        <w:t>。</w:t>
      </w:r>
    </w:p>
    <w:p w14:paraId="3E3F697F">
      <w:pPr>
        <w:adjustRightInd/>
        <w:snapToGrid/>
        <w:spacing w:before="150" w:after="0" w:line="480" w:lineRule="atLeast"/>
        <w:ind w:firstLine="520" w:firstLineChars="200"/>
        <w:jc w:val="both"/>
        <w:rPr>
          <w:rFonts w:hint="eastAsia" w:ascii="方正仿宋简体" w:hAnsi="宋体" w:eastAsia="方正仿宋简体" w:cs="宋体"/>
          <w:color w:val="404040"/>
          <w:sz w:val="28"/>
          <w:szCs w:val="28"/>
        </w:rPr>
      </w:pPr>
      <w:r>
        <w:rPr>
          <w:rFonts w:hint="eastAsia" w:ascii="宋体" w:hAnsi="宋体" w:eastAsia="宋体" w:cs="宋体"/>
          <w:color w:val="404040"/>
          <w:sz w:val="26"/>
          <w:szCs w:val="26"/>
        </w:rPr>
        <w:t>3、投标人之间有相互串通投标、弄虚作假等违规行为者，将作废标处理，并在我院未来的项目招标中被拒绝接受投标。</w:t>
      </w:r>
    </w:p>
    <w:p w14:paraId="57F90F9B">
      <w:pPr>
        <w:adjustRightInd/>
        <w:snapToGrid/>
        <w:spacing w:before="150" w:after="0" w:line="480" w:lineRule="atLeast"/>
        <w:jc w:val="both"/>
        <w:rPr>
          <w:rFonts w:hint="eastAsia" w:ascii="方正仿宋简体" w:hAnsi="宋体" w:eastAsia="方正仿宋简体" w:cs="宋体"/>
          <w:color w:val="404040"/>
          <w:sz w:val="28"/>
          <w:szCs w:val="28"/>
        </w:rPr>
      </w:pPr>
      <w:r>
        <w:rPr>
          <w:rFonts w:hint="eastAsia" w:ascii="黑体" w:hAnsi="黑体" w:eastAsia="黑体" w:cs="宋体"/>
          <w:b/>
          <w:bCs/>
          <w:color w:val="404040"/>
          <w:sz w:val="26"/>
        </w:rPr>
        <w:t>九、合同条款内容及签订</w:t>
      </w:r>
    </w:p>
    <w:p w14:paraId="18AAD3AF">
      <w:pPr>
        <w:adjustRightInd/>
        <w:snapToGrid/>
        <w:spacing w:before="150" w:after="0" w:line="480" w:lineRule="atLeast"/>
        <w:ind w:firstLine="480"/>
        <w:jc w:val="both"/>
        <w:rPr>
          <w:rFonts w:hint="eastAsia" w:ascii="方正仿宋简体" w:hAnsi="宋体" w:eastAsia="方正仿宋简体" w:cs="宋体"/>
          <w:color w:val="404040"/>
          <w:sz w:val="28"/>
          <w:szCs w:val="28"/>
        </w:rPr>
      </w:pPr>
      <w:r>
        <w:rPr>
          <w:rFonts w:hint="eastAsia" w:ascii="宋体" w:hAnsi="宋体" w:eastAsia="宋体" w:cs="宋体"/>
          <w:color w:val="404040"/>
          <w:sz w:val="26"/>
          <w:szCs w:val="26"/>
        </w:rPr>
        <w:t>1、合同专用条款内容依照国家规范文本，合同通用条款内容解释依照国家规范文本。</w:t>
      </w:r>
    </w:p>
    <w:p w14:paraId="7E4E48C2">
      <w:pPr>
        <w:adjustRightInd/>
        <w:snapToGrid/>
        <w:spacing w:before="150" w:after="0" w:line="480" w:lineRule="atLeast"/>
        <w:ind w:firstLine="480"/>
        <w:jc w:val="both"/>
        <w:rPr>
          <w:rFonts w:hint="eastAsia" w:ascii="方正仿宋简体" w:hAnsi="宋体" w:eastAsia="方正仿宋简体" w:cs="宋体"/>
          <w:color w:val="404040"/>
          <w:sz w:val="28"/>
          <w:szCs w:val="28"/>
        </w:rPr>
      </w:pPr>
      <w:r>
        <w:rPr>
          <w:rFonts w:hint="eastAsia" w:ascii="宋体" w:hAnsi="宋体" w:eastAsia="宋体" w:cs="宋体"/>
          <w:color w:val="404040"/>
          <w:sz w:val="26"/>
          <w:szCs w:val="26"/>
        </w:rPr>
        <w:t>2、合同签订：中标人在接到中标通知后3天内，应派代表与招标人联系，商讨签订合同事宜。</w:t>
      </w:r>
    </w:p>
    <w:p w14:paraId="0617C098">
      <w:pPr>
        <w:adjustRightInd/>
        <w:snapToGrid/>
        <w:spacing w:after="0" w:line="480" w:lineRule="atLeast"/>
        <w:ind w:firstLine="480"/>
        <w:jc w:val="both"/>
        <w:rPr>
          <w:rFonts w:hint="eastAsia" w:ascii="方正仿宋简体" w:hAnsi="宋体" w:eastAsia="方正仿宋简体" w:cs="宋体"/>
          <w:color w:val="404040"/>
          <w:sz w:val="28"/>
          <w:szCs w:val="28"/>
        </w:rPr>
      </w:pPr>
      <w:r>
        <w:rPr>
          <w:rFonts w:hint="eastAsia" w:ascii="宋体" w:hAnsi="宋体" w:eastAsia="宋体" w:cs="宋体"/>
          <w:color w:val="404040"/>
          <w:sz w:val="26"/>
          <w:szCs w:val="26"/>
        </w:rPr>
        <w:t>3、合同价格形式：本项目采用固定单价合同，工程量按实结算。</w:t>
      </w:r>
    </w:p>
    <w:p w14:paraId="21972D65">
      <w:pPr>
        <w:adjustRightInd/>
        <w:snapToGrid/>
        <w:spacing w:after="0" w:line="480" w:lineRule="atLeast"/>
        <w:jc w:val="both"/>
        <w:rPr>
          <w:rFonts w:hint="eastAsia" w:ascii="方正仿宋简体" w:hAnsi="宋体" w:eastAsia="方正仿宋简体" w:cs="宋体"/>
          <w:color w:val="404040"/>
          <w:sz w:val="28"/>
          <w:szCs w:val="28"/>
        </w:rPr>
      </w:pPr>
      <w:r>
        <w:rPr>
          <w:rFonts w:hint="eastAsia" w:ascii="黑体" w:hAnsi="黑体" w:eastAsia="黑体" w:cs="宋体"/>
          <w:b/>
          <w:bCs/>
          <w:color w:val="404040"/>
          <w:sz w:val="26"/>
        </w:rPr>
        <w:t>十、付款方式与条件</w:t>
      </w:r>
    </w:p>
    <w:p w14:paraId="264686DC">
      <w:pPr>
        <w:adjustRightInd/>
        <w:snapToGrid/>
        <w:spacing w:after="0" w:line="480" w:lineRule="atLeast"/>
        <w:ind w:firstLine="480"/>
        <w:jc w:val="both"/>
        <w:rPr>
          <w:rFonts w:hint="eastAsia" w:ascii="方正仿宋简体" w:hAnsi="宋体" w:eastAsia="方正仿宋简体" w:cs="宋体"/>
          <w:color w:val="404040"/>
          <w:sz w:val="28"/>
          <w:szCs w:val="28"/>
        </w:rPr>
      </w:pPr>
      <w:r>
        <w:rPr>
          <w:rFonts w:hint="eastAsia" w:ascii="宋体" w:hAnsi="宋体" w:eastAsia="宋体" w:cs="宋体"/>
          <w:color w:val="404040"/>
          <w:sz w:val="26"/>
          <w:szCs w:val="26"/>
        </w:rPr>
        <w:t>工程竣工，并经甲方验收合格后，乙方申报竣工结算，经甲方审计部门审核后，支付至审定价款的100%</w:t>
      </w:r>
    </w:p>
    <w:p w14:paraId="183D52C5">
      <w:pPr>
        <w:adjustRightInd/>
        <w:snapToGrid/>
        <w:spacing w:before="150" w:after="0" w:line="480" w:lineRule="atLeast"/>
        <w:jc w:val="both"/>
        <w:rPr>
          <w:rFonts w:hint="eastAsia" w:ascii="方正仿宋简体" w:hAnsi="宋体" w:eastAsia="方正仿宋简体" w:cs="宋体"/>
          <w:color w:val="404040"/>
          <w:sz w:val="28"/>
          <w:szCs w:val="28"/>
        </w:rPr>
      </w:pPr>
      <w:r>
        <w:rPr>
          <w:rFonts w:hint="eastAsia" w:ascii="黑体" w:hAnsi="黑体" w:eastAsia="黑体" w:cs="宋体"/>
          <w:b/>
          <w:bCs/>
          <w:color w:val="404040"/>
          <w:sz w:val="26"/>
        </w:rPr>
        <w:t>十一、其他未详尽事宜</w:t>
      </w:r>
    </w:p>
    <w:p w14:paraId="42993DD9">
      <w:pPr>
        <w:adjustRightInd/>
        <w:snapToGrid/>
        <w:spacing w:before="150" w:after="0" w:line="480" w:lineRule="atLeast"/>
        <w:ind w:firstLine="480"/>
        <w:jc w:val="both"/>
        <w:rPr>
          <w:rFonts w:hint="eastAsia" w:ascii="方正仿宋简体" w:hAnsi="宋体" w:eastAsia="方正仿宋简体" w:cs="宋体"/>
          <w:color w:val="404040"/>
          <w:sz w:val="28"/>
          <w:szCs w:val="28"/>
        </w:rPr>
      </w:pPr>
      <w:r>
        <w:rPr>
          <w:rFonts w:hint="eastAsia" w:ascii="宋体" w:hAnsi="宋体" w:eastAsia="宋体" w:cs="宋体"/>
          <w:color w:val="404040"/>
          <w:sz w:val="26"/>
          <w:szCs w:val="26"/>
        </w:rPr>
        <w:t>依照国家工程项目招投标和政府采购有关规定。</w:t>
      </w:r>
    </w:p>
    <w:p w14:paraId="7254E1F7">
      <w:pPr>
        <w:adjustRightInd/>
        <w:snapToGrid/>
        <w:spacing w:before="150" w:after="0" w:line="480" w:lineRule="atLeast"/>
        <w:jc w:val="both"/>
        <w:rPr>
          <w:rFonts w:hint="eastAsia" w:ascii="方正仿宋简体" w:hAnsi="宋体" w:eastAsia="方正仿宋简体" w:cs="宋体"/>
          <w:color w:val="404040"/>
          <w:sz w:val="28"/>
          <w:szCs w:val="28"/>
        </w:rPr>
      </w:pPr>
      <w:r>
        <w:rPr>
          <w:rFonts w:hint="eastAsia" w:ascii="黑体" w:hAnsi="黑体" w:eastAsia="黑体" w:cs="宋体"/>
          <w:b/>
          <w:bCs/>
          <w:color w:val="404040"/>
          <w:sz w:val="26"/>
        </w:rPr>
        <w:t>十二、工程量清单</w:t>
      </w:r>
    </w:p>
    <w:p w14:paraId="2DD57B03">
      <w:pPr>
        <w:adjustRightInd/>
        <w:snapToGrid/>
        <w:spacing w:before="150" w:after="0" w:line="480" w:lineRule="atLeast"/>
        <w:ind w:firstLine="480"/>
        <w:jc w:val="both"/>
        <w:rPr>
          <w:rFonts w:hint="eastAsia" w:ascii="宋体" w:hAnsi="宋体" w:eastAsia="宋体" w:cs="宋体"/>
          <w:color w:val="404040"/>
          <w:sz w:val="26"/>
          <w:szCs w:val="26"/>
        </w:rPr>
      </w:pPr>
      <w:r>
        <w:rPr>
          <w:rFonts w:hint="eastAsia" w:ascii="宋体" w:hAnsi="宋体" w:eastAsia="宋体" w:cs="宋体"/>
          <w:color w:val="404040"/>
          <w:sz w:val="26"/>
          <w:szCs w:val="26"/>
        </w:rPr>
        <w:t>1.工程量清单每一个子目只允许有一个报价，没有填入单价或价格的， 其费用视为已分摊在工程量清单中的其他相关子目单价或价格中。</w:t>
      </w:r>
    </w:p>
    <w:p w14:paraId="4C2C0BEA">
      <w:pPr>
        <w:adjustRightInd/>
        <w:snapToGrid/>
        <w:spacing w:after="0"/>
        <w:rPr>
          <w:b/>
          <w:sz w:val="32"/>
          <w:szCs w:val="32"/>
        </w:rPr>
      </w:pPr>
      <w:r>
        <w:rPr>
          <w:b/>
          <w:sz w:val="32"/>
          <w:szCs w:val="32"/>
        </w:rPr>
        <w:br w:type="page"/>
      </w:r>
    </w:p>
    <w:p w14:paraId="0E4903CF">
      <w:pPr>
        <w:pStyle w:val="9"/>
        <w:spacing w:before="0" w:beforeAutospacing="0" w:after="150" w:afterAutospacing="0"/>
      </w:pPr>
      <w:r>
        <w:rPr>
          <w:rFonts w:hint="eastAsia"/>
        </w:rPr>
        <w:t>附件：</w:t>
      </w:r>
    </w:p>
    <w:p w14:paraId="16660991">
      <w:pPr>
        <w:pStyle w:val="9"/>
        <w:spacing w:before="0" w:beforeAutospacing="0" w:after="150" w:afterAutospacing="0"/>
      </w:pPr>
      <w:r>
        <w:rPr>
          <w:rFonts w:hint="eastAsia"/>
        </w:rPr>
        <w:t>①价格项（</w:t>
      </w:r>
      <w:r>
        <w:rPr>
          <w:rFonts w:cs="Calibri"/>
        </w:rPr>
        <w:t>F1</w:t>
      </w:r>
      <w:r>
        <w:rPr>
          <w:rFonts w:hint="eastAsia"/>
        </w:rPr>
        <w:t>×</w:t>
      </w:r>
      <w:r>
        <w:rPr>
          <w:rFonts w:cs="Calibri"/>
        </w:rPr>
        <w:t>A1</w:t>
      </w:r>
      <w:r>
        <w:rPr>
          <w:rFonts w:hint="eastAsia"/>
        </w:rPr>
        <w:t>）满分为</w:t>
      </w:r>
      <w:r>
        <w:rPr>
          <w:rFonts w:hint="eastAsia"/>
          <w:u w:val="single"/>
        </w:rPr>
        <w:t>30</w:t>
      </w:r>
      <w:r>
        <w:rPr>
          <w:rFonts w:hint="eastAsia"/>
        </w:rPr>
        <w:t>分。</w:t>
      </w:r>
    </w:p>
    <w:p w14:paraId="28588EE0">
      <w:pPr>
        <w:pStyle w:val="9"/>
        <w:spacing w:before="0" w:beforeAutospacing="0" w:after="150" w:afterAutospacing="0"/>
      </w:pPr>
      <w:r>
        <w:rPr>
          <w:rFonts w:hint="eastAsia"/>
        </w:rPr>
        <w:t>a.价格分采用低价优先法计算，即满足招标文件要求且投标价格最低的投标报价为评标基准价，其价格分为满分。其他投标人的价格分统一按照下列公式计算：投标报价得分</w:t>
      </w:r>
      <w:r>
        <w:rPr>
          <w:rFonts w:cs="Calibri"/>
        </w:rPr>
        <w:t>=</w:t>
      </w:r>
      <w:r>
        <w:rPr>
          <w:rFonts w:hint="eastAsia"/>
        </w:rPr>
        <w:t>（评标基准价／投标报价）</w:t>
      </w:r>
      <w:r>
        <w:rPr>
          <w:rFonts w:hint="eastAsia" w:ascii="宋体" w:hAnsi="宋体" w:eastAsia="宋体" w:cs="宋体"/>
          <w:b w:val="0"/>
          <w:bCs/>
          <w:color w:val="auto"/>
          <w:sz w:val="24"/>
          <w:szCs w:val="24"/>
          <w:highlight w:val="none"/>
        </w:rPr>
        <w:t>×价格权值</w:t>
      </w:r>
      <w:r>
        <w:rPr>
          <w:rFonts w:hint="eastAsia"/>
        </w:rPr>
        <w:t>×</w:t>
      </w:r>
      <w:r>
        <w:rPr>
          <w:rFonts w:cs="Calibri"/>
        </w:rPr>
        <w:t>100</w:t>
      </w:r>
      <w:r>
        <w:rPr>
          <w:rFonts w:hint="eastAsia"/>
        </w:rPr>
        <w:t>。因落实政府采购政策需进行价格扣除的，以扣除后的价格计算评标基准价和投标报价。</w:t>
      </w:r>
    </w:p>
    <w:p w14:paraId="0CCB45AD">
      <w:pPr>
        <w:pStyle w:val="9"/>
        <w:spacing w:before="0" w:beforeAutospacing="0" w:after="150" w:afterAutospacing="0"/>
      </w:pPr>
      <w:r>
        <w:rPr>
          <w:rFonts w:hint="eastAsia"/>
        </w:rPr>
        <w:t>②技术项（</w:t>
      </w:r>
      <w:r>
        <w:rPr>
          <w:rFonts w:cs="Calibri"/>
        </w:rPr>
        <w:t>F2</w:t>
      </w:r>
      <w:r>
        <w:rPr>
          <w:rFonts w:hint="eastAsia"/>
        </w:rPr>
        <w:t>×</w:t>
      </w:r>
      <w:r>
        <w:rPr>
          <w:rFonts w:cs="Calibri"/>
        </w:rPr>
        <w:t>A2</w:t>
      </w:r>
      <w:r>
        <w:rPr>
          <w:rFonts w:hint="eastAsia"/>
        </w:rPr>
        <w:t>）满分为</w:t>
      </w:r>
      <w:r>
        <w:rPr>
          <w:rFonts w:hint="eastAsia"/>
          <w:u w:val="single"/>
        </w:rPr>
        <w:t>60</w:t>
      </w:r>
      <w:r>
        <w:rPr>
          <w:rFonts w:hint="eastAsia"/>
        </w:rPr>
        <w:t>分。</w:t>
      </w:r>
    </w:p>
    <w:tbl>
      <w:tblPr>
        <w:tblStyle w:val="10"/>
        <w:tblW w:w="941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84"/>
        <w:gridCol w:w="999"/>
        <w:gridCol w:w="7330"/>
      </w:tblGrid>
      <w:tr w14:paraId="7216CE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084" w:type="dxa"/>
            <w:tcBorders>
              <w:top w:val="outset" w:color="auto" w:sz="6" w:space="0"/>
              <w:left w:val="outset" w:color="auto" w:sz="6" w:space="0"/>
              <w:bottom w:val="outset" w:color="auto" w:sz="6" w:space="0"/>
              <w:right w:val="outset" w:color="auto" w:sz="6" w:space="0"/>
            </w:tcBorders>
            <w:vAlign w:val="center"/>
          </w:tcPr>
          <w:p w14:paraId="309F0080">
            <w:pPr>
              <w:rPr>
                <w:rFonts w:ascii="宋体" w:hAnsi="宋体" w:eastAsia="宋体" w:cs="宋体"/>
                <w:color w:val="000000"/>
                <w:sz w:val="24"/>
                <w:lang w:bidi="ar"/>
              </w:rPr>
            </w:pPr>
            <w:r>
              <w:rPr>
                <w:rFonts w:ascii="宋体" w:hAnsi="宋体" w:eastAsia="宋体" w:cs="宋体"/>
                <w:color w:val="000000"/>
                <w:sz w:val="24"/>
                <w:lang w:bidi="ar"/>
              </w:rPr>
              <w:t>评标项目</w:t>
            </w:r>
          </w:p>
        </w:tc>
        <w:tc>
          <w:tcPr>
            <w:tcW w:w="999" w:type="dxa"/>
            <w:tcBorders>
              <w:top w:val="outset" w:color="auto" w:sz="6" w:space="0"/>
              <w:left w:val="outset" w:color="auto" w:sz="6" w:space="0"/>
              <w:bottom w:val="outset" w:color="auto" w:sz="6" w:space="0"/>
              <w:right w:val="outset" w:color="auto" w:sz="6" w:space="0"/>
            </w:tcBorders>
            <w:vAlign w:val="center"/>
          </w:tcPr>
          <w:p w14:paraId="0159C640">
            <w:pPr>
              <w:rPr>
                <w:rFonts w:ascii="宋体" w:hAnsi="宋体" w:eastAsia="宋体" w:cs="宋体"/>
                <w:color w:val="000000"/>
                <w:sz w:val="24"/>
                <w:lang w:bidi="ar"/>
              </w:rPr>
            </w:pPr>
            <w:r>
              <w:rPr>
                <w:rFonts w:ascii="宋体" w:hAnsi="宋体" w:eastAsia="宋体" w:cs="宋体"/>
                <w:color w:val="000000"/>
                <w:sz w:val="24"/>
                <w:lang w:bidi="ar"/>
              </w:rPr>
              <w:t>评标分值</w:t>
            </w:r>
          </w:p>
        </w:tc>
        <w:tc>
          <w:tcPr>
            <w:tcW w:w="7330" w:type="dxa"/>
            <w:tcBorders>
              <w:top w:val="outset" w:color="auto" w:sz="6" w:space="0"/>
              <w:left w:val="outset" w:color="auto" w:sz="6" w:space="0"/>
              <w:bottom w:val="outset" w:color="auto" w:sz="6" w:space="0"/>
              <w:right w:val="outset" w:color="auto" w:sz="6" w:space="0"/>
            </w:tcBorders>
            <w:vAlign w:val="center"/>
          </w:tcPr>
          <w:p w14:paraId="5EA44B02">
            <w:pPr>
              <w:rPr>
                <w:rFonts w:ascii="宋体" w:hAnsi="宋体" w:eastAsia="宋体" w:cs="宋体"/>
                <w:color w:val="000000"/>
                <w:sz w:val="24"/>
                <w:lang w:bidi="ar"/>
              </w:rPr>
            </w:pPr>
            <w:r>
              <w:rPr>
                <w:rFonts w:ascii="宋体" w:hAnsi="宋体" w:eastAsia="宋体" w:cs="宋体"/>
                <w:color w:val="000000"/>
                <w:sz w:val="24"/>
                <w:lang w:bidi="ar"/>
              </w:rPr>
              <w:t>评标方法描述</w:t>
            </w:r>
          </w:p>
        </w:tc>
      </w:tr>
      <w:tr w14:paraId="37D4CB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1084" w:type="dxa"/>
            <w:tcBorders>
              <w:top w:val="outset" w:color="auto" w:sz="6" w:space="0"/>
              <w:left w:val="outset" w:color="auto" w:sz="6" w:space="0"/>
              <w:bottom w:val="outset" w:color="auto" w:sz="6" w:space="0"/>
              <w:right w:val="outset" w:color="auto" w:sz="6" w:space="0"/>
            </w:tcBorders>
            <w:vAlign w:val="center"/>
          </w:tcPr>
          <w:p w14:paraId="0622487F">
            <w:pPr>
              <w:rPr>
                <w:rFonts w:hint="eastAsia" w:ascii="宋体" w:hAnsi="宋体" w:eastAsia="宋体" w:cs="宋体"/>
                <w:color w:val="000000"/>
                <w:sz w:val="24"/>
                <w:lang w:bidi="ar"/>
              </w:rPr>
            </w:pPr>
            <w:r>
              <w:rPr>
                <w:rFonts w:hint="eastAsia" w:ascii="宋体" w:hAnsi="宋体" w:eastAsia="宋体" w:cs="宋体"/>
                <w:color w:val="000000"/>
                <w:sz w:val="24"/>
                <w:lang w:bidi="ar"/>
              </w:rPr>
              <w:t>技术服务要求响应情况</w:t>
            </w:r>
          </w:p>
        </w:tc>
        <w:tc>
          <w:tcPr>
            <w:tcW w:w="999" w:type="dxa"/>
            <w:tcBorders>
              <w:top w:val="outset" w:color="auto" w:sz="6" w:space="0"/>
              <w:left w:val="outset" w:color="auto" w:sz="6" w:space="0"/>
              <w:bottom w:val="outset" w:color="auto" w:sz="6" w:space="0"/>
              <w:right w:val="outset" w:color="auto" w:sz="6" w:space="0"/>
            </w:tcBorders>
            <w:vAlign w:val="center"/>
          </w:tcPr>
          <w:p w14:paraId="73BA863A">
            <w:pPr>
              <w:rPr>
                <w:rFonts w:hint="eastAsia" w:ascii="宋体" w:hAnsi="宋体" w:eastAsia="宋体" w:cs="宋体"/>
                <w:color w:val="000000"/>
                <w:sz w:val="24"/>
                <w:lang w:bidi="ar"/>
              </w:rPr>
            </w:pPr>
            <w:r>
              <w:rPr>
                <w:rFonts w:hint="eastAsia" w:ascii="宋体" w:hAnsi="宋体" w:eastAsia="宋体" w:cs="宋体"/>
                <w:color w:val="000000"/>
                <w:sz w:val="24"/>
                <w:lang w:bidi="ar"/>
              </w:rPr>
              <w:t>46</w:t>
            </w:r>
          </w:p>
        </w:tc>
        <w:tc>
          <w:tcPr>
            <w:tcW w:w="7330" w:type="dxa"/>
            <w:tcBorders>
              <w:top w:val="outset" w:color="auto" w:sz="6" w:space="0"/>
              <w:left w:val="outset" w:color="auto" w:sz="6" w:space="0"/>
              <w:bottom w:val="outset" w:color="auto" w:sz="6" w:space="0"/>
              <w:right w:val="outset" w:color="auto" w:sz="6" w:space="0"/>
            </w:tcBorders>
            <w:vAlign w:val="center"/>
          </w:tcPr>
          <w:p w14:paraId="1EDFACEB">
            <w:pPr>
              <w:rPr>
                <w:rFonts w:hint="eastAsia" w:ascii="宋体" w:hAnsi="宋体" w:eastAsia="宋体" w:cs="宋体"/>
                <w:color w:val="000000"/>
                <w:sz w:val="24"/>
                <w:lang w:bidi="ar"/>
              </w:rPr>
            </w:pPr>
            <w:r>
              <w:rPr>
                <w:rFonts w:hint="eastAsia" w:ascii="宋体" w:hAnsi="宋体" w:eastAsia="宋体" w:cs="宋体"/>
                <w:color w:val="000000"/>
                <w:sz w:val="24"/>
                <w:lang w:bidi="ar"/>
              </w:rPr>
              <w:t>根据各供应商文件“采购内容及要求”中的二、技术要求的逐项响应承诺情况，由评标小组进行评议并评分, 完全满足磋商文件技术参数要求的得46分,偏离项1至23（共计23项）每负偏离一项的扣2分，正偏离不加分，扣完为止；供应商须按照本磋商文件所列的所有技术要求如实填写逐条响应。</w:t>
            </w:r>
          </w:p>
        </w:tc>
      </w:tr>
      <w:tr w14:paraId="4FD3A4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1084" w:type="dxa"/>
            <w:tcBorders>
              <w:top w:val="outset" w:color="auto" w:sz="6" w:space="0"/>
              <w:left w:val="outset" w:color="auto" w:sz="6" w:space="0"/>
              <w:bottom w:val="outset" w:color="auto" w:sz="6" w:space="0"/>
              <w:right w:val="outset" w:color="auto" w:sz="6" w:space="0"/>
            </w:tcBorders>
            <w:vAlign w:val="center"/>
          </w:tcPr>
          <w:p w14:paraId="5CF426C4">
            <w:pPr>
              <w:rPr>
                <w:rFonts w:hint="eastAsia" w:ascii="宋体" w:hAnsi="宋体" w:eastAsia="宋体" w:cs="宋体"/>
                <w:color w:val="000000"/>
                <w:sz w:val="24"/>
                <w:lang w:bidi="ar"/>
              </w:rPr>
            </w:pPr>
            <w:r>
              <w:rPr>
                <w:rFonts w:hint="eastAsia" w:ascii="宋体" w:hAnsi="宋体" w:eastAsia="宋体" w:cs="宋体"/>
                <w:color w:val="000000"/>
                <w:sz w:val="24"/>
                <w:lang w:bidi="ar"/>
              </w:rPr>
              <w:t>实施团队1</w:t>
            </w:r>
          </w:p>
        </w:tc>
        <w:tc>
          <w:tcPr>
            <w:tcW w:w="999" w:type="dxa"/>
            <w:tcBorders>
              <w:top w:val="outset" w:color="auto" w:sz="6" w:space="0"/>
              <w:left w:val="outset" w:color="auto" w:sz="6" w:space="0"/>
              <w:bottom w:val="outset" w:color="auto" w:sz="6" w:space="0"/>
              <w:right w:val="outset" w:color="auto" w:sz="6" w:space="0"/>
            </w:tcBorders>
            <w:vAlign w:val="center"/>
          </w:tcPr>
          <w:p w14:paraId="7FCFDA93">
            <w:pPr>
              <w:rPr>
                <w:rFonts w:hint="eastAsia" w:ascii="宋体" w:hAnsi="宋体" w:eastAsia="宋体" w:cs="宋体"/>
                <w:color w:val="000000"/>
                <w:sz w:val="24"/>
                <w:lang w:bidi="ar"/>
              </w:rPr>
            </w:pPr>
            <w:r>
              <w:rPr>
                <w:rFonts w:hint="eastAsia" w:ascii="宋体" w:hAnsi="宋体" w:eastAsia="宋体" w:cs="宋体"/>
                <w:color w:val="000000"/>
                <w:sz w:val="24"/>
                <w:lang w:bidi="ar"/>
              </w:rPr>
              <w:t>2</w:t>
            </w:r>
          </w:p>
        </w:tc>
        <w:tc>
          <w:tcPr>
            <w:tcW w:w="7330" w:type="dxa"/>
            <w:tcBorders>
              <w:top w:val="outset" w:color="auto" w:sz="6" w:space="0"/>
              <w:left w:val="outset" w:color="auto" w:sz="6" w:space="0"/>
              <w:bottom w:val="outset" w:color="auto" w:sz="6" w:space="0"/>
              <w:right w:val="outset" w:color="auto" w:sz="6" w:space="0"/>
            </w:tcBorders>
            <w:vAlign w:val="center"/>
          </w:tcPr>
          <w:p w14:paraId="788181ED">
            <w:pPr>
              <w:rPr>
                <w:rFonts w:hint="eastAsia" w:ascii="宋体" w:hAnsi="宋体" w:eastAsia="宋体" w:cs="宋体"/>
                <w:color w:val="000000"/>
                <w:sz w:val="24"/>
                <w:lang w:bidi="ar"/>
              </w:rPr>
            </w:pPr>
            <w:r>
              <w:rPr>
                <w:rFonts w:hint="eastAsia" w:ascii="宋体" w:hAnsi="宋体" w:eastAsia="宋体" w:cs="宋体"/>
                <w:color w:val="000000"/>
                <w:sz w:val="24"/>
                <w:lang w:bidi="ar"/>
              </w:rPr>
              <w:t>供应商能为本项目提供电工、施工员、质量员、材料员或安全员的，每提供一个岗位得0.5分，满分2分。</w:t>
            </w:r>
            <w:r>
              <w:rPr>
                <w:rFonts w:hint="eastAsia" w:ascii="宋体" w:hAnsi="宋体" w:eastAsia="宋体" w:cs="宋体"/>
                <w:bCs/>
                <w:sz w:val="24"/>
                <w:szCs w:val="24"/>
              </w:rPr>
              <w:t>必须为独立投标人的本企业在岗人员，以住房和城乡建设行政主管部门颁发的有效执业注册证书或社保管理部门出具的（近三个月缴交凭证，不含投标当月）社保缴费证明所署单位为准</w:t>
            </w:r>
            <w:r>
              <w:rPr>
                <w:rFonts w:hint="eastAsia" w:ascii="宋体" w:hAnsi="宋体" w:eastAsia="宋体" w:cs="宋体"/>
                <w:color w:val="000000"/>
                <w:sz w:val="24"/>
                <w:lang w:bidi="ar"/>
              </w:rPr>
              <w:t>，否则不得分。</w:t>
            </w:r>
            <w:r>
              <w:rPr>
                <w:rFonts w:hint="eastAsia" w:ascii="宋体" w:hAnsi="宋体" w:eastAsia="宋体" w:cs="宋体"/>
                <w:b/>
                <w:sz w:val="24"/>
                <w:szCs w:val="24"/>
              </w:rPr>
              <w:t>该团队人员与项目经理、技术负责人不得为同一人。</w:t>
            </w:r>
          </w:p>
        </w:tc>
      </w:tr>
      <w:tr w14:paraId="26458B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1084" w:type="dxa"/>
            <w:tcBorders>
              <w:top w:val="outset" w:color="auto" w:sz="6" w:space="0"/>
              <w:left w:val="outset" w:color="auto" w:sz="6" w:space="0"/>
              <w:bottom w:val="outset" w:color="auto" w:sz="6" w:space="0"/>
              <w:right w:val="outset" w:color="auto" w:sz="6" w:space="0"/>
            </w:tcBorders>
            <w:vAlign w:val="center"/>
          </w:tcPr>
          <w:p w14:paraId="79A019DF">
            <w:pPr>
              <w:rPr>
                <w:rFonts w:hint="eastAsia" w:ascii="宋体" w:hAnsi="宋体" w:eastAsia="宋体" w:cs="宋体"/>
                <w:color w:val="000000"/>
                <w:sz w:val="24"/>
                <w:lang w:bidi="ar"/>
              </w:rPr>
            </w:pPr>
            <w:r>
              <w:rPr>
                <w:rFonts w:hint="eastAsia" w:ascii="宋体" w:hAnsi="宋体" w:eastAsia="宋体" w:cs="宋体"/>
                <w:color w:val="000000"/>
                <w:sz w:val="24"/>
                <w:lang w:bidi="ar"/>
              </w:rPr>
              <w:t>实施团队2</w:t>
            </w:r>
          </w:p>
        </w:tc>
        <w:tc>
          <w:tcPr>
            <w:tcW w:w="999" w:type="dxa"/>
            <w:tcBorders>
              <w:top w:val="outset" w:color="auto" w:sz="6" w:space="0"/>
              <w:left w:val="outset" w:color="auto" w:sz="6" w:space="0"/>
              <w:bottom w:val="outset" w:color="auto" w:sz="6" w:space="0"/>
              <w:right w:val="outset" w:color="auto" w:sz="6" w:space="0"/>
            </w:tcBorders>
            <w:vAlign w:val="center"/>
          </w:tcPr>
          <w:p w14:paraId="60C88448">
            <w:pPr>
              <w:rPr>
                <w:rFonts w:hint="eastAsia" w:ascii="宋体" w:hAnsi="宋体" w:eastAsia="宋体" w:cs="宋体"/>
                <w:color w:val="000000"/>
                <w:sz w:val="24"/>
                <w:lang w:bidi="ar"/>
              </w:rPr>
            </w:pPr>
            <w:r>
              <w:rPr>
                <w:rFonts w:hint="eastAsia" w:ascii="宋体" w:hAnsi="宋体" w:eastAsia="宋体" w:cs="宋体"/>
                <w:color w:val="000000"/>
                <w:sz w:val="24"/>
                <w:lang w:bidi="ar"/>
              </w:rPr>
              <w:t>2</w:t>
            </w:r>
          </w:p>
        </w:tc>
        <w:tc>
          <w:tcPr>
            <w:tcW w:w="7330" w:type="dxa"/>
            <w:tcBorders>
              <w:top w:val="outset" w:color="auto" w:sz="6" w:space="0"/>
              <w:left w:val="outset" w:color="auto" w:sz="6" w:space="0"/>
              <w:bottom w:val="outset" w:color="auto" w:sz="6" w:space="0"/>
              <w:right w:val="outset" w:color="auto" w:sz="6" w:space="0"/>
            </w:tcBorders>
            <w:vAlign w:val="center"/>
          </w:tcPr>
          <w:p w14:paraId="77DDEA7B">
            <w:pPr>
              <w:rPr>
                <w:rFonts w:hint="eastAsia" w:ascii="宋体" w:hAnsi="宋体" w:eastAsia="宋体" w:cs="宋体"/>
                <w:color w:val="000000"/>
                <w:sz w:val="24"/>
                <w:lang w:bidi="ar"/>
              </w:rPr>
            </w:pPr>
            <w:r>
              <w:rPr>
                <w:rFonts w:hint="eastAsia" w:ascii="宋体" w:hAnsi="宋体" w:eastAsia="宋体" w:cs="宋体"/>
                <w:color w:val="000000"/>
                <w:sz w:val="24"/>
                <w:lang w:bidi="ar"/>
              </w:rPr>
              <w:t>供应商拟派的项目经理为二级及以上机电工程或建筑工程专业注册建造师并同时持有合格有效的安全生产考核合格证书B证的得2分。须提供建造师证、安全生产考核合格证书B证复印件，</w:t>
            </w:r>
            <w:r>
              <w:rPr>
                <w:rFonts w:hint="eastAsia" w:ascii="宋体" w:hAnsi="宋体" w:eastAsia="宋体" w:cs="宋体"/>
                <w:bCs/>
                <w:sz w:val="24"/>
                <w:szCs w:val="24"/>
              </w:rPr>
              <w:t>必须为独立投标人的本企业在岗人员，以住房和城乡建设行政主管部门颁发的有效执业注册证书或社保管理部门出具的（近三个月缴交凭证，不含投标当月）社保缴费证明所署单位为准</w:t>
            </w:r>
            <w:r>
              <w:rPr>
                <w:rFonts w:hint="eastAsia" w:ascii="宋体" w:hAnsi="宋体" w:eastAsia="宋体" w:cs="宋体"/>
                <w:color w:val="000000"/>
                <w:sz w:val="24"/>
                <w:lang w:bidi="ar"/>
              </w:rPr>
              <w:t>，否则不得分。项目经理与技术负责人不得为同一人。</w:t>
            </w:r>
            <w:r>
              <w:rPr>
                <w:rFonts w:hint="eastAsia" w:ascii="宋体" w:hAnsi="宋体" w:eastAsia="宋体" w:cs="宋体"/>
                <w:b/>
                <w:sz w:val="24"/>
                <w:szCs w:val="24"/>
              </w:rPr>
              <w:t>注：项目经理与技术负责人不得为同一人。</w:t>
            </w:r>
          </w:p>
        </w:tc>
      </w:tr>
      <w:tr w14:paraId="1A2A2A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1084" w:type="dxa"/>
            <w:tcBorders>
              <w:top w:val="outset" w:color="auto" w:sz="6" w:space="0"/>
              <w:left w:val="outset" w:color="auto" w:sz="6" w:space="0"/>
              <w:bottom w:val="outset" w:color="auto" w:sz="6" w:space="0"/>
              <w:right w:val="outset" w:color="auto" w:sz="6" w:space="0"/>
            </w:tcBorders>
            <w:vAlign w:val="center"/>
          </w:tcPr>
          <w:p w14:paraId="0A246928">
            <w:pPr>
              <w:rPr>
                <w:rFonts w:hint="eastAsia" w:ascii="宋体" w:hAnsi="宋体" w:eastAsia="宋体" w:cs="宋体"/>
                <w:color w:val="000000"/>
                <w:sz w:val="24"/>
                <w:lang w:bidi="ar"/>
              </w:rPr>
            </w:pPr>
            <w:r>
              <w:rPr>
                <w:rFonts w:hint="eastAsia" w:ascii="宋体" w:hAnsi="宋体" w:eastAsia="宋体" w:cs="宋体"/>
                <w:color w:val="000000"/>
                <w:sz w:val="24"/>
                <w:lang w:bidi="ar"/>
              </w:rPr>
              <w:t>实施团队3</w:t>
            </w:r>
          </w:p>
        </w:tc>
        <w:tc>
          <w:tcPr>
            <w:tcW w:w="999" w:type="dxa"/>
            <w:tcBorders>
              <w:top w:val="outset" w:color="auto" w:sz="6" w:space="0"/>
              <w:left w:val="outset" w:color="auto" w:sz="6" w:space="0"/>
              <w:bottom w:val="outset" w:color="auto" w:sz="6" w:space="0"/>
              <w:right w:val="outset" w:color="auto" w:sz="6" w:space="0"/>
            </w:tcBorders>
            <w:vAlign w:val="center"/>
          </w:tcPr>
          <w:p w14:paraId="28D8FBA0">
            <w:pPr>
              <w:rPr>
                <w:rFonts w:hint="eastAsia" w:ascii="宋体" w:hAnsi="宋体" w:eastAsia="宋体" w:cs="宋体"/>
                <w:color w:val="000000"/>
                <w:sz w:val="24"/>
                <w:lang w:bidi="ar"/>
              </w:rPr>
            </w:pPr>
            <w:r>
              <w:rPr>
                <w:rFonts w:hint="eastAsia" w:ascii="宋体" w:hAnsi="宋体" w:eastAsia="宋体" w:cs="宋体"/>
                <w:color w:val="000000"/>
                <w:sz w:val="24"/>
                <w:lang w:bidi="ar"/>
              </w:rPr>
              <w:t>2</w:t>
            </w:r>
          </w:p>
        </w:tc>
        <w:tc>
          <w:tcPr>
            <w:tcW w:w="7330" w:type="dxa"/>
            <w:tcBorders>
              <w:top w:val="outset" w:color="auto" w:sz="6" w:space="0"/>
              <w:left w:val="outset" w:color="auto" w:sz="6" w:space="0"/>
              <w:bottom w:val="outset" w:color="auto" w:sz="6" w:space="0"/>
              <w:right w:val="outset" w:color="auto" w:sz="6" w:space="0"/>
            </w:tcBorders>
            <w:vAlign w:val="center"/>
          </w:tcPr>
          <w:p w14:paraId="38C1ED25">
            <w:pPr>
              <w:rPr>
                <w:rFonts w:hint="eastAsia" w:ascii="宋体" w:hAnsi="宋体" w:eastAsia="宋体" w:cs="宋体"/>
                <w:color w:val="000000"/>
                <w:sz w:val="24"/>
                <w:lang w:bidi="ar"/>
              </w:rPr>
            </w:pPr>
            <w:r>
              <w:rPr>
                <w:rFonts w:hint="eastAsia" w:ascii="宋体" w:hAnsi="宋体" w:eastAsia="宋体" w:cs="宋体"/>
                <w:bCs/>
                <w:sz w:val="24"/>
                <w:szCs w:val="24"/>
              </w:rPr>
              <w:t>供应商针对本项目配备的技术负责人具有中级工程师职称证书（电力或建筑工程相关专业）的得2分。拟派出项目技术负责人必须为独立投标人的本企业在岗人员，以住房和城乡建设行政主管部门颁发的有效执业注册证书或社保管理部门出具的（近三个月缴交凭证，不含投标当月）社保缴费证明所署单位为准</w:t>
            </w:r>
            <w:r>
              <w:rPr>
                <w:rFonts w:hint="eastAsia" w:ascii="宋体" w:hAnsi="宋体" w:eastAsia="宋体" w:cs="宋体"/>
                <w:color w:val="000000"/>
                <w:sz w:val="24"/>
                <w:lang w:bidi="ar"/>
              </w:rPr>
              <w:t>，否则不得分</w:t>
            </w:r>
            <w:r>
              <w:rPr>
                <w:rFonts w:hint="eastAsia" w:ascii="宋体" w:hAnsi="宋体" w:eastAsia="宋体" w:cs="宋体"/>
                <w:bCs/>
                <w:sz w:val="24"/>
                <w:szCs w:val="24"/>
              </w:rPr>
              <w:t>。</w:t>
            </w:r>
            <w:r>
              <w:rPr>
                <w:rFonts w:hint="eastAsia" w:ascii="宋体" w:hAnsi="宋体" w:eastAsia="宋体" w:cs="宋体"/>
                <w:b/>
                <w:sz w:val="24"/>
                <w:szCs w:val="24"/>
              </w:rPr>
              <w:t>注：项目经理与技术负责人不得为同一人。</w:t>
            </w:r>
          </w:p>
        </w:tc>
      </w:tr>
      <w:tr w14:paraId="16FB45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1084" w:type="dxa"/>
            <w:tcBorders>
              <w:top w:val="outset" w:color="auto" w:sz="6" w:space="0"/>
              <w:left w:val="outset" w:color="auto" w:sz="6" w:space="0"/>
              <w:bottom w:val="outset" w:color="auto" w:sz="6" w:space="0"/>
              <w:right w:val="outset" w:color="auto" w:sz="6" w:space="0"/>
            </w:tcBorders>
            <w:vAlign w:val="center"/>
          </w:tcPr>
          <w:p w14:paraId="31A4E6B0">
            <w:pPr>
              <w:rPr>
                <w:rFonts w:hint="eastAsia" w:ascii="宋体" w:hAnsi="宋体" w:eastAsia="宋体" w:cs="宋体"/>
                <w:color w:val="000000"/>
                <w:sz w:val="24"/>
                <w:lang w:bidi="ar"/>
              </w:rPr>
            </w:pPr>
            <w:r>
              <w:rPr>
                <w:rFonts w:hint="eastAsia" w:ascii="宋体" w:hAnsi="宋体" w:eastAsia="宋体" w:cs="宋体"/>
                <w:color w:val="000000"/>
                <w:sz w:val="24"/>
                <w:lang w:bidi="ar"/>
              </w:rPr>
              <w:t>施工方案</w:t>
            </w:r>
          </w:p>
        </w:tc>
        <w:tc>
          <w:tcPr>
            <w:tcW w:w="999" w:type="dxa"/>
            <w:tcBorders>
              <w:top w:val="outset" w:color="auto" w:sz="6" w:space="0"/>
              <w:left w:val="outset" w:color="auto" w:sz="6" w:space="0"/>
              <w:bottom w:val="outset" w:color="auto" w:sz="6" w:space="0"/>
              <w:right w:val="outset" w:color="auto" w:sz="6" w:space="0"/>
            </w:tcBorders>
            <w:vAlign w:val="center"/>
          </w:tcPr>
          <w:p w14:paraId="4EFF16CB">
            <w:pPr>
              <w:rPr>
                <w:rFonts w:hint="eastAsia" w:ascii="宋体" w:hAnsi="宋体" w:eastAsia="宋体" w:cs="宋体"/>
                <w:color w:val="000000"/>
                <w:sz w:val="24"/>
                <w:lang w:bidi="ar"/>
              </w:rPr>
            </w:pPr>
            <w:r>
              <w:rPr>
                <w:rFonts w:hint="eastAsia" w:ascii="宋体" w:hAnsi="宋体" w:eastAsia="宋体" w:cs="宋体"/>
                <w:color w:val="000000"/>
                <w:sz w:val="24"/>
                <w:lang w:bidi="ar"/>
              </w:rPr>
              <w:t>3</w:t>
            </w:r>
          </w:p>
        </w:tc>
        <w:tc>
          <w:tcPr>
            <w:tcW w:w="7330" w:type="dxa"/>
            <w:tcBorders>
              <w:top w:val="outset" w:color="auto" w:sz="6" w:space="0"/>
              <w:left w:val="outset" w:color="auto" w:sz="6" w:space="0"/>
              <w:bottom w:val="outset" w:color="auto" w:sz="6" w:space="0"/>
              <w:right w:val="outset" w:color="auto" w:sz="6" w:space="0"/>
            </w:tcBorders>
            <w:vAlign w:val="center"/>
          </w:tcPr>
          <w:p w14:paraId="4F89A698">
            <w:pPr>
              <w:rPr>
                <w:rFonts w:hint="eastAsia" w:ascii="宋体" w:hAnsi="宋体" w:eastAsia="宋体" w:cs="宋体"/>
                <w:color w:val="000000"/>
                <w:sz w:val="24"/>
                <w:lang w:bidi="ar"/>
              </w:rPr>
            </w:pPr>
            <w:r>
              <w:rPr>
                <w:rFonts w:hint="eastAsia" w:ascii="宋体" w:hAnsi="宋体" w:eastAsia="宋体" w:cs="宋体"/>
                <w:color w:val="000000"/>
                <w:sz w:val="24"/>
                <w:lang w:bidi="ar"/>
              </w:rPr>
              <w:t>投标人针对工程实际情况提交施工方案，施工流程和施工顺序，根据</w:t>
            </w:r>
            <w:r>
              <w:rPr>
                <w:rFonts w:hint="eastAsia" w:ascii="宋体" w:hAnsi="宋体" w:eastAsia="宋体" w:cs="宋体"/>
                <w:sz w:val="24"/>
                <w:lang w:bidi="ar"/>
              </w:rPr>
              <w:t>方案满足采购文件要求及提供方案具体详细、完整、实施措施可行和规范，且与本项目相适应的得3分，方案较为具体详细、较为完整、实施措施较为可行和规范，与本项目相适应的得2分，方案较为简单、有缺漏、实施措施较为可行和规范，与本项目相适应的得1分，未提供的不得分。（满分3分）</w:t>
            </w:r>
          </w:p>
        </w:tc>
      </w:tr>
      <w:tr w14:paraId="4A026A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1084" w:type="dxa"/>
            <w:tcBorders>
              <w:top w:val="outset" w:color="auto" w:sz="6" w:space="0"/>
              <w:left w:val="outset" w:color="auto" w:sz="6" w:space="0"/>
              <w:bottom w:val="outset" w:color="auto" w:sz="6" w:space="0"/>
              <w:right w:val="outset" w:color="auto" w:sz="6" w:space="0"/>
            </w:tcBorders>
            <w:vAlign w:val="center"/>
          </w:tcPr>
          <w:p w14:paraId="24B97DB8">
            <w:pPr>
              <w:rPr>
                <w:rFonts w:hint="eastAsia" w:ascii="宋体" w:hAnsi="宋体" w:eastAsia="宋体" w:cs="宋体"/>
                <w:color w:val="000000"/>
                <w:sz w:val="24"/>
                <w:lang w:bidi="ar"/>
              </w:rPr>
            </w:pPr>
            <w:r>
              <w:rPr>
                <w:rFonts w:hint="eastAsia" w:ascii="宋体" w:hAnsi="宋体" w:eastAsia="宋体" w:cs="宋体"/>
                <w:color w:val="000000"/>
                <w:sz w:val="24"/>
                <w:lang w:bidi="ar"/>
              </w:rPr>
              <w:t>质量控制体系</w:t>
            </w:r>
          </w:p>
        </w:tc>
        <w:tc>
          <w:tcPr>
            <w:tcW w:w="999" w:type="dxa"/>
            <w:tcBorders>
              <w:top w:val="outset" w:color="auto" w:sz="6" w:space="0"/>
              <w:left w:val="outset" w:color="auto" w:sz="6" w:space="0"/>
              <w:bottom w:val="outset" w:color="auto" w:sz="6" w:space="0"/>
              <w:right w:val="outset" w:color="auto" w:sz="6" w:space="0"/>
            </w:tcBorders>
            <w:vAlign w:val="center"/>
          </w:tcPr>
          <w:p w14:paraId="5922019F">
            <w:pPr>
              <w:rPr>
                <w:rFonts w:hint="eastAsia" w:ascii="宋体" w:hAnsi="宋体" w:eastAsia="宋体" w:cs="宋体"/>
                <w:color w:val="000000"/>
                <w:sz w:val="24"/>
                <w:lang w:bidi="ar"/>
              </w:rPr>
            </w:pPr>
            <w:r>
              <w:rPr>
                <w:rFonts w:hint="eastAsia" w:ascii="宋体" w:hAnsi="宋体" w:eastAsia="宋体" w:cs="宋体"/>
                <w:color w:val="000000"/>
                <w:sz w:val="24"/>
                <w:lang w:bidi="ar"/>
              </w:rPr>
              <w:t>3</w:t>
            </w:r>
          </w:p>
        </w:tc>
        <w:tc>
          <w:tcPr>
            <w:tcW w:w="7330" w:type="dxa"/>
            <w:tcBorders>
              <w:top w:val="outset" w:color="auto" w:sz="6" w:space="0"/>
              <w:left w:val="outset" w:color="auto" w:sz="6" w:space="0"/>
              <w:bottom w:val="outset" w:color="auto" w:sz="6" w:space="0"/>
              <w:right w:val="outset" w:color="auto" w:sz="6" w:space="0"/>
            </w:tcBorders>
            <w:vAlign w:val="center"/>
          </w:tcPr>
          <w:p w14:paraId="0F3E6B05">
            <w:pPr>
              <w:rPr>
                <w:rFonts w:hint="eastAsia" w:ascii="宋体" w:hAnsi="宋体" w:eastAsia="宋体" w:cs="宋体"/>
                <w:color w:val="000000"/>
                <w:sz w:val="24"/>
                <w:lang w:bidi="ar"/>
              </w:rPr>
            </w:pPr>
            <w:r>
              <w:rPr>
                <w:rFonts w:hint="eastAsia" w:ascii="宋体" w:hAnsi="宋体" w:eastAsia="宋体" w:cs="宋体"/>
                <w:color w:val="000000"/>
                <w:sz w:val="24"/>
                <w:lang w:bidi="ar"/>
              </w:rPr>
              <w:t>投标人需提供合理优质的质量控制详细承诺方案，根据</w:t>
            </w:r>
            <w:r>
              <w:rPr>
                <w:rFonts w:hint="eastAsia" w:ascii="宋体" w:hAnsi="宋体" w:eastAsia="宋体" w:cs="宋体"/>
                <w:sz w:val="24"/>
                <w:lang w:bidi="ar"/>
              </w:rPr>
              <w:t>方案满足采购文件要求及提供方案具体详细、完整、实施措施可行和规范，且与本项目相适应的得3分，方案较为具体详细、较为完整、实施措施较为可行和规范，与本项目相适应的得2分，方案较为简单、有缺漏、实施措施较为可行和规范，与本项目相适应的得1分，未提供的不得分。（满分3分）</w:t>
            </w:r>
          </w:p>
        </w:tc>
      </w:tr>
      <w:tr w14:paraId="68EFCA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8" w:hRule="atLeast"/>
          <w:jc w:val="center"/>
        </w:trPr>
        <w:tc>
          <w:tcPr>
            <w:tcW w:w="1084" w:type="dxa"/>
            <w:tcBorders>
              <w:top w:val="outset" w:color="auto" w:sz="6" w:space="0"/>
              <w:left w:val="outset" w:color="auto" w:sz="6" w:space="0"/>
              <w:bottom w:val="outset" w:color="auto" w:sz="6" w:space="0"/>
              <w:right w:val="outset" w:color="auto" w:sz="6" w:space="0"/>
            </w:tcBorders>
            <w:vAlign w:val="center"/>
          </w:tcPr>
          <w:p w14:paraId="377487C4">
            <w:pPr>
              <w:rPr>
                <w:rFonts w:hint="eastAsia" w:ascii="宋体" w:hAnsi="宋体" w:eastAsia="宋体" w:cs="宋体"/>
                <w:color w:val="000000"/>
                <w:sz w:val="24"/>
                <w:lang w:bidi="ar"/>
              </w:rPr>
            </w:pPr>
            <w:r>
              <w:rPr>
                <w:rFonts w:hint="eastAsia" w:ascii="宋体" w:hAnsi="宋体" w:eastAsia="宋体" w:cs="宋体"/>
                <w:color w:val="000000"/>
                <w:sz w:val="24"/>
                <w:lang w:bidi="ar"/>
              </w:rPr>
              <w:t>安全管理措施</w:t>
            </w:r>
          </w:p>
        </w:tc>
        <w:tc>
          <w:tcPr>
            <w:tcW w:w="999" w:type="dxa"/>
            <w:tcBorders>
              <w:top w:val="outset" w:color="auto" w:sz="6" w:space="0"/>
              <w:left w:val="outset" w:color="auto" w:sz="6" w:space="0"/>
              <w:bottom w:val="outset" w:color="auto" w:sz="6" w:space="0"/>
              <w:right w:val="outset" w:color="auto" w:sz="6" w:space="0"/>
            </w:tcBorders>
            <w:vAlign w:val="center"/>
          </w:tcPr>
          <w:p w14:paraId="52D27C82">
            <w:pPr>
              <w:rPr>
                <w:rFonts w:hint="eastAsia" w:ascii="宋体" w:hAnsi="宋体" w:eastAsia="宋体" w:cs="宋体"/>
                <w:color w:val="000000"/>
                <w:sz w:val="24"/>
                <w:lang w:bidi="ar"/>
              </w:rPr>
            </w:pPr>
            <w:r>
              <w:rPr>
                <w:rFonts w:hint="eastAsia" w:ascii="宋体" w:hAnsi="宋体" w:eastAsia="宋体" w:cs="宋体"/>
                <w:color w:val="000000"/>
                <w:sz w:val="24"/>
                <w:lang w:bidi="ar"/>
              </w:rPr>
              <w:t>2</w:t>
            </w:r>
          </w:p>
        </w:tc>
        <w:tc>
          <w:tcPr>
            <w:tcW w:w="7330" w:type="dxa"/>
            <w:tcBorders>
              <w:top w:val="outset" w:color="auto" w:sz="6" w:space="0"/>
              <w:left w:val="outset" w:color="auto" w:sz="6" w:space="0"/>
              <w:bottom w:val="outset" w:color="auto" w:sz="6" w:space="0"/>
              <w:right w:val="outset" w:color="auto" w:sz="6" w:space="0"/>
            </w:tcBorders>
            <w:vAlign w:val="center"/>
          </w:tcPr>
          <w:p w14:paraId="4D614243">
            <w:pPr>
              <w:rPr>
                <w:rFonts w:hint="eastAsia" w:ascii="宋体" w:hAnsi="宋体" w:eastAsia="宋体" w:cs="宋体"/>
                <w:color w:val="000000"/>
                <w:sz w:val="24"/>
                <w:lang w:bidi="ar"/>
              </w:rPr>
            </w:pPr>
            <w:r>
              <w:rPr>
                <w:rFonts w:hint="eastAsia" w:ascii="宋体" w:hAnsi="宋体" w:eastAsia="宋体" w:cs="宋体"/>
                <w:color w:val="000000"/>
                <w:sz w:val="24"/>
                <w:lang w:bidi="ar"/>
              </w:rPr>
              <w:t>要求投标人针对工程的实际情况编制保证安全目标的措施，施工安全等类似施工安装条款等承诺，由评委进行评分，根据</w:t>
            </w:r>
            <w:r>
              <w:rPr>
                <w:rFonts w:hint="eastAsia" w:ascii="宋体" w:hAnsi="宋体" w:eastAsia="宋体" w:cs="宋体"/>
                <w:sz w:val="24"/>
                <w:lang w:bidi="ar"/>
              </w:rPr>
              <w:t>方案满足采购文件要求及提供方案具体详细、完整、实施措施可行和规范，且与本项目相适应的得2分，方案较为具体详细、较为完整、实施措施较为可行和规范，与本项目相适应的得1分，方案较为简单、有缺漏、实施措施较为可行和规范，与本项目相适应的得0.5分，未提供的不得分。（满分2分）</w:t>
            </w:r>
          </w:p>
        </w:tc>
      </w:tr>
    </w:tbl>
    <w:p w14:paraId="39D1FA12">
      <w:pPr>
        <w:pStyle w:val="9"/>
        <w:spacing w:before="0" w:beforeAutospacing="0" w:after="150" w:afterAutospacing="0"/>
        <w:rPr>
          <w:rFonts w:hint="eastAsia" w:ascii="宋体" w:hAnsi="宋体" w:eastAsia="宋体" w:cs="宋体"/>
          <w:b/>
          <w:bCs/>
        </w:rPr>
      </w:pPr>
      <w:r>
        <w:rPr>
          <w:rFonts w:hint="eastAsia" w:ascii="宋体" w:hAnsi="宋体" w:eastAsia="宋体" w:cs="宋体"/>
        </w:rPr>
        <w:t>③商务项（F3×A3）满分为</w:t>
      </w:r>
      <w:r>
        <w:rPr>
          <w:rFonts w:hint="eastAsia" w:ascii="宋体" w:hAnsi="宋体" w:eastAsia="宋体" w:cs="宋体"/>
          <w:u w:val="single"/>
        </w:rPr>
        <w:t>10</w:t>
      </w:r>
      <w:r>
        <w:rPr>
          <w:rFonts w:hint="eastAsia" w:ascii="宋体" w:hAnsi="宋体" w:eastAsia="宋体" w:cs="宋体"/>
        </w:rPr>
        <w:t>分。</w:t>
      </w:r>
    </w:p>
    <w:tbl>
      <w:tblPr>
        <w:tblStyle w:val="10"/>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52"/>
        <w:gridCol w:w="705"/>
        <w:gridCol w:w="7465"/>
      </w:tblGrid>
      <w:tr w14:paraId="69A3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1352" w:type="dxa"/>
            <w:vAlign w:val="center"/>
          </w:tcPr>
          <w:p w14:paraId="3CCA6AE0">
            <w:pPr>
              <w:adjustRightInd/>
              <w:snapToGrid/>
              <w:spacing w:after="0" w:line="480" w:lineRule="exact"/>
              <w:jc w:val="center"/>
              <w:rPr>
                <w:rFonts w:hint="eastAsia" w:ascii="宋体" w:hAnsi="宋体" w:eastAsia="宋体" w:cs="宋体"/>
                <w:sz w:val="24"/>
                <w:szCs w:val="24"/>
                <w:lang w:bidi="ar"/>
              </w:rPr>
            </w:pPr>
            <w:r>
              <w:rPr>
                <w:rFonts w:hint="eastAsia" w:ascii="宋体" w:hAnsi="宋体" w:eastAsia="宋体" w:cs="宋体"/>
                <w:sz w:val="24"/>
                <w:szCs w:val="24"/>
                <w:lang w:bidi="ar"/>
              </w:rPr>
              <w:t>评标项目</w:t>
            </w:r>
          </w:p>
        </w:tc>
        <w:tc>
          <w:tcPr>
            <w:tcW w:w="705" w:type="dxa"/>
            <w:vAlign w:val="center"/>
          </w:tcPr>
          <w:p w14:paraId="0CDAAFDF">
            <w:pPr>
              <w:adjustRightInd/>
              <w:snapToGrid/>
              <w:spacing w:after="0" w:line="480" w:lineRule="exact"/>
              <w:jc w:val="center"/>
              <w:rPr>
                <w:rFonts w:hint="eastAsia" w:ascii="宋体" w:hAnsi="宋体" w:eastAsia="宋体" w:cs="宋体"/>
                <w:sz w:val="24"/>
                <w:szCs w:val="24"/>
                <w:lang w:bidi="ar"/>
              </w:rPr>
            </w:pPr>
            <w:r>
              <w:rPr>
                <w:rFonts w:hint="eastAsia" w:ascii="宋体" w:hAnsi="宋体" w:eastAsia="宋体" w:cs="宋体"/>
                <w:sz w:val="24"/>
                <w:szCs w:val="24"/>
                <w:lang w:bidi="ar"/>
              </w:rPr>
              <w:t>评标分值</w:t>
            </w:r>
          </w:p>
        </w:tc>
        <w:tc>
          <w:tcPr>
            <w:tcW w:w="7465" w:type="dxa"/>
            <w:vAlign w:val="center"/>
          </w:tcPr>
          <w:p w14:paraId="654A4A6E">
            <w:pPr>
              <w:adjustRightInd/>
              <w:snapToGrid/>
              <w:spacing w:after="0" w:line="480" w:lineRule="exact"/>
              <w:rPr>
                <w:rFonts w:hint="eastAsia" w:ascii="宋体" w:hAnsi="宋体" w:eastAsia="宋体" w:cs="宋体"/>
                <w:sz w:val="24"/>
                <w:szCs w:val="24"/>
                <w:lang w:bidi="ar"/>
              </w:rPr>
            </w:pPr>
            <w:r>
              <w:rPr>
                <w:rFonts w:hint="eastAsia" w:ascii="宋体" w:hAnsi="宋体" w:eastAsia="宋体" w:cs="宋体"/>
                <w:sz w:val="24"/>
                <w:szCs w:val="24"/>
                <w:lang w:bidi="ar"/>
              </w:rPr>
              <w:t>评标方法描述</w:t>
            </w:r>
          </w:p>
        </w:tc>
      </w:tr>
      <w:tr w14:paraId="3C2C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52" w:type="dxa"/>
            <w:vAlign w:val="center"/>
          </w:tcPr>
          <w:p w14:paraId="1BF9296E">
            <w:pPr>
              <w:rPr>
                <w:rFonts w:hint="eastAsia" w:ascii="宋体" w:hAnsi="宋体" w:eastAsia="宋体" w:cs="宋体"/>
                <w:color w:val="000000"/>
                <w:sz w:val="24"/>
                <w:lang w:bidi="ar"/>
              </w:rPr>
            </w:pPr>
            <w:r>
              <w:rPr>
                <w:rFonts w:hint="eastAsia" w:ascii="宋体" w:hAnsi="宋体" w:eastAsia="宋体" w:cs="宋体"/>
                <w:color w:val="000000"/>
                <w:sz w:val="24"/>
                <w:lang w:bidi="ar"/>
              </w:rPr>
              <w:t>项目经验</w:t>
            </w:r>
          </w:p>
        </w:tc>
        <w:tc>
          <w:tcPr>
            <w:tcW w:w="705" w:type="dxa"/>
            <w:vAlign w:val="center"/>
          </w:tcPr>
          <w:p w14:paraId="3E464798">
            <w:pPr>
              <w:rPr>
                <w:rFonts w:hint="eastAsia" w:ascii="宋体" w:hAnsi="宋体" w:eastAsia="宋体" w:cs="宋体"/>
                <w:color w:val="000000"/>
                <w:sz w:val="24"/>
                <w:lang w:bidi="ar"/>
              </w:rPr>
            </w:pPr>
            <w:r>
              <w:rPr>
                <w:rFonts w:hint="eastAsia" w:ascii="宋体" w:hAnsi="宋体" w:eastAsia="宋体" w:cs="宋体"/>
                <w:color w:val="000000"/>
                <w:sz w:val="24"/>
                <w:lang w:bidi="ar"/>
              </w:rPr>
              <w:t>3</w:t>
            </w:r>
          </w:p>
        </w:tc>
        <w:tc>
          <w:tcPr>
            <w:tcW w:w="7465" w:type="dxa"/>
            <w:vAlign w:val="center"/>
          </w:tcPr>
          <w:p w14:paraId="4E45B705">
            <w:pPr>
              <w:rPr>
                <w:rFonts w:hint="eastAsia" w:ascii="宋体" w:hAnsi="宋体" w:eastAsia="宋体" w:cs="宋体"/>
                <w:color w:val="000000"/>
                <w:sz w:val="24"/>
                <w:lang w:bidi="ar"/>
              </w:rPr>
            </w:pPr>
            <w:r>
              <w:rPr>
                <w:rFonts w:hint="eastAsia" w:ascii="宋体" w:hAnsi="宋体" w:eastAsia="宋体" w:cs="宋体"/>
                <w:color w:val="000000"/>
                <w:sz w:val="24"/>
                <w:lang w:bidi="ar"/>
              </w:rPr>
              <w:t>供应商提供2020年1月1日至本项目响应截止时间止（日期以验收合格时间为准）承接并完成过与本次采购服务类似的项目经验情况进行打分：每提供一份得1分，满分3分。注：【投标人应在响应文件中提供以上业绩项目的中标公告（提供相关网站中标公告的下载网页并注明网址）、中标通知书复印件、采购合同文本复印件，以及能够证明该业绩项目已经验收合格的相关证明文件复印件，评委会将保留要求投标人提供原件予以核查的权利；未同时提供上述材料的该项业绩不得分】</w:t>
            </w:r>
          </w:p>
        </w:tc>
      </w:tr>
      <w:tr w14:paraId="5A78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52" w:type="dxa"/>
            <w:vAlign w:val="center"/>
          </w:tcPr>
          <w:p w14:paraId="36A6081C">
            <w:pPr>
              <w:rPr>
                <w:rFonts w:hint="eastAsia" w:ascii="宋体" w:hAnsi="宋体" w:eastAsia="宋体" w:cs="宋体"/>
                <w:color w:val="000000"/>
                <w:sz w:val="24"/>
                <w:lang w:bidi="ar"/>
              </w:rPr>
            </w:pPr>
            <w:r>
              <w:rPr>
                <w:rFonts w:hint="eastAsia" w:ascii="宋体" w:hAnsi="宋体" w:eastAsia="宋体" w:cs="宋体"/>
                <w:color w:val="000000"/>
                <w:sz w:val="24"/>
                <w:lang w:bidi="ar"/>
              </w:rPr>
              <w:t>售后质保期</w:t>
            </w:r>
          </w:p>
        </w:tc>
        <w:tc>
          <w:tcPr>
            <w:tcW w:w="705" w:type="dxa"/>
            <w:vAlign w:val="center"/>
          </w:tcPr>
          <w:p w14:paraId="04579E1E">
            <w:pPr>
              <w:rPr>
                <w:rFonts w:hint="eastAsia" w:ascii="宋体" w:hAnsi="宋体" w:eastAsia="宋体" w:cs="宋体"/>
                <w:color w:val="000000"/>
                <w:sz w:val="24"/>
                <w:lang w:bidi="ar"/>
              </w:rPr>
            </w:pPr>
            <w:r>
              <w:rPr>
                <w:rFonts w:hint="eastAsia" w:ascii="宋体" w:hAnsi="宋体" w:eastAsia="宋体" w:cs="宋体"/>
                <w:color w:val="000000"/>
                <w:sz w:val="24"/>
                <w:lang w:bidi="ar"/>
              </w:rPr>
              <w:t>3</w:t>
            </w:r>
          </w:p>
        </w:tc>
        <w:tc>
          <w:tcPr>
            <w:tcW w:w="7465" w:type="dxa"/>
            <w:vAlign w:val="center"/>
          </w:tcPr>
          <w:p w14:paraId="63345D49">
            <w:pPr>
              <w:rPr>
                <w:rFonts w:hint="eastAsia" w:ascii="宋体" w:hAnsi="宋体" w:eastAsia="宋体" w:cs="宋体"/>
                <w:color w:val="000000"/>
                <w:sz w:val="24"/>
                <w:lang w:bidi="ar"/>
              </w:rPr>
            </w:pPr>
            <w:r>
              <w:rPr>
                <w:rFonts w:hint="eastAsia" w:ascii="宋体" w:hAnsi="宋体" w:eastAsia="宋体" w:cs="宋体"/>
                <w:color w:val="000000"/>
                <w:sz w:val="24"/>
                <w:lang w:bidi="ar"/>
              </w:rPr>
              <w:t>投标人在响应招标文件要求的免费售后质保期的基础上，另外承诺延长6个月的得1.5分；承诺延长12个月及以上的得3分；未提供资料或未延长质保期的不得分。【须提供承诺函，否则不得分】</w:t>
            </w:r>
          </w:p>
        </w:tc>
      </w:tr>
      <w:tr w14:paraId="23B4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7" w:hRule="atLeast"/>
          <w:jc w:val="center"/>
        </w:trPr>
        <w:tc>
          <w:tcPr>
            <w:tcW w:w="1352" w:type="dxa"/>
            <w:vAlign w:val="center"/>
          </w:tcPr>
          <w:p w14:paraId="2A8E7259">
            <w:pPr>
              <w:rPr>
                <w:rFonts w:hint="eastAsia" w:ascii="宋体" w:hAnsi="宋体" w:eastAsia="宋体" w:cs="宋体"/>
                <w:color w:val="000000"/>
                <w:sz w:val="24"/>
                <w:lang w:bidi="ar"/>
              </w:rPr>
            </w:pPr>
            <w:r>
              <w:rPr>
                <w:rFonts w:hint="eastAsia" w:ascii="宋体" w:hAnsi="宋体" w:eastAsia="宋体" w:cs="宋体"/>
                <w:color w:val="000000"/>
                <w:sz w:val="24"/>
                <w:lang w:bidi="ar"/>
              </w:rPr>
              <w:t>售后服务方案</w:t>
            </w:r>
          </w:p>
        </w:tc>
        <w:tc>
          <w:tcPr>
            <w:tcW w:w="705" w:type="dxa"/>
            <w:vAlign w:val="center"/>
          </w:tcPr>
          <w:p w14:paraId="35B3F9F5">
            <w:pPr>
              <w:rPr>
                <w:rFonts w:hint="eastAsia" w:ascii="宋体" w:hAnsi="宋体" w:eastAsia="宋体" w:cs="宋体"/>
                <w:color w:val="000000"/>
                <w:sz w:val="24"/>
                <w:lang w:bidi="ar"/>
              </w:rPr>
            </w:pPr>
            <w:r>
              <w:rPr>
                <w:rFonts w:hint="eastAsia" w:ascii="宋体" w:hAnsi="宋体" w:eastAsia="宋体" w:cs="宋体"/>
                <w:color w:val="000000"/>
                <w:sz w:val="24"/>
                <w:lang w:bidi="ar"/>
              </w:rPr>
              <w:t>2</w:t>
            </w:r>
          </w:p>
        </w:tc>
        <w:tc>
          <w:tcPr>
            <w:tcW w:w="7465" w:type="dxa"/>
            <w:vAlign w:val="center"/>
          </w:tcPr>
          <w:p w14:paraId="64EC6585">
            <w:pPr>
              <w:rPr>
                <w:rFonts w:hint="eastAsia" w:ascii="宋体" w:hAnsi="宋体" w:eastAsia="宋体" w:cs="宋体"/>
                <w:color w:val="000000"/>
                <w:sz w:val="24"/>
                <w:lang w:bidi="ar"/>
              </w:rPr>
            </w:pPr>
            <w:r>
              <w:rPr>
                <w:rFonts w:hint="eastAsia" w:ascii="宋体" w:hAnsi="宋体" w:eastAsia="宋体" w:cs="宋体"/>
                <w:bCs/>
                <w:sz w:val="24"/>
                <w:szCs w:val="24"/>
              </w:rPr>
              <w:t>根据供应商提供的售后服务方案（包括但不限于：维保期内的服务、响应计划、维保期后的服务等）由磋商小组进行评分：方案详实、完整、有针对性的得2分；方案较为详实或内容比较有针对性的得1分；方案部分详实或部分内容有针对性的得0.5分，未提供的本项不得分。</w:t>
            </w:r>
          </w:p>
        </w:tc>
      </w:tr>
      <w:tr w14:paraId="3D75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7" w:hRule="atLeast"/>
          <w:jc w:val="center"/>
        </w:trPr>
        <w:tc>
          <w:tcPr>
            <w:tcW w:w="1352" w:type="dxa"/>
            <w:vAlign w:val="center"/>
          </w:tcPr>
          <w:p w14:paraId="3D414675">
            <w:pPr>
              <w:rPr>
                <w:rFonts w:hint="eastAsia" w:ascii="宋体" w:hAnsi="宋体" w:eastAsia="宋体" w:cs="宋体"/>
                <w:color w:val="000000"/>
                <w:sz w:val="24"/>
                <w:lang w:bidi="ar"/>
              </w:rPr>
            </w:pPr>
            <w:r>
              <w:rPr>
                <w:rFonts w:hint="eastAsia" w:ascii="宋体" w:hAnsi="宋体" w:eastAsia="宋体" w:cs="宋体"/>
                <w:sz w:val="24"/>
                <w:szCs w:val="24"/>
                <w:lang w:bidi="ar"/>
              </w:rPr>
              <w:t>满意度</w:t>
            </w:r>
          </w:p>
        </w:tc>
        <w:tc>
          <w:tcPr>
            <w:tcW w:w="705" w:type="dxa"/>
            <w:vAlign w:val="center"/>
          </w:tcPr>
          <w:p w14:paraId="4BD4A9B5">
            <w:pPr>
              <w:rPr>
                <w:rFonts w:hint="eastAsia" w:ascii="宋体" w:hAnsi="宋体" w:eastAsia="宋体" w:cs="宋体"/>
                <w:color w:val="000000"/>
                <w:sz w:val="24"/>
                <w:lang w:bidi="ar"/>
              </w:rPr>
            </w:pPr>
            <w:r>
              <w:rPr>
                <w:rFonts w:hint="eastAsia" w:ascii="宋体" w:hAnsi="宋体" w:eastAsia="宋体" w:cs="宋体"/>
                <w:sz w:val="24"/>
                <w:szCs w:val="24"/>
                <w:lang w:bidi="ar"/>
              </w:rPr>
              <w:t>2</w:t>
            </w:r>
          </w:p>
        </w:tc>
        <w:tc>
          <w:tcPr>
            <w:tcW w:w="7465" w:type="dxa"/>
            <w:vAlign w:val="center"/>
          </w:tcPr>
          <w:p w14:paraId="4B258D60">
            <w:pPr>
              <w:rPr>
                <w:rFonts w:hint="eastAsia" w:ascii="宋体" w:hAnsi="宋体" w:eastAsia="宋体" w:cs="宋体"/>
                <w:color w:val="000000"/>
                <w:sz w:val="24"/>
                <w:lang w:bidi="ar"/>
              </w:rPr>
            </w:pPr>
            <w:r>
              <w:rPr>
                <w:rFonts w:hint="eastAsia" w:ascii="宋体" w:hAnsi="宋体" w:eastAsia="宋体" w:cs="宋体"/>
                <w:sz w:val="24"/>
                <w:szCs w:val="24"/>
                <w:lang w:bidi="ar"/>
              </w:rPr>
              <w:t>根据投标人2020年1月1日至投标截止时间获得类似项目服务获得客户单位满意度评价证明材料的，每提供一份客户单位评价为满意或优良或评分≥85的评价证明资料的得1分，满分2分，需提供有效的满意度评价证明资料和服务合同扫描件，否则不得分。</w:t>
            </w:r>
          </w:p>
        </w:tc>
      </w:tr>
    </w:tbl>
    <w:p w14:paraId="34FC5AB4">
      <w:pPr>
        <w:pStyle w:val="9"/>
        <w:spacing w:before="0" w:beforeAutospacing="0" w:after="150" w:afterAutospacing="0"/>
        <w:ind w:firstLine="480"/>
        <w:rPr>
          <w:rFonts w:hint="eastAsia" w:ascii="宋体" w:hAnsi="宋体" w:eastAsia="宋体" w:cs="宋体"/>
        </w:rPr>
      </w:pPr>
    </w:p>
    <w:p w14:paraId="214F02A4">
      <w:pPr>
        <w:pStyle w:val="9"/>
        <w:spacing w:before="75" w:beforeAutospacing="0" w:after="75" w:afterAutospacing="0"/>
        <w:jc w:val="center"/>
        <w:rPr>
          <w:rStyle w:val="12"/>
          <w:rFonts w:hint="eastAsia"/>
          <w:bCs w:val="0"/>
          <w:sz w:val="31"/>
          <w:szCs w:val="31"/>
        </w:rPr>
      </w:pPr>
    </w:p>
    <w:p w14:paraId="6850BBDD">
      <w:pPr>
        <w:pStyle w:val="9"/>
        <w:spacing w:before="75" w:beforeAutospacing="0" w:after="75" w:afterAutospacing="0"/>
        <w:jc w:val="center"/>
        <w:rPr>
          <w:rStyle w:val="12"/>
          <w:rFonts w:hint="eastAsia"/>
          <w:bCs w:val="0"/>
          <w:sz w:val="31"/>
          <w:szCs w:val="31"/>
        </w:rPr>
      </w:pPr>
    </w:p>
    <w:p w14:paraId="7A9C090E">
      <w:pPr>
        <w:pStyle w:val="9"/>
        <w:spacing w:before="75" w:beforeAutospacing="0" w:after="75" w:afterAutospacing="0"/>
        <w:jc w:val="center"/>
      </w:pPr>
      <w:r>
        <w:rPr>
          <w:rStyle w:val="12"/>
          <w:rFonts w:hint="eastAsia"/>
          <w:bCs w:val="0"/>
          <w:sz w:val="31"/>
          <w:szCs w:val="31"/>
        </w:rPr>
        <w:t>招标内容及要求</w:t>
      </w:r>
    </w:p>
    <w:p w14:paraId="67E5542C">
      <w:pPr>
        <w:pStyle w:val="9"/>
        <w:spacing w:before="75" w:beforeAutospacing="0" w:after="75" w:afterAutospacing="0"/>
      </w:pPr>
      <w:r>
        <w:t>一、项目概况</w:t>
      </w:r>
    </w:p>
    <w:p w14:paraId="02FC232E">
      <w:pPr>
        <w:pStyle w:val="9"/>
        <w:spacing w:before="0" w:beforeAutospacing="0" w:after="150" w:afterAutospacing="0" w:line="300" w:lineRule="atLeast"/>
        <w:ind w:firstLine="480"/>
      </w:pPr>
      <w:r>
        <w:rPr>
          <w:rFonts w:hint="eastAsia"/>
        </w:rPr>
        <w:t>1.本次采购为福建省肿瘤医院原劳服低压电房电缆改造项目工程类采购项目。</w:t>
      </w:r>
    </w:p>
    <w:p w14:paraId="39015663">
      <w:pPr>
        <w:pStyle w:val="9"/>
        <w:spacing w:before="0" w:beforeAutospacing="0" w:after="150" w:afterAutospacing="0" w:line="300" w:lineRule="atLeast"/>
        <w:ind w:firstLine="480"/>
      </w:pPr>
      <w:r>
        <w:rPr>
          <w:rFonts w:hint="eastAsia"/>
        </w:rPr>
        <w:t>2.</w:t>
      </w:r>
      <w:r>
        <w:rPr>
          <w:rStyle w:val="12"/>
          <w:rFonts w:hint="eastAsia"/>
          <w:b w:val="0"/>
          <w:bCs w:val="0"/>
        </w:rPr>
        <w:t>项目工程量清单内采用固定单价合同，工程量按实结算。</w:t>
      </w:r>
    </w:p>
    <w:p w14:paraId="555764FE">
      <w:pPr>
        <w:pStyle w:val="9"/>
        <w:spacing w:before="0" w:beforeAutospacing="0" w:after="150" w:afterAutospacing="0" w:line="465" w:lineRule="atLeast"/>
        <w:ind w:firstLine="480"/>
      </w:pPr>
      <w:r>
        <w:rPr>
          <w:rFonts w:hint="eastAsia"/>
        </w:rPr>
        <w:t>3、本项目成交金额作为合同签订价，工程施工完毕后，实际结算价以审核后确定的价格支付。</w:t>
      </w:r>
      <w:r>
        <w:rPr>
          <w:rStyle w:val="12"/>
          <w:rFonts w:hint="eastAsia"/>
          <w:b w:val="0"/>
          <w:bCs w:val="0"/>
        </w:rPr>
        <w:t>若审核确定的价格高于成交金额，则以成交金额作为实际结算价。</w:t>
      </w:r>
    </w:p>
    <w:p w14:paraId="4C4CE535">
      <w:pPr>
        <w:pStyle w:val="9"/>
        <w:spacing w:before="0" w:beforeAutospacing="0" w:after="150" w:afterAutospacing="0"/>
        <w:ind w:firstLine="480" w:firstLineChars="200"/>
      </w:pPr>
      <w:r>
        <w:rPr>
          <w:rFonts w:hint="eastAsia"/>
        </w:rPr>
        <w:t>4、除非合同中另有规定，供应商的报价均己包括了为实施和完成合同所需的劳务、材料、运输、安装（含所需辅材）、调试、维修、服务、保险、利润、税费、市场变化以及合同明示的所有责任、义务和风险等一切费用，验收、技术服务、相关文件的提交、质保期免费保修、维护、招标服务费等一切费用。</w:t>
      </w:r>
    </w:p>
    <w:p w14:paraId="5B10DA4C">
      <w:pPr>
        <w:pStyle w:val="9"/>
        <w:spacing w:before="75" w:beforeAutospacing="0" w:after="75" w:afterAutospacing="0"/>
      </w:pPr>
      <w:r>
        <w:t>二、技术要求</w:t>
      </w:r>
    </w:p>
    <w:p w14:paraId="19D4E240">
      <w:pPr>
        <w:pStyle w:val="9"/>
        <w:spacing w:before="0" w:beforeAutospacing="0" w:after="0" w:afterAutospacing="0" w:line="315" w:lineRule="atLeast"/>
        <w:rPr>
          <w:rFonts w:hint="eastAsia" w:ascii="宋体" w:hAnsi="宋体" w:eastAsia="宋体" w:cs="宋体"/>
        </w:rPr>
      </w:pPr>
      <w:r>
        <w:rPr>
          <w:rFonts w:hint="eastAsia" w:ascii="宋体" w:hAnsi="宋体" w:eastAsia="宋体" w:cs="宋体"/>
        </w:rPr>
        <w:t>1、</w:t>
      </w:r>
      <w:r>
        <w:rPr>
          <w:rStyle w:val="12"/>
          <w:rFonts w:hint="eastAsia"/>
          <w:b w:val="0"/>
          <w:bCs w:val="0"/>
          <w:shd w:val="clear" w:color="auto" w:fill="FFFFFF"/>
          <w:lang w:eastAsia="zh-CN"/>
        </w:rPr>
        <w:t>施工期间，施工范围内应</w:t>
      </w:r>
      <w:r>
        <w:rPr>
          <w:rFonts w:hint="eastAsia" w:ascii="宋体" w:hAnsi="宋体" w:eastAsia="宋体" w:cs="宋体"/>
          <w:color w:val="auto"/>
          <w:sz w:val="24"/>
          <w:szCs w:val="24"/>
          <w:highlight w:val="none"/>
        </w:rPr>
        <w:t>设立安全防护措施，保证</w:t>
      </w:r>
      <w:r>
        <w:rPr>
          <w:rFonts w:hint="eastAsia" w:ascii="宋体" w:hAnsi="宋体" w:eastAsia="宋体" w:cs="宋体"/>
          <w:color w:val="auto"/>
          <w:sz w:val="24"/>
          <w:szCs w:val="24"/>
          <w:highlight w:val="none"/>
          <w:lang w:eastAsia="zh-CN"/>
        </w:rPr>
        <w:t>施工人员、</w:t>
      </w:r>
      <w:r>
        <w:rPr>
          <w:rFonts w:hint="eastAsia" w:ascii="宋体" w:hAnsi="宋体" w:eastAsia="宋体" w:cs="宋体"/>
          <w:color w:val="auto"/>
          <w:sz w:val="24"/>
          <w:szCs w:val="24"/>
          <w:highlight w:val="none"/>
        </w:rPr>
        <w:t>病人</w:t>
      </w:r>
      <w:r>
        <w:rPr>
          <w:rFonts w:hint="eastAsia" w:ascii="宋体" w:hAnsi="宋体" w:eastAsia="宋体" w:cs="宋体"/>
          <w:color w:val="auto"/>
          <w:sz w:val="24"/>
          <w:szCs w:val="24"/>
          <w:highlight w:val="none"/>
          <w:lang w:eastAsia="zh-CN"/>
        </w:rPr>
        <w:t>及其家属</w:t>
      </w:r>
      <w:r>
        <w:rPr>
          <w:rFonts w:hint="eastAsia" w:ascii="宋体" w:hAnsi="宋体" w:eastAsia="宋体" w:cs="宋体"/>
          <w:color w:val="auto"/>
          <w:sz w:val="24"/>
          <w:szCs w:val="24"/>
          <w:highlight w:val="none"/>
        </w:rPr>
        <w:t>和医务人员</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安全，现场条件必须满足采购人要求，同时满足国家规范</w:t>
      </w:r>
      <w:r>
        <w:rPr>
          <w:rFonts w:hint="eastAsia" w:ascii="宋体" w:hAnsi="宋体" w:eastAsia="宋体" w:cs="宋体"/>
        </w:rPr>
        <w:t>。（偏离项1）</w:t>
      </w:r>
    </w:p>
    <w:p w14:paraId="50820CE0">
      <w:pPr>
        <w:pStyle w:val="9"/>
        <w:spacing w:before="0" w:beforeAutospacing="0" w:after="0" w:afterAutospacing="0" w:line="315" w:lineRule="atLeast"/>
        <w:rPr>
          <w:rStyle w:val="12"/>
          <w:rFonts w:hint="eastAsia"/>
          <w:b w:val="0"/>
          <w:bCs w:val="0"/>
        </w:rPr>
      </w:pPr>
      <w:r>
        <w:rPr>
          <w:rStyle w:val="12"/>
          <w:rFonts w:hint="eastAsia"/>
          <w:b w:val="0"/>
          <w:bCs w:val="0"/>
          <w:shd w:val="clear" w:color="auto" w:fill="FFFFFF"/>
        </w:rPr>
        <w:t>2、</w:t>
      </w:r>
      <w:r>
        <w:rPr>
          <w:rFonts w:hint="eastAsia" w:ascii="宋体" w:hAnsi="宋体" w:eastAsia="宋体" w:cs="宋体"/>
          <w:color w:val="auto"/>
          <w:sz w:val="24"/>
          <w:szCs w:val="24"/>
          <w:highlight w:val="none"/>
        </w:rPr>
        <w:t>建立健全安全检查制度，定期和不定期的对施工现场进行安全检查,及时发现和消除事故隐患，确保安全生产</w:t>
      </w:r>
      <w:r>
        <w:rPr>
          <w:rFonts w:hint="eastAsia" w:cs="宋体"/>
          <w:color w:val="auto"/>
          <w:sz w:val="24"/>
          <w:szCs w:val="24"/>
          <w:highlight w:val="none"/>
          <w:lang w:eastAsia="zh-CN"/>
        </w:rPr>
        <w:t>，相关措施</w:t>
      </w:r>
      <w:r>
        <w:rPr>
          <w:rFonts w:hint="eastAsia" w:ascii="宋体" w:hAnsi="宋体" w:eastAsia="宋体" w:cs="宋体"/>
          <w:color w:val="auto"/>
          <w:sz w:val="24"/>
          <w:szCs w:val="24"/>
          <w:highlight w:val="none"/>
        </w:rPr>
        <w:t>费用由</w:t>
      </w:r>
      <w:r>
        <w:rPr>
          <w:rFonts w:hint="eastAsia"/>
        </w:rPr>
        <w:t>供应商</w:t>
      </w:r>
      <w:r>
        <w:rPr>
          <w:rFonts w:hint="eastAsia" w:ascii="宋体" w:hAnsi="宋体" w:eastAsia="宋体" w:cs="宋体"/>
          <w:color w:val="auto"/>
          <w:sz w:val="24"/>
          <w:szCs w:val="24"/>
          <w:highlight w:val="none"/>
        </w:rPr>
        <w:t>负责</w:t>
      </w:r>
      <w:r>
        <w:rPr>
          <w:rFonts w:hint="eastAsia" w:cs="宋体"/>
          <w:color w:val="auto"/>
          <w:sz w:val="24"/>
          <w:szCs w:val="24"/>
          <w:highlight w:val="none"/>
          <w:lang w:eastAsia="zh-CN"/>
        </w:rPr>
        <w:t>。</w:t>
      </w:r>
      <w:r>
        <w:rPr>
          <w:rStyle w:val="12"/>
          <w:rFonts w:hint="eastAsia"/>
          <w:b w:val="0"/>
          <w:bCs w:val="0"/>
        </w:rPr>
        <w:t>（偏离项2）</w:t>
      </w:r>
    </w:p>
    <w:p w14:paraId="0EBA7AC3">
      <w:pPr>
        <w:pStyle w:val="9"/>
        <w:spacing w:before="0" w:beforeAutospacing="0" w:after="0" w:afterAutospacing="0" w:line="315" w:lineRule="atLeast"/>
        <w:rPr>
          <w:rFonts w:hint="eastAsia"/>
        </w:rPr>
      </w:pPr>
      <w:r>
        <w:rPr>
          <w:rFonts w:hint="eastAsia"/>
        </w:rPr>
        <w:t>3、施工工序流程优先保障医院诊疗工作正常开展和病人便利、安全。施工组织计划周密，工人施工期间若干扰医务正常工作时，应无条件服务于医务正常工作。（偏离项3）</w:t>
      </w:r>
    </w:p>
    <w:p w14:paraId="4C0C0AC0">
      <w:pPr>
        <w:pStyle w:val="9"/>
        <w:spacing w:before="0" w:beforeAutospacing="0" w:after="0" w:afterAutospacing="0" w:line="315" w:lineRule="atLeast"/>
        <w:rPr>
          <w:rFonts w:hint="eastAsia"/>
        </w:rPr>
      </w:pPr>
      <w:r>
        <w:rPr>
          <w:rFonts w:hint="eastAsia"/>
        </w:rPr>
        <w:t>4、供应商所提供的热（冷）缩式铜芯电力电缆终端头数量及其主要技术参数都必须符合采购文件要求，其安装符合国标要求。（偏离项4）</w:t>
      </w:r>
    </w:p>
    <w:p w14:paraId="5405C402">
      <w:pPr>
        <w:pStyle w:val="9"/>
        <w:spacing w:before="0" w:beforeAutospacing="0" w:after="0" w:afterAutospacing="0" w:line="315" w:lineRule="atLeast"/>
      </w:pPr>
      <w:r>
        <w:rPr>
          <w:rFonts w:hint="eastAsia"/>
        </w:rPr>
        <w:t>5、供应商必须保证产品来源渠道合法、合规，能享受原厂或原厂授权的售后维修机构的售后服务并负责货物的运输、安装、调试和售后服务等工作。</w:t>
      </w:r>
      <w:r>
        <w:rPr>
          <w:rStyle w:val="12"/>
          <w:rFonts w:hint="eastAsia"/>
          <w:b w:val="0"/>
          <w:bCs w:val="0"/>
        </w:rPr>
        <w:t>（偏离项5）</w:t>
      </w:r>
    </w:p>
    <w:p w14:paraId="4DA1DB4C">
      <w:pPr>
        <w:pStyle w:val="9"/>
        <w:spacing w:before="0" w:beforeAutospacing="0" w:after="0" w:afterAutospacing="0" w:line="315" w:lineRule="atLeast"/>
      </w:pPr>
      <w:r>
        <w:rPr>
          <w:rFonts w:hint="eastAsia"/>
        </w:rPr>
        <w:t>6、如成交后提供的产品与上述要求不符，采购人将拒绝验收，由此带来的一切损失将由成交人负责。</w:t>
      </w:r>
      <w:r>
        <w:rPr>
          <w:rStyle w:val="12"/>
          <w:rFonts w:hint="eastAsia"/>
          <w:b w:val="0"/>
          <w:bCs w:val="0"/>
        </w:rPr>
        <w:t>（偏离项6）</w:t>
      </w:r>
    </w:p>
    <w:p w14:paraId="7008CC26">
      <w:pPr>
        <w:pStyle w:val="9"/>
        <w:spacing w:before="0" w:beforeAutospacing="0" w:after="0" w:afterAutospacing="0" w:line="315" w:lineRule="atLeast"/>
        <w:jc w:val="both"/>
      </w:pPr>
      <w:r>
        <w:rPr>
          <w:rFonts w:hint="eastAsia"/>
        </w:rPr>
        <w:t>7.技术条件</w:t>
      </w:r>
    </w:p>
    <w:p w14:paraId="4B412B69">
      <w:pPr>
        <w:pStyle w:val="9"/>
        <w:spacing w:before="0" w:beforeAutospacing="0" w:after="0" w:afterAutospacing="0" w:line="315" w:lineRule="atLeast"/>
        <w:ind w:firstLine="240"/>
      </w:pPr>
      <w:r>
        <w:rPr>
          <w:rStyle w:val="12"/>
          <w:rFonts w:hint="eastAsia"/>
          <w:b w:val="0"/>
          <w:bCs w:val="0"/>
        </w:rPr>
        <w:t>7.1导体</w:t>
      </w:r>
    </w:p>
    <w:p w14:paraId="0FE49FA1">
      <w:pPr>
        <w:pStyle w:val="9"/>
        <w:spacing w:before="0" w:beforeAutospacing="0" w:after="0" w:afterAutospacing="0" w:line="315" w:lineRule="atLeast"/>
        <w:ind w:firstLine="480"/>
        <w:jc w:val="both"/>
      </w:pPr>
      <w:r>
        <w:rPr>
          <w:rFonts w:hint="eastAsia"/>
        </w:rPr>
        <w:t>7.1.1导体结构、性能及外观符合GB/T3956的规定。</w:t>
      </w:r>
      <w:r>
        <w:rPr>
          <w:rStyle w:val="12"/>
          <w:rFonts w:hint="eastAsia"/>
          <w:b w:val="0"/>
          <w:bCs w:val="0"/>
        </w:rPr>
        <w:t>（偏离项7）</w:t>
      </w:r>
    </w:p>
    <w:p w14:paraId="739E8D19">
      <w:pPr>
        <w:pStyle w:val="9"/>
        <w:spacing w:before="0" w:beforeAutospacing="0" w:after="0" w:afterAutospacing="0" w:line="315" w:lineRule="atLeast"/>
        <w:ind w:firstLine="480"/>
        <w:jc w:val="both"/>
      </w:pPr>
      <w:r>
        <w:rPr>
          <w:rFonts w:hint="eastAsia"/>
        </w:rPr>
        <w:t>7.1.2导体表面光洁、无油污、无损伤屏蔽及绝缘的毛刺、锐边,无凸起或断裂的单线。</w:t>
      </w:r>
      <w:r>
        <w:rPr>
          <w:rStyle w:val="12"/>
          <w:rFonts w:hint="eastAsia"/>
          <w:b w:val="0"/>
          <w:bCs w:val="0"/>
        </w:rPr>
        <w:t>（偏离项8）</w:t>
      </w:r>
    </w:p>
    <w:p w14:paraId="5AC6CDB6">
      <w:pPr>
        <w:pStyle w:val="9"/>
        <w:spacing w:before="0" w:beforeAutospacing="0" w:after="0" w:afterAutospacing="0" w:line="315" w:lineRule="atLeast"/>
        <w:ind w:firstLine="480"/>
      </w:pPr>
      <w:r>
        <w:rPr>
          <w:rFonts w:hint="eastAsia"/>
        </w:rPr>
        <w:t> </w:t>
      </w:r>
    </w:p>
    <w:p w14:paraId="350FDF28">
      <w:pPr>
        <w:pStyle w:val="9"/>
        <w:spacing w:before="0" w:beforeAutospacing="0" w:after="0" w:afterAutospacing="0" w:line="315" w:lineRule="atLeast"/>
        <w:ind w:firstLine="240"/>
      </w:pPr>
      <w:r>
        <w:rPr>
          <w:rStyle w:val="12"/>
          <w:rFonts w:hint="eastAsia"/>
          <w:b w:val="0"/>
          <w:bCs w:val="0"/>
        </w:rPr>
        <w:t>7.2绝缘</w:t>
      </w:r>
    </w:p>
    <w:p w14:paraId="19C48DE9">
      <w:pPr>
        <w:pStyle w:val="9"/>
        <w:spacing w:before="0" w:beforeAutospacing="0" w:after="0" w:afterAutospacing="0" w:line="315" w:lineRule="atLeast"/>
        <w:ind w:firstLine="480"/>
        <w:jc w:val="both"/>
      </w:pPr>
      <w:r>
        <w:rPr>
          <w:rFonts w:hint="eastAsia"/>
        </w:rPr>
        <w:t>7.2.1绝缘采用优质硅烷交联聚乙烯绝缘料，其性能符合GB/T12706.1-2020的规定。</w:t>
      </w:r>
      <w:r>
        <w:rPr>
          <w:rStyle w:val="12"/>
          <w:rFonts w:hint="eastAsia"/>
          <w:b w:val="0"/>
          <w:bCs w:val="0"/>
        </w:rPr>
        <w:t>（偏离项9）</w:t>
      </w:r>
    </w:p>
    <w:p w14:paraId="4B907F62">
      <w:pPr>
        <w:pStyle w:val="9"/>
        <w:spacing w:before="0" w:beforeAutospacing="0" w:after="0" w:afterAutospacing="0" w:line="315" w:lineRule="atLeast"/>
        <w:ind w:firstLine="480"/>
        <w:jc w:val="both"/>
      </w:pPr>
      <w:r>
        <w:rPr>
          <w:rFonts w:hint="eastAsia"/>
        </w:rPr>
        <w:t>7.2.2绝缘标称厚度符合GB/T12706.1-2020的规定，绝缘厚度平均值不小于规定的标称值，绝缘任一点最薄点的测量厚度不小于标称值的90%-0.1mm。</w:t>
      </w:r>
      <w:r>
        <w:rPr>
          <w:rStyle w:val="12"/>
          <w:rFonts w:hint="eastAsia"/>
          <w:b w:val="0"/>
          <w:bCs w:val="0"/>
        </w:rPr>
        <w:t>（偏离项10）</w:t>
      </w:r>
    </w:p>
    <w:p w14:paraId="0B29DFE2">
      <w:pPr>
        <w:pStyle w:val="9"/>
        <w:spacing w:before="0" w:beforeAutospacing="0" w:after="0" w:afterAutospacing="0" w:line="315" w:lineRule="atLeast"/>
        <w:ind w:firstLine="480"/>
        <w:jc w:val="both"/>
      </w:pPr>
      <w:r>
        <w:rPr>
          <w:rFonts w:hint="eastAsia"/>
        </w:rPr>
        <w:t>7.2.3绝缘线芯采用颜色识别，分色规则符合GB6995的规定。</w:t>
      </w:r>
      <w:r>
        <w:rPr>
          <w:rStyle w:val="12"/>
          <w:rFonts w:hint="eastAsia"/>
          <w:b w:val="0"/>
          <w:bCs w:val="0"/>
        </w:rPr>
        <w:t>（偏离项11）</w:t>
      </w:r>
    </w:p>
    <w:p w14:paraId="4FA62AD5">
      <w:pPr>
        <w:pStyle w:val="9"/>
        <w:spacing w:before="0" w:beforeAutospacing="0" w:after="0" w:afterAutospacing="0" w:line="315" w:lineRule="atLeast"/>
        <w:ind w:firstLine="240"/>
      </w:pPr>
      <w:r>
        <w:rPr>
          <w:rStyle w:val="12"/>
          <w:rFonts w:hint="eastAsia"/>
          <w:b w:val="0"/>
          <w:bCs w:val="0"/>
        </w:rPr>
        <w:t>7.3缆芯及填充材料</w:t>
      </w:r>
    </w:p>
    <w:p w14:paraId="7088A962">
      <w:pPr>
        <w:pStyle w:val="9"/>
        <w:spacing w:before="0" w:beforeAutospacing="0" w:after="0" w:afterAutospacing="0" w:line="315" w:lineRule="atLeast"/>
        <w:ind w:firstLine="480"/>
      </w:pPr>
      <w:r>
        <w:rPr>
          <w:rFonts w:hint="eastAsia"/>
        </w:rPr>
        <w:t>7.3.1电缆绝缘线芯成缆方向为右。</w:t>
      </w:r>
      <w:r>
        <w:rPr>
          <w:rStyle w:val="12"/>
          <w:rFonts w:hint="eastAsia"/>
          <w:b w:val="0"/>
          <w:bCs w:val="0"/>
        </w:rPr>
        <w:t>（偏离项12）</w:t>
      </w:r>
    </w:p>
    <w:p w14:paraId="06D413CE">
      <w:pPr>
        <w:pStyle w:val="9"/>
        <w:spacing w:before="0" w:beforeAutospacing="0" w:after="0" w:afterAutospacing="0" w:line="315" w:lineRule="atLeast"/>
        <w:ind w:firstLine="480"/>
      </w:pPr>
      <w:r>
        <w:rPr>
          <w:rFonts w:hint="eastAsia"/>
        </w:rPr>
        <w:t>7.3.2电缆的缆芯中用非吸湿性的材料填充。</w:t>
      </w:r>
      <w:r>
        <w:rPr>
          <w:rStyle w:val="12"/>
          <w:rFonts w:hint="eastAsia"/>
          <w:b w:val="0"/>
          <w:bCs w:val="0"/>
        </w:rPr>
        <w:t>（偏离项13）</w:t>
      </w:r>
    </w:p>
    <w:p w14:paraId="39882319">
      <w:pPr>
        <w:pStyle w:val="9"/>
        <w:spacing w:before="0" w:beforeAutospacing="0" w:after="0" w:afterAutospacing="0" w:line="315" w:lineRule="atLeast"/>
        <w:ind w:firstLine="240"/>
      </w:pPr>
      <w:r>
        <w:rPr>
          <w:rStyle w:val="12"/>
          <w:rFonts w:hint="eastAsia"/>
          <w:b w:val="0"/>
          <w:bCs w:val="0"/>
        </w:rPr>
        <w:t>7.4成品电缆标志</w:t>
      </w:r>
    </w:p>
    <w:p w14:paraId="5EEB6C52">
      <w:pPr>
        <w:pStyle w:val="9"/>
        <w:spacing w:before="0" w:beforeAutospacing="0" w:after="0" w:afterAutospacing="0" w:line="315" w:lineRule="atLeast"/>
        <w:ind w:firstLine="480"/>
        <w:jc w:val="both"/>
      </w:pPr>
      <w:r>
        <w:rPr>
          <w:rFonts w:hint="eastAsia"/>
        </w:rPr>
        <w:t>成品电缆的护套表面有制造厂名称、产品型号及额定电压的连续标志，标志字迹清楚、容易辨认、耐擦。成品电缆标志符合GB6995.3规定。</w:t>
      </w:r>
      <w:r>
        <w:rPr>
          <w:rStyle w:val="12"/>
          <w:rFonts w:hint="eastAsia"/>
          <w:b w:val="0"/>
          <w:bCs w:val="0"/>
        </w:rPr>
        <w:t>（偏离项14）</w:t>
      </w:r>
    </w:p>
    <w:p w14:paraId="15D8309C">
      <w:pPr>
        <w:pStyle w:val="9"/>
        <w:spacing w:before="0" w:beforeAutospacing="0" w:after="0" w:afterAutospacing="0" w:line="315" w:lineRule="atLeast"/>
      </w:pPr>
      <w:r>
        <w:rPr>
          <w:rFonts w:hint="eastAsia"/>
        </w:rPr>
        <w:t> </w:t>
      </w:r>
    </w:p>
    <w:p w14:paraId="00554830">
      <w:pPr>
        <w:pStyle w:val="9"/>
        <w:spacing w:before="0" w:beforeAutospacing="0" w:after="0" w:afterAutospacing="0" w:line="315" w:lineRule="atLeast"/>
        <w:ind w:firstLine="240"/>
      </w:pPr>
      <w:r>
        <w:rPr>
          <w:rStyle w:val="12"/>
          <w:rFonts w:hint="eastAsia"/>
          <w:b w:val="0"/>
          <w:bCs w:val="0"/>
        </w:rPr>
        <w:t>7.5.电缆包装要求：（偏离项15）</w:t>
      </w:r>
    </w:p>
    <w:p w14:paraId="33B319BB">
      <w:pPr>
        <w:pStyle w:val="9"/>
        <w:spacing w:before="0" w:beforeAutospacing="0" w:after="0" w:afterAutospacing="0" w:line="315" w:lineRule="atLeast"/>
        <w:ind w:firstLine="315"/>
        <w:jc w:val="both"/>
      </w:pPr>
      <w:r>
        <w:rPr>
          <w:rFonts w:hint="eastAsia"/>
        </w:rPr>
        <w:t>（1）制造厂名称或商标；       （2）电缆型号和规格；</w:t>
      </w:r>
    </w:p>
    <w:p w14:paraId="16EAC3E8">
      <w:pPr>
        <w:pStyle w:val="9"/>
        <w:spacing w:before="0" w:beforeAutospacing="0" w:after="0" w:afterAutospacing="0" w:line="315" w:lineRule="atLeast"/>
        <w:ind w:firstLine="315"/>
        <w:jc w:val="both"/>
      </w:pPr>
      <w:r>
        <w:rPr>
          <w:rFonts w:hint="eastAsia"/>
        </w:rPr>
        <w:t>（3）长度，m            （4）毛重，kg；</w:t>
      </w:r>
    </w:p>
    <w:p w14:paraId="797B8E41">
      <w:pPr>
        <w:pStyle w:val="9"/>
        <w:spacing w:before="0" w:beforeAutospacing="0" w:after="0" w:afterAutospacing="0" w:line="315" w:lineRule="atLeast"/>
        <w:ind w:firstLine="315"/>
        <w:jc w:val="both"/>
      </w:pPr>
      <w:r>
        <w:rPr>
          <w:rFonts w:hint="eastAsia"/>
        </w:rPr>
        <w:t>（5）制造日期： 年  月；    （6）标准编号。</w:t>
      </w:r>
    </w:p>
    <w:p w14:paraId="40CA16B1">
      <w:pPr>
        <w:pStyle w:val="9"/>
        <w:spacing w:before="0" w:beforeAutospacing="0" w:after="0" w:afterAutospacing="0" w:line="315" w:lineRule="atLeast"/>
        <w:jc w:val="both"/>
      </w:pPr>
      <w:r>
        <w:rPr>
          <w:rStyle w:val="12"/>
          <w:rFonts w:hint="eastAsia"/>
          <w:b w:val="0"/>
          <w:bCs w:val="0"/>
        </w:rPr>
        <w:t>7.6运输和保管符合下列要求：</w:t>
      </w:r>
    </w:p>
    <w:p w14:paraId="6A4CFEEC">
      <w:pPr>
        <w:pStyle w:val="9"/>
        <w:spacing w:before="0" w:beforeAutospacing="0" w:after="0" w:afterAutospacing="0" w:line="315" w:lineRule="atLeast"/>
        <w:ind w:firstLine="480"/>
      </w:pPr>
      <w:r>
        <w:rPr>
          <w:rFonts w:hint="eastAsia"/>
        </w:rPr>
        <w:t>7.6.1电缆避免在露天存放，电缆盘不允许平放；</w:t>
      </w:r>
      <w:r>
        <w:rPr>
          <w:rStyle w:val="12"/>
          <w:rFonts w:hint="eastAsia"/>
          <w:b w:val="0"/>
          <w:bCs w:val="0"/>
        </w:rPr>
        <w:t>（偏离项16）</w:t>
      </w:r>
    </w:p>
    <w:p w14:paraId="2D5814F7">
      <w:pPr>
        <w:pStyle w:val="9"/>
        <w:spacing w:before="0" w:beforeAutospacing="0" w:after="0" w:afterAutospacing="0" w:line="315" w:lineRule="atLeast"/>
        <w:ind w:firstLine="480"/>
        <w:jc w:val="both"/>
      </w:pPr>
      <w:r>
        <w:rPr>
          <w:rFonts w:hint="eastAsia"/>
        </w:rPr>
        <w:t>7.6.2运输中严禁从高处扔下装有电缆的电缆盘，严禁机械损伤电缆；</w:t>
      </w:r>
      <w:r>
        <w:rPr>
          <w:rStyle w:val="12"/>
          <w:rFonts w:hint="eastAsia"/>
          <w:b w:val="0"/>
          <w:bCs w:val="0"/>
        </w:rPr>
        <w:t>（偏离项17）</w:t>
      </w:r>
    </w:p>
    <w:p w14:paraId="222C2781">
      <w:pPr>
        <w:pStyle w:val="9"/>
        <w:spacing w:before="0" w:beforeAutospacing="0" w:after="0" w:afterAutospacing="0" w:line="315" w:lineRule="atLeast"/>
        <w:ind w:firstLine="480"/>
      </w:pPr>
      <w:r>
        <w:rPr>
          <w:rFonts w:hint="eastAsia"/>
        </w:rPr>
        <w:t>7.6.3吊装包装件时，严禁几盘同时吊装。在车辆、船舶等运输工具上，电缆盘必须放稳，并用合适方法固定，防止互撞或翻倒。</w:t>
      </w:r>
      <w:r>
        <w:rPr>
          <w:rStyle w:val="12"/>
          <w:rFonts w:hint="eastAsia"/>
          <w:b w:val="0"/>
          <w:bCs w:val="0"/>
        </w:rPr>
        <w:t>（偏离项18）</w:t>
      </w:r>
    </w:p>
    <w:p w14:paraId="7686BD79">
      <w:pPr>
        <w:pStyle w:val="9"/>
        <w:spacing w:before="0" w:beforeAutospacing="0" w:after="0" w:afterAutospacing="0" w:line="315" w:lineRule="atLeast"/>
      </w:pPr>
      <w:r>
        <w:rPr>
          <w:rFonts w:hint="eastAsia"/>
        </w:rPr>
        <w:t>8.电力电缆的电气性能、机械物理性能、阻燃均应符合GB/T 12706.1的规定。</w:t>
      </w:r>
      <w:r>
        <w:rPr>
          <w:rStyle w:val="12"/>
          <w:rFonts w:hint="eastAsia"/>
          <w:b w:val="0"/>
          <w:bCs w:val="0"/>
        </w:rPr>
        <w:t>（偏离项19）</w:t>
      </w:r>
    </w:p>
    <w:p w14:paraId="6BFA4731">
      <w:pPr>
        <w:pStyle w:val="9"/>
        <w:spacing w:before="0" w:beforeAutospacing="0" w:after="0" w:afterAutospacing="0" w:line="315" w:lineRule="atLeast"/>
      </w:pPr>
      <w:r>
        <w:rPr>
          <w:rFonts w:hint="eastAsia"/>
        </w:rPr>
        <w:t>9.施工中现场工人必须统一戴安全帽穿安全服，不得穿拖鞋，光脚、光膀子施工。施工管理人员必须统一着装、佩戴工作牌、戴好安全帽。电工等特种作业人员持证上岗。（</w:t>
      </w:r>
      <w:r>
        <w:rPr>
          <w:rStyle w:val="12"/>
          <w:rFonts w:hint="eastAsia"/>
          <w:b w:val="0"/>
          <w:bCs w:val="0"/>
        </w:rPr>
        <w:t>偏离项20）</w:t>
      </w:r>
    </w:p>
    <w:p w14:paraId="7FFB00D5">
      <w:pPr>
        <w:pStyle w:val="9"/>
        <w:spacing w:before="0" w:beforeAutospacing="0" w:after="0" w:afterAutospacing="0" w:line="315" w:lineRule="atLeast"/>
        <w:ind w:firstLine="480"/>
        <w:rPr>
          <w:rFonts w:hint="eastAsia"/>
        </w:rPr>
      </w:pPr>
    </w:p>
    <w:p w14:paraId="7A27A00C">
      <w:pPr>
        <w:pStyle w:val="9"/>
        <w:spacing w:before="0" w:beforeAutospacing="0" w:after="0" w:afterAutospacing="0" w:line="315" w:lineRule="atLeast"/>
        <w:rPr>
          <w:rFonts w:hint="eastAsia"/>
        </w:rPr>
      </w:pPr>
      <w:r>
        <w:rPr>
          <w:rFonts w:hint="eastAsia"/>
        </w:rPr>
        <w:t>10.在施工期间必须服从采购人安排，文明施工，保持施工现场整洁卫生，损坏物品须照价赔偿或负责修复；施工完毕后，及时将施工现场清理干净。</w:t>
      </w:r>
      <w:r>
        <w:rPr>
          <w:rStyle w:val="12"/>
          <w:rFonts w:hint="eastAsia"/>
          <w:b w:val="0"/>
          <w:bCs w:val="0"/>
        </w:rPr>
        <w:t>（偏离项21）</w:t>
      </w:r>
    </w:p>
    <w:p w14:paraId="21D557D6">
      <w:pPr>
        <w:pStyle w:val="9"/>
        <w:spacing w:before="0" w:beforeAutospacing="0" w:after="0" w:afterAutospacing="0" w:line="315" w:lineRule="atLeast"/>
        <w:rPr>
          <w:rFonts w:hint="eastAsia"/>
        </w:rPr>
      </w:pPr>
      <w:r>
        <w:rPr>
          <w:rFonts w:hint="eastAsia"/>
        </w:rPr>
        <w:t>11.成交供应商须承诺施工中的安全责任，施工过程中的安全责任等均由成交供应商自行负责，出现任何安全事故，成交供应商须负全责。</w:t>
      </w:r>
      <w:r>
        <w:rPr>
          <w:rStyle w:val="12"/>
          <w:rFonts w:hint="eastAsia"/>
          <w:b w:val="0"/>
          <w:bCs w:val="0"/>
        </w:rPr>
        <w:t>（偏离项22）（需提供书面承诺函）</w:t>
      </w:r>
    </w:p>
    <w:p w14:paraId="656FEE44">
      <w:pPr>
        <w:pStyle w:val="9"/>
        <w:spacing w:before="0" w:beforeAutospacing="0" w:after="0" w:afterAutospacing="0" w:line="315" w:lineRule="atLeast"/>
        <w:rPr>
          <w:rFonts w:hint="eastAsia"/>
        </w:rPr>
      </w:pPr>
      <w:r>
        <w:rPr>
          <w:rFonts w:hint="eastAsia"/>
        </w:rPr>
        <w:t>12.施工中使用的材料应严格堆放在正在施工区域内并设置围档，不得随意堆放占道。确因场地条件所限，无法留出交通通道的应设立明显指示和警示标志，应疏导行人和车辆安全通行。</w:t>
      </w:r>
      <w:r>
        <w:rPr>
          <w:rStyle w:val="12"/>
          <w:rFonts w:hint="eastAsia"/>
          <w:b w:val="0"/>
          <w:bCs w:val="0"/>
        </w:rPr>
        <w:t>（偏离项23）</w:t>
      </w:r>
    </w:p>
    <w:p w14:paraId="245C0717">
      <w:pPr>
        <w:pStyle w:val="9"/>
        <w:spacing w:before="0" w:beforeAutospacing="0" w:after="150" w:afterAutospacing="0" w:line="300" w:lineRule="atLeast"/>
        <w:ind w:firstLine="480"/>
        <w:rPr>
          <w:rStyle w:val="12"/>
          <w:rFonts w:hint="eastAsia"/>
          <w:b w:val="0"/>
          <w:bCs w:val="0"/>
        </w:rPr>
      </w:pPr>
    </w:p>
    <w:p w14:paraId="63C3B34F">
      <w:pPr>
        <w:pStyle w:val="9"/>
        <w:spacing w:before="0" w:beforeAutospacing="0" w:after="150" w:afterAutospacing="0" w:line="300" w:lineRule="atLeast"/>
        <w:rPr>
          <w:rFonts w:hint="eastAsia"/>
        </w:rPr>
      </w:pPr>
      <w:r>
        <w:rPr>
          <w:rStyle w:val="12"/>
          <w:rFonts w:hint="eastAsia"/>
          <w:b w:val="0"/>
          <w:bCs w:val="0"/>
        </w:rPr>
        <w:t>★13.成交供应商应确保在施工期间不影响医院各区域正常工作的开展。停电操作时间段需根据甲方需求在指定时间内完成。原劳服低压电房等区域内停电时间不超过12小时。（需提供书面承诺函）</w:t>
      </w:r>
    </w:p>
    <w:p w14:paraId="57A1D0F0">
      <w:pPr>
        <w:pStyle w:val="9"/>
        <w:spacing w:before="75" w:beforeAutospacing="0" w:after="75" w:afterAutospacing="0"/>
        <w:rPr>
          <w:rFonts w:hint="eastAsia"/>
        </w:rPr>
      </w:pPr>
    </w:p>
    <w:p w14:paraId="30B01767">
      <w:pPr>
        <w:pStyle w:val="9"/>
        <w:spacing w:before="75" w:beforeAutospacing="0" w:after="75" w:afterAutospacing="0"/>
        <w:rPr>
          <w:rFonts w:hint="eastAsia"/>
        </w:rPr>
      </w:pPr>
    </w:p>
    <w:p w14:paraId="47B5802F">
      <w:pPr>
        <w:pStyle w:val="9"/>
        <w:spacing w:before="75" w:beforeAutospacing="0" w:after="75" w:afterAutospacing="0"/>
      </w:pPr>
      <w:r>
        <w:rPr>
          <w:rFonts w:hint="eastAsia"/>
        </w:rPr>
        <w:t>三、商务条件</w:t>
      </w:r>
      <w:r>
        <w:rPr>
          <w:rStyle w:val="12"/>
          <w:rFonts w:hint="eastAsia"/>
          <w:bCs w:val="0"/>
        </w:rPr>
        <w:t>（以“★”标示的内容为不允许负偏离的实质性要求）</w:t>
      </w:r>
    </w:p>
    <w:p w14:paraId="3396189E">
      <w:pPr>
        <w:pStyle w:val="9"/>
        <w:spacing w:before="75" w:beforeAutospacing="0" w:after="75" w:afterAutospacing="0"/>
        <w:rPr>
          <w:rStyle w:val="12"/>
          <w:rFonts w:hint="eastAsia"/>
          <w:bCs w:val="0"/>
        </w:rPr>
      </w:pPr>
      <w:r>
        <w:rPr>
          <w:rStyle w:val="12"/>
          <w:rFonts w:hint="eastAsia"/>
          <w:bCs w:val="0"/>
        </w:rPr>
        <w:t>包：1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4"/>
        <w:gridCol w:w="1357"/>
        <w:gridCol w:w="1414"/>
        <w:gridCol w:w="4479"/>
      </w:tblGrid>
      <w:tr w14:paraId="672CC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4" w:type="dxa"/>
            <w:vAlign w:val="center"/>
          </w:tcPr>
          <w:p w14:paraId="73A7E729">
            <w:pPr>
              <w:pStyle w:val="22"/>
              <w:spacing w:line="400" w:lineRule="exact"/>
              <w:jc w:val="center"/>
              <w:rPr>
                <w:rFonts w:ascii="宋体" w:hAnsi="宋体" w:cs="宋体"/>
                <w:sz w:val="24"/>
                <w:szCs w:val="24"/>
              </w:rPr>
            </w:pPr>
            <w:r>
              <w:rPr>
                <w:rFonts w:ascii="宋体" w:hAnsi="宋体" w:cs="宋体"/>
                <w:sz w:val="24"/>
                <w:szCs w:val="24"/>
              </w:rPr>
              <w:t>序号</w:t>
            </w:r>
          </w:p>
        </w:tc>
        <w:tc>
          <w:tcPr>
            <w:tcW w:w="1357" w:type="dxa"/>
            <w:vAlign w:val="center"/>
          </w:tcPr>
          <w:p w14:paraId="6365F406">
            <w:pPr>
              <w:pStyle w:val="22"/>
              <w:spacing w:line="400" w:lineRule="exact"/>
              <w:jc w:val="center"/>
              <w:rPr>
                <w:rFonts w:ascii="宋体" w:hAnsi="宋体" w:cs="宋体"/>
                <w:sz w:val="24"/>
                <w:szCs w:val="24"/>
              </w:rPr>
            </w:pPr>
            <w:r>
              <w:rPr>
                <w:rFonts w:ascii="宋体" w:hAnsi="宋体" w:cs="宋体"/>
                <w:sz w:val="24"/>
                <w:szCs w:val="24"/>
              </w:rPr>
              <w:t>参数性质</w:t>
            </w:r>
          </w:p>
        </w:tc>
        <w:tc>
          <w:tcPr>
            <w:tcW w:w="1414" w:type="dxa"/>
            <w:vAlign w:val="center"/>
          </w:tcPr>
          <w:p w14:paraId="57F237CA">
            <w:pPr>
              <w:pStyle w:val="22"/>
              <w:spacing w:line="400" w:lineRule="exact"/>
              <w:jc w:val="center"/>
              <w:rPr>
                <w:rFonts w:ascii="宋体" w:hAnsi="宋体" w:cs="宋体"/>
                <w:sz w:val="24"/>
                <w:szCs w:val="24"/>
              </w:rPr>
            </w:pPr>
            <w:r>
              <w:rPr>
                <w:rFonts w:ascii="宋体" w:hAnsi="宋体" w:cs="宋体"/>
                <w:sz w:val="24"/>
                <w:szCs w:val="24"/>
              </w:rPr>
              <w:t>类型</w:t>
            </w:r>
          </w:p>
        </w:tc>
        <w:tc>
          <w:tcPr>
            <w:tcW w:w="4479" w:type="dxa"/>
          </w:tcPr>
          <w:p w14:paraId="52FF35EA">
            <w:pPr>
              <w:pStyle w:val="22"/>
              <w:spacing w:line="400" w:lineRule="exact"/>
              <w:rPr>
                <w:rFonts w:ascii="宋体" w:hAnsi="宋体" w:cs="宋体"/>
                <w:sz w:val="24"/>
                <w:szCs w:val="24"/>
              </w:rPr>
            </w:pPr>
            <w:r>
              <w:rPr>
                <w:rFonts w:ascii="宋体" w:hAnsi="宋体" w:cs="宋体"/>
                <w:sz w:val="24"/>
                <w:szCs w:val="24"/>
              </w:rPr>
              <w:t>要求</w:t>
            </w:r>
          </w:p>
        </w:tc>
      </w:tr>
      <w:tr w14:paraId="08F41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4" w:type="dxa"/>
            <w:vAlign w:val="center"/>
          </w:tcPr>
          <w:p w14:paraId="0942DE9B">
            <w:pPr>
              <w:pStyle w:val="22"/>
              <w:spacing w:line="400" w:lineRule="exact"/>
              <w:jc w:val="center"/>
              <w:rPr>
                <w:rFonts w:ascii="宋体" w:hAnsi="宋体" w:cs="宋体"/>
                <w:sz w:val="24"/>
                <w:szCs w:val="24"/>
              </w:rPr>
            </w:pPr>
            <w:r>
              <w:rPr>
                <w:rFonts w:ascii="宋体" w:hAnsi="宋体" w:cs="宋体"/>
                <w:sz w:val="24"/>
                <w:szCs w:val="24"/>
              </w:rPr>
              <w:t>1</w:t>
            </w:r>
          </w:p>
        </w:tc>
        <w:tc>
          <w:tcPr>
            <w:tcW w:w="1357" w:type="dxa"/>
            <w:vAlign w:val="center"/>
          </w:tcPr>
          <w:p w14:paraId="4F9963C9">
            <w:pPr>
              <w:pStyle w:val="22"/>
              <w:spacing w:line="400" w:lineRule="exact"/>
              <w:jc w:val="center"/>
              <w:rPr>
                <w:rFonts w:ascii="宋体" w:hAnsi="宋体" w:cs="宋体"/>
                <w:sz w:val="24"/>
                <w:szCs w:val="24"/>
              </w:rPr>
            </w:pPr>
            <w:r>
              <w:rPr>
                <w:rFonts w:ascii="宋体" w:hAnsi="宋体" w:cs="宋体"/>
                <w:sz w:val="24"/>
                <w:szCs w:val="24"/>
              </w:rPr>
              <w:t>★</w:t>
            </w:r>
          </w:p>
        </w:tc>
        <w:tc>
          <w:tcPr>
            <w:tcW w:w="1414" w:type="dxa"/>
            <w:vAlign w:val="center"/>
          </w:tcPr>
          <w:p w14:paraId="28CB1C65">
            <w:pPr>
              <w:pStyle w:val="22"/>
              <w:spacing w:line="400" w:lineRule="exact"/>
              <w:jc w:val="center"/>
              <w:rPr>
                <w:rFonts w:ascii="宋体" w:hAnsi="宋体" w:cs="宋体"/>
                <w:sz w:val="24"/>
                <w:szCs w:val="24"/>
              </w:rPr>
            </w:pPr>
            <w:r>
              <w:rPr>
                <w:rFonts w:ascii="宋体" w:hAnsi="宋体" w:cs="宋体"/>
                <w:sz w:val="24"/>
                <w:szCs w:val="24"/>
              </w:rPr>
              <w:t>交付时间</w:t>
            </w:r>
          </w:p>
        </w:tc>
        <w:tc>
          <w:tcPr>
            <w:tcW w:w="4479" w:type="dxa"/>
          </w:tcPr>
          <w:p w14:paraId="69F640DA">
            <w:pPr>
              <w:pStyle w:val="22"/>
              <w:spacing w:line="400" w:lineRule="exact"/>
              <w:rPr>
                <w:rFonts w:ascii="宋体" w:hAnsi="宋体" w:cs="宋体"/>
                <w:sz w:val="24"/>
                <w:szCs w:val="24"/>
              </w:rPr>
            </w:pPr>
            <w:r>
              <w:rPr>
                <w:rFonts w:ascii="宋体" w:hAnsi="宋体" w:cs="宋体"/>
                <w:sz w:val="24"/>
                <w:szCs w:val="24"/>
                <w:lang w:eastAsia="zh-CN"/>
              </w:rPr>
              <w:t>合同签订后，接甲方通知后，30日内完工</w:t>
            </w:r>
          </w:p>
        </w:tc>
      </w:tr>
      <w:tr w14:paraId="4E9AD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4" w:type="dxa"/>
            <w:vAlign w:val="center"/>
          </w:tcPr>
          <w:p w14:paraId="1098EFA7">
            <w:pPr>
              <w:pStyle w:val="22"/>
              <w:spacing w:line="400" w:lineRule="exact"/>
              <w:jc w:val="center"/>
              <w:rPr>
                <w:rFonts w:ascii="宋体" w:hAnsi="宋体" w:cs="宋体"/>
                <w:sz w:val="24"/>
                <w:szCs w:val="24"/>
              </w:rPr>
            </w:pPr>
            <w:r>
              <w:rPr>
                <w:rFonts w:ascii="宋体" w:hAnsi="宋体" w:cs="宋体"/>
                <w:sz w:val="24"/>
                <w:szCs w:val="24"/>
              </w:rPr>
              <w:t>2</w:t>
            </w:r>
          </w:p>
        </w:tc>
        <w:tc>
          <w:tcPr>
            <w:tcW w:w="1357" w:type="dxa"/>
            <w:vAlign w:val="center"/>
          </w:tcPr>
          <w:p w14:paraId="1ACA88F7">
            <w:pPr>
              <w:pStyle w:val="22"/>
              <w:spacing w:line="400" w:lineRule="exact"/>
              <w:jc w:val="center"/>
              <w:rPr>
                <w:rFonts w:ascii="宋体" w:hAnsi="宋体" w:cs="宋体"/>
                <w:sz w:val="24"/>
                <w:szCs w:val="24"/>
              </w:rPr>
            </w:pPr>
            <w:r>
              <w:rPr>
                <w:rFonts w:ascii="宋体" w:hAnsi="宋体" w:cs="宋体"/>
                <w:sz w:val="24"/>
                <w:szCs w:val="24"/>
              </w:rPr>
              <w:t>★</w:t>
            </w:r>
          </w:p>
        </w:tc>
        <w:tc>
          <w:tcPr>
            <w:tcW w:w="1414" w:type="dxa"/>
            <w:vAlign w:val="center"/>
          </w:tcPr>
          <w:p w14:paraId="4488EF39">
            <w:pPr>
              <w:pStyle w:val="22"/>
              <w:spacing w:line="400" w:lineRule="exact"/>
              <w:jc w:val="center"/>
              <w:rPr>
                <w:rFonts w:ascii="宋体" w:hAnsi="宋体" w:cs="宋体"/>
                <w:sz w:val="24"/>
                <w:szCs w:val="24"/>
              </w:rPr>
            </w:pPr>
            <w:r>
              <w:rPr>
                <w:rFonts w:ascii="宋体" w:hAnsi="宋体" w:cs="宋体"/>
                <w:sz w:val="24"/>
                <w:szCs w:val="24"/>
              </w:rPr>
              <w:t>交付地点</w:t>
            </w:r>
          </w:p>
        </w:tc>
        <w:tc>
          <w:tcPr>
            <w:tcW w:w="4479" w:type="dxa"/>
          </w:tcPr>
          <w:p w14:paraId="53557E3B">
            <w:pPr>
              <w:pStyle w:val="22"/>
              <w:spacing w:line="400" w:lineRule="exact"/>
              <w:rPr>
                <w:rFonts w:ascii="宋体" w:hAnsi="宋体" w:cs="宋体"/>
                <w:sz w:val="24"/>
                <w:szCs w:val="24"/>
              </w:rPr>
            </w:pPr>
            <w:r>
              <w:rPr>
                <w:rFonts w:ascii="宋体" w:hAnsi="宋体" w:cs="宋体"/>
                <w:sz w:val="24"/>
                <w:szCs w:val="24"/>
                <w:lang w:eastAsia="zh-CN"/>
              </w:rPr>
              <w:t>福建省</w:t>
            </w:r>
            <w:r>
              <w:rPr>
                <w:rFonts w:ascii="宋体" w:hAnsi="宋体" w:cs="宋体"/>
                <w:sz w:val="24"/>
                <w:szCs w:val="24"/>
              </w:rPr>
              <w:t>福州市福马420号</w:t>
            </w:r>
          </w:p>
        </w:tc>
      </w:tr>
      <w:tr w14:paraId="6F8E7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4" w:type="dxa"/>
            <w:vAlign w:val="center"/>
          </w:tcPr>
          <w:p w14:paraId="4AD60EA7">
            <w:pPr>
              <w:pStyle w:val="22"/>
              <w:spacing w:line="400" w:lineRule="exact"/>
              <w:jc w:val="center"/>
              <w:rPr>
                <w:rFonts w:ascii="宋体" w:hAnsi="宋体" w:cs="宋体"/>
                <w:sz w:val="24"/>
                <w:szCs w:val="24"/>
              </w:rPr>
            </w:pPr>
            <w:r>
              <w:rPr>
                <w:rFonts w:ascii="宋体" w:hAnsi="宋体" w:cs="宋体"/>
                <w:sz w:val="24"/>
                <w:szCs w:val="24"/>
              </w:rPr>
              <w:t>3</w:t>
            </w:r>
          </w:p>
        </w:tc>
        <w:tc>
          <w:tcPr>
            <w:tcW w:w="1357" w:type="dxa"/>
            <w:vAlign w:val="center"/>
          </w:tcPr>
          <w:p w14:paraId="38C1F7FE">
            <w:pPr>
              <w:pStyle w:val="22"/>
              <w:spacing w:line="400" w:lineRule="exact"/>
              <w:jc w:val="center"/>
              <w:rPr>
                <w:rFonts w:ascii="宋体" w:hAnsi="宋体" w:cs="宋体"/>
                <w:sz w:val="24"/>
                <w:szCs w:val="24"/>
              </w:rPr>
            </w:pPr>
            <w:r>
              <w:rPr>
                <w:rFonts w:ascii="宋体" w:hAnsi="宋体" w:cs="宋体"/>
                <w:sz w:val="24"/>
                <w:szCs w:val="24"/>
              </w:rPr>
              <w:t>★</w:t>
            </w:r>
          </w:p>
        </w:tc>
        <w:tc>
          <w:tcPr>
            <w:tcW w:w="1414" w:type="dxa"/>
            <w:vAlign w:val="center"/>
          </w:tcPr>
          <w:p w14:paraId="7CA263F6">
            <w:pPr>
              <w:pStyle w:val="22"/>
              <w:spacing w:line="400" w:lineRule="exact"/>
              <w:jc w:val="center"/>
              <w:rPr>
                <w:rFonts w:ascii="宋体" w:hAnsi="宋体" w:cs="宋体"/>
                <w:sz w:val="24"/>
                <w:szCs w:val="24"/>
              </w:rPr>
            </w:pPr>
            <w:r>
              <w:rPr>
                <w:rFonts w:ascii="宋体" w:hAnsi="宋体" w:cs="宋体"/>
                <w:sz w:val="24"/>
                <w:szCs w:val="24"/>
              </w:rPr>
              <w:t>交付条件</w:t>
            </w:r>
          </w:p>
        </w:tc>
        <w:tc>
          <w:tcPr>
            <w:tcW w:w="4479" w:type="dxa"/>
          </w:tcPr>
          <w:p w14:paraId="34E41156">
            <w:pPr>
              <w:pStyle w:val="9"/>
              <w:spacing w:before="75" w:beforeAutospacing="0" w:after="75" w:afterAutospacing="0"/>
              <w:rPr>
                <w:rStyle w:val="12"/>
                <w:rFonts w:hint="eastAsia"/>
                <w:bCs w:val="0"/>
              </w:rPr>
            </w:pPr>
            <w:r>
              <w:rPr>
                <w:rFonts w:hint="eastAsia"/>
              </w:rPr>
              <w:t>符合《工程施工质量验收规范》、《电缆线路施工及验收规(GB-50168-2006)》等标准；满足安全通电使用要求。</w:t>
            </w:r>
          </w:p>
          <w:p w14:paraId="3974002C">
            <w:pPr>
              <w:pStyle w:val="22"/>
              <w:spacing w:line="400" w:lineRule="exact"/>
              <w:rPr>
                <w:lang w:eastAsia="zh-CN"/>
              </w:rPr>
            </w:pPr>
          </w:p>
        </w:tc>
      </w:tr>
      <w:tr w14:paraId="4D3A4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4" w:type="dxa"/>
            <w:vAlign w:val="center"/>
          </w:tcPr>
          <w:p w14:paraId="2EC5B6AB">
            <w:pPr>
              <w:pStyle w:val="22"/>
              <w:spacing w:line="400" w:lineRule="exact"/>
              <w:jc w:val="center"/>
              <w:rPr>
                <w:rFonts w:ascii="宋体" w:hAnsi="宋体" w:cs="宋体"/>
                <w:sz w:val="24"/>
                <w:szCs w:val="24"/>
              </w:rPr>
            </w:pPr>
            <w:r>
              <w:rPr>
                <w:rFonts w:ascii="宋体" w:hAnsi="宋体" w:cs="宋体"/>
                <w:sz w:val="24"/>
                <w:szCs w:val="24"/>
              </w:rPr>
              <w:t>4</w:t>
            </w:r>
          </w:p>
        </w:tc>
        <w:tc>
          <w:tcPr>
            <w:tcW w:w="1357" w:type="dxa"/>
            <w:vAlign w:val="center"/>
          </w:tcPr>
          <w:p w14:paraId="2A726FF5">
            <w:pPr>
              <w:pStyle w:val="22"/>
              <w:spacing w:line="400" w:lineRule="exact"/>
              <w:jc w:val="center"/>
              <w:rPr>
                <w:rFonts w:ascii="宋体" w:hAnsi="宋体" w:cs="宋体"/>
                <w:sz w:val="24"/>
                <w:szCs w:val="24"/>
              </w:rPr>
            </w:pPr>
            <w:r>
              <w:rPr>
                <w:rFonts w:ascii="宋体" w:hAnsi="宋体" w:cs="宋体"/>
                <w:sz w:val="24"/>
                <w:szCs w:val="24"/>
              </w:rPr>
              <w:t>★</w:t>
            </w:r>
          </w:p>
        </w:tc>
        <w:tc>
          <w:tcPr>
            <w:tcW w:w="1414" w:type="dxa"/>
            <w:vAlign w:val="center"/>
          </w:tcPr>
          <w:p w14:paraId="68569ABB">
            <w:pPr>
              <w:pStyle w:val="22"/>
              <w:spacing w:line="400" w:lineRule="exact"/>
              <w:jc w:val="center"/>
              <w:rPr>
                <w:rFonts w:ascii="宋体" w:hAnsi="宋体" w:cs="宋体"/>
                <w:sz w:val="24"/>
                <w:szCs w:val="24"/>
              </w:rPr>
            </w:pPr>
            <w:r>
              <w:rPr>
                <w:rFonts w:ascii="宋体" w:hAnsi="宋体" w:cs="宋体"/>
                <w:sz w:val="24"/>
                <w:szCs w:val="24"/>
              </w:rPr>
              <w:t>是否邀请投标人验收</w:t>
            </w:r>
          </w:p>
        </w:tc>
        <w:tc>
          <w:tcPr>
            <w:tcW w:w="4479" w:type="dxa"/>
          </w:tcPr>
          <w:p w14:paraId="0043BBC4">
            <w:pPr>
              <w:pStyle w:val="22"/>
              <w:spacing w:line="400" w:lineRule="exact"/>
              <w:rPr>
                <w:rFonts w:ascii="宋体" w:hAnsi="宋体" w:cs="宋体"/>
                <w:sz w:val="24"/>
                <w:szCs w:val="24"/>
              </w:rPr>
            </w:pPr>
            <w:r>
              <w:rPr>
                <w:rFonts w:ascii="宋体" w:hAnsi="宋体" w:cs="宋体"/>
                <w:sz w:val="24"/>
                <w:szCs w:val="24"/>
              </w:rPr>
              <w:t>不邀请投标人验收</w:t>
            </w:r>
          </w:p>
        </w:tc>
      </w:tr>
      <w:tr w14:paraId="06E5E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4" w:type="dxa"/>
            <w:vAlign w:val="center"/>
          </w:tcPr>
          <w:p w14:paraId="175993A7">
            <w:pPr>
              <w:pStyle w:val="22"/>
              <w:spacing w:line="400" w:lineRule="exact"/>
              <w:jc w:val="center"/>
              <w:rPr>
                <w:rFonts w:ascii="宋体" w:hAnsi="宋体" w:cs="宋体"/>
                <w:sz w:val="24"/>
                <w:szCs w:val="24"/>
              </w:rPr>
            </w:pPr>
            <w:r>
              <w:rPr>
                <w:rFonts w:ascii="宋体" w:hAnsi="宋体" w:cs="宋体"/>
                <w:sz w:val="24"/>
                <w:szCs w:val="24"/>
              </w:rPr>
              <w:t>5</w:t>
            </w:r>
          </w:p>
        </w:tc>
        <w:tc>
          <w:tcPr>
            <w:tcW w:w="1357" w:type="dxa"/>
            <w:vAlign w:val="center"/>
          </w:tcPr>
          <w:p w14:paraId="2060A240">
            <w:pPr>
              <w:pStyle w:val="22"/>
              <w:spacing w:line="400" w:lineRule="exact"/>
              <w:jc w:val="center"/>
              <w:rPr>
                <w:rFonts w:ascii="宋体" w:hAnsi="宋体" w:cs="宋体"/>
                <w:sz w:val="24"/>
                <w:szCs w:val="24"/>
              </w:rPr>
            </w:pPr>
            <w:r>
              <w:rPr>
                <w:rFonts w:ascii="宋体" w:hAnsi="宋体" w:cs="宋体"/>
                <w:sz w:val="24"/>
                <w:szCs w:val="24"/>
              </w:rPr>
              <w:t>★</w:t>
            </w:r>
          </w:p>
        </w:tc>
        <w:tc>
          <w:tcPr>
            <w:tcW w:w="1414" w:type="dxa"/>
            <w:vAlign w:val="center"/>
          </w:tcPr>
          <w:p w14:paraId="5ED7CD13">
            <w:pPr>
              <w:pStyle w:val="22"/>
              <w:spacing w:line="400" w:lineRule="exact"/>
              <w:jc w:val="center"/>
              <w:rPr>
                <w:rFonts w:ascii="宋体" w:hAnsi="宋体" w:cs="宋体"/>
                <w:sz w:val="24"/>
                <w:szCs w:val="24"/>
              </w:rPr>
            </w:pPr>
            <w:r>
              <w:rPr>
                <w:rFonts w:ascii="宋体" w:hAnsi="宋体" w:cs="宋体"/>
                <w:sz w:val="24"/>
                <w:szCs w:val="24"/>
              </w:rPr>
              <w:t>履约验收方式</w:t>
            </w:r>
          </w:p>
        </w:tc>
        <w:tc>
          <w:tcPr>
            <w:tcW w:w="4479" w:type="dxa"/>
          </w:tcPr>
          <w:p w14:paraId="277FC397">
            <w:pPr>
              <w:pStyle w:val="22"/>
              <w:numPr>
                <w:ilvl w:val="0"/>
                <w:numId w:val="1"/>
              </w:numPr>
              <w:spacing w:line="400" w:lineRule="exact"/>
              <w:rPr>
                <w:rFonts w:ascii="宋体" w:hAnsi="宋体" w:cs="宋体"/>
                <w:sz w:val="24"/>
                <w:szCs w:val="24"/>
              </w:rPr>
            </w:pPr>
            <w:r>
              <w:rPr>
                <w:rFonts w:ascii="宋体" w:hAnsi="宋体" w:cs="宋体"/>
                <w:sz w:val="24"/>
                <w:szCs w:val="24"/>
              </w:rPr>
              <w:t>期次1，说明：按照磋商文件及合同要求执行。</w:t>
            </w:r>
          </w:p>
        </w:tc>
      </w:tr>
      <w:tr w14:paraId="76531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4" w:type="dxa"/>
            <w:vAlign w:val="center"/>
          </w:tcPr>
          <w:p w14:paraId="4818B10B">
            <w:pPr>
              <w:pStyle w:val="22"/>
              <w:spacing w:line="400" w:lineRule="exact"/>
              <w:jc w:val="center"/>
              <w:rPr>
                <w:rFonts w:ascii="宋体" w:hAnsi="宋体" w:cs="宋体"/>
                <w:sz w:val="24"/>
                <w:szCs w:val="24"/>
              </w:rPr>
            </w:pPr>
            <w:r>
              <w:rPr>
                <w:rFonts w:ascii="宋体" w:hAnsi="宋体" w:cs="宋体"/>
                <w:sz w:val="24"/>
                <w:szCs w:val="24"/>
              </w:rPr>
              <w:t>6</w:t>
            </w:r>
          </w:p>
        </w:tc>
        <w:tc>
          <w:tcPr>
            <w:tcW w:w="1357" w:type="dxa"/>
            <w:vAlign w:val="center"/>
          </w:tcPr>
          <w:p w14:paraId="1831DF53">
            <w:pPr>
              <w:pStyle w:val="22"/>
              <w:spacing w:line="400" w:lineRule="exact"/>
              <w:jc w:val="center"/>
              <w:rPr>
                <w:rFonts w:ascii="宋体" w:hAnsi="宋体" w:cs="宋体"/>
                <w:sz w:val="24"/>
                <w:szCs w:val="24"/>
              </w:rPr>
            </w:pPr>
            <w:r>
              <w:rPr>
                <w:rFonts w:ascii="宋体" w:hAnsi="宋体" w:cs="宋体"/>
                <w:sz w:val="24"/>
                <w:szCs w:val="24"/>
              </w:rPr>
              <w:t>★</w:t>
            </w:r>
          </w:p>
        </w:tc>
        <w:tc>
          <w:tcPr>
            <w:tcW w:w="1414" w:type="dxa"/>
            <w:vAlign w:val="center"/>
          </w:tcPr>
          <w:p w14:paraId="0DF5D54C">
            <w:pPr>
              <w:pStyle w:val="22"/>
              <w:spacing w:line="400" w:lineRule="exact"/>
              <w:jc w:val="center"/>
              <w:rPr>
                <w:rFonts w:ascii="宋体" w:hAnsi="宋体" w:cs="宋体"/>
                <w:sz w:val="24"/>
                <w:szCs w:val="24"/>
              </w:rPr>
            </w:pPr>
            <w:r>
              <w:rPr>
                <w:rFonts w:ascii="宋体" w:hAnsi="宋体" w:cs="宋体"/>
                <w:sz w:val="24"/>
                <w:szCs w:val="24"/>
              </w:rPr>
              <w:t>合同支付方式</w:t>
            </w:r>
          </w:p>
        </w:tc>
        <w:tc>
          <w:tcPr>
            <w:tcW w:w="4479" w:type="dxa"/>
          </w:tcPr>
          <w:p w14:paraId="698EBC7A">
            <w:pPr>
              <w:pStyle w:val="9"/>
              <w:spacing w:line="465" w:lineRule="atLeast"/>
              <w:rPr>
                <w:rFonts w:hint="eastAsia" w:ascii="微软雅黑" w:hAnsi="微软雅黑" w:eastAsia="微软雅黑" w:cs="微软雅黑"/>
                <w:b/>
                <w:bCs/>
                <w:sz w:val="27"/>
                <w:szCs w:val="27"/>
              </w:rPr>
            </w:pPr>
            <w:r>
              <w:rPr>
                <w:rFonts w:hint="eastAsia"/>
              </w:rPr>
              <w:t>工程在工期内完工、提供完整竣工资料（含验收报告、竣工图纸等相关材料)</w:t>
            </w:r>
            <w:r>
              <w:rPr>
                <w:rFonts w:hint="eastAsia"/>
                <w:b/>
                <w:bCs/>
                <w:lang w:bidi="ar"/>
              </w:rPr>
              <w:t>，</w:t>
            </w:r>
            <w:r>
              <w:rPr>
                <w:rFonts w:hint="eastAsia"/>
              </w:rPr>
              <w:t>并经甲方验收合格后，乙方申报竣工结算，经甲方审计部门审核后，达到付款条件起20日内，支付至审定价款的100%。</w:t>
            </w:r>
          </w:p>
        </w:tc>
      </w:tr>
    </w:tbl>
    <w:p w14:paraId="75E1BECB">
      <w:pPr>
        <w:pStyle w:val="9"/>
        <w:spacing w:before="75" w:beforeAutospacing="0" w:after="75" w:afterAutospacing="0"/>
        <w:rPr>
          <w:rStyle w:val="12"/>
          <w:rFonts w:hint="eastAsia"/>
          <w:bCs w:val="0"/>
        </w:rPr>
      </w:pPr>
    </w:p>
    <w:p w14:paraId="03F4BAF8">
      <w:pPr>
        <w:pStyle w:val="22"/>
        <w:spacing w:line="400" w:lineRule="exact"/>
        <w:rPr>
          <w:rFonts w:ascii="宋体" w:hAnsi="宋体" w:cs="宋体"/>
          <w:sz w:val="24"/>
          <w:szCs w:val="24"/>
        </w:rPr>
      </w:pPr>
      <w:r>
        <w:rPr>
          <w:rFonts w:ascii="宋体" w:hAnsi="宋体" w:cs="宋体"/>
          <w:sz w:val="24"/>
          <w:szCs w:val="24"/>
        </w:rPr>
        <w:t>其他商务要求：</w:t>
      </w:r>
    </w:p>
    <w:p w14:paraId="2F162641">
      <w:pPr>
        <w:pStyle w:val="22"/>
        <w:spacing w:line="400" w:lineRule="exact"/>
        <w:ind w:firstLine="480"/>
        <w:rPr>
          <w:rFonts w:ascii="宋体" w:hAnsi="宋体" w:cs="宋体"/>
          <w:sz w:val="24"/>
          <w:szCs w:val="24"/>
        </w:rPr>
      </w:pPr>
      <w:r>
        <w:rPr>
          <w:rFonts w:ascii="宋体" w:hAnsi="宋体" w:cs="宋体"/>
          <w:sz w:val="24"/>
          <w:szCs w:val="24"/>
          <w:shd w:val="clear" w:color="auto" w:fill="FFFFFF"/>
          <w:lang w:eastAsia="zh-CN"/>
        </w:rPr>
        <w:t>1</w:t>
      </w:r>
      <w:r>
        <w:rPr>
          <w:rFonts w:ascii="宋体" w:hAnsi="宋体" w:cs="宋体"/>
          <w:sz w:val="24"/>
          <w:szCs w:val="24"/>
          <w:shd w:val="clear" w:color="auto" w:fill="FFFFFF"/>
        </w:rPr>
        <w:t>、售后服务</w:t>
      </w:r>
    </w:p>
    <w:p w14:paraId="42365BE0">
      <w:pPr>
        <w:pStyle w:val="22"/>
        <w:spacing w:line="400" w:lineRule="exact"/>
        <w:ind w:firstLine="480"/>
        <w:rPr>
          <w:rFonts w:ascii="宋体" w:hAnsi="宋体" w:cs="宋体"/>
          <w:sz w:val="24"/>
          <w:szCs w:val="24"/>
        </w:rPr>
      </w:pPr>
      <w:r>
        <w:rPr>
          <w:rFonts w:ascii="宋体" w:hAnsi="宋体" w:cs="宋体"/>
          <w:sz w:val="24"/>
          <w:szCs w:val="24"/>
          <w:shd w:val="clear" w:color="auto" w:fill="FFFFFF"/>
          <w:lang w:eastAsia="zh-CN"/>
        </w:rPr>
        <w:t>1</w:t>
      </w:r>
      <w:r>
        <w:rPr>
          <w:rFonts w:ascii="宋体" w:hAnsi="宋体" w:cs="宋体"/>
          <w:sz w:val="24"/>
          <w:szCs w:val="24"/>
          <w:shd w:val="clear" w:color="auto" w:fill="FFFFFF"/>
        </w:rPr>
        <w:t>.1本项目工程维保期限为2年，维保期从工程实际完工竣工验收合格</w:t>
      </w:r>
      <w:r>
        <w:rPr>
          <w:rFonts w:ascii="宋体" w:hAnsi="宋体" w:cs="宋体"/>
          <w:sz w:val="24"/>
          <w:szCs w:val="24"/>
        </w:rPr>
        <w:t>之日算起。成交人应当在接到修理通知之日起</w:t>
      </w:r>
      <w:r>
        <w:rPr>
          <w:rFonts w:hint="eastAsia" w:ascii="宋体" w:hAnsi="宋体" w:cs="宋体"/>
          <w:sz w:val="24"/>
          <w:szCs w:val="24"/>
          <w:lang w:val="en-US" w:eastAsia="zh-CN"/>
        </w:rPr>
        <w:t>24</w:t>
      </w:r>
      <w:r>
        <w:rPr>
          <w:rFonts w:ascii="宋体" w:hAnsi="宋体" w:cs="宋体"/>
          <w:sz w:val="24"/>
          <w:szCs w:val="24"/>
        </w:rPr>
        <w:t>小时内派人修理。成交人不在约定期限内派人修理的，采购人可以委托他人进行修理，修理费</w:t>
      </w:r>
      <w:r>
        <w:rPr>
          <w:rFonts w:ascii="宋体" w:hAnsi="宋体" w:cs="宋体"/>
          <w:sz w:val="24"/>
          <w:szCs w:val="24"/>
          <w:lang w:eastAsia="zh-CN"/>
        </w:rPr>
        <w:t>由成交人支付</w:t>
      </w:r>
      <w:r>
        <w:rPr>
          <w:rFonts w:ascii="宋体" w:hAnsi="宋体" w:cs="宋体"/>
          <w:sz w:val="24"/>
          <w:szCs w:val="24"/>
        </w:rPr>
        <w:t>。</w:t>
      </w:r>
    </w:p>
    <w:p w14:paraId="0FB1B3B8">
      <w:pPr>
        <w:pStyle w:val="22"/>
        <w:spacing w:line="400" w:lineRule="exact"/>
        <w:ind w:firstLine="480"/>
        <w:rPr>
          <w:rFonts w:ascii="宋体" w:hAnsi="宋体" w:cs="宋体"/>
          <w:sz w:val="24"/>
          <w:szCs w:val="24"/>
        </w:rPr>
      </w:pPr>
      <w:r>
        <w:rPr>
          <w:rFonts w:ascii="宋体" w:hAnsi="宋体" w:cs="宋体"/>
          <w:sz w:val="24"/>
          <w:szCs w:val="24"/>
          <w:lang w:eastAsia="zh-CN"/>
        </w:rPr>
        <w:t>1</w:t>
      </w:r>
      <w:r>
        <w:rPr>
          <w:rFonts w:ascii="宋体" w:hAnsi="宋体" w:cs="宋体"/>
          <w:sz w:val="24"/>
          <w:szCs w:val="24"/>
        </w:rPr>
        <w:t>.2维修完成后，由采购人组织验收。</w:t>
      </w:r>
    </w:p>
    <w:p w14:paraId="00C91EE0">
      <w:pPr>
        <w:pStyle w:val="22"/>
        <w:spacing w:line="400" w:lineRule="exact"/>
        <w:ind w:firstLine="480"/>
        <w:rPr>
          <w:rFonts w:ascii="宋体" w:hAnsi="宋体" w:cs="宋体"/>
          <w:sz w:val="24"/>
          <w:szCs w:val="24"/>
        </w:rPr>
      </w:pPr>
      <w:r>
        <w:rPr>
          <w:rFonts w:ascii="宋体" w:hAnsi="宋体" w:cs="宋体"/>
          <w:sz w:val="24"/>
          <w:szCs w:val="24"/>
          <w:lang w:eastAsia="zh-CN"/>
        </w:rPr>
        <w:t>2</w:t>
      </w:r>
      <w:r>
        <w:rPr>
          <w:rFonts w:ascii="宋体" w:hAnsi="宋体" w:cs="宋体"/>
          <w:sz w:val="24"/>
          <w:szCs w:val="24"/>
        </w:rPr>
        <w:t>、违约责任</w:t>
      </w:r>
    </w:p>
    <w:p w14:paraId="33C47E05">
      <w:pPr>
        <w:pStyle w:val="22"/>
        <w:spacing w:line="400" w:lineRule="exact"/>
        <w:ind w:firstLine="480"/>
        <w:rPr>
          <w:rFonts w:ascii="宋体" w:hAnsi="宋体" w:cs="宋体"/>
          <w:sz w:val="24"/>
          <w:szCs w:val="24"/>
        </w:rPr>
      </w:pPr>
      <w:r>
        <w:rPr>
          <w:rFonts w:ascii="宋体" w:hAnsi="宋体" w:cs="宋体"/>
          <w:sz w:val="24"/>
          <w:szCs w:val="24"/>
          <w:lang w:eastAsia="zh-CN"/>
        </w:rPr>
        <w:t>2</w:t>
      </w:r>
      <w:r>
        <w:rPr>
          <w:rFonts w:ascii="宋体" w:hAnsi="宋体" w:cs="宋体"/>
          <w:sz w:val="24"/>
          <w:szCs w:val="24"/>
        </w:rPr>
        <w:t>.1因成交人原因造成采购合同无法按时签订，视为成交人违约，成交人违约对采购人造成的损失的，需另行支付相应的赔偿。</w:t>
      </w:r>
    </w:p>
    <w:p w14:paraId="6C13DC6A">
      <w:pPr>
        <w:pStyle w:val="22"/>
        <w:spacing w:line="400" w:lineRule="exact"/>
        <w:ind w:firstLine="480"/>
        <w:rPr>
          <w:rFonts w:ascii="宋体" w:hAnsi="宋体" w:cs="宋体"/>
          <w:sz w:val="24"/>
          <w:szCs w:val="24"/>
        </w:rPr>
      </w:pPr>
      <w:r>
        <w:rPr>
          <w:rFonts w:ascii="宋体" w:hAnsi="宋体" w:cs="宋体"/>
          <w:sz w:val="24"/>
          <w:szCs w:val="24"/>
          <w:lang w:eastAsia="zh-CN"/>
        </w:rPr>
        <w:t>2</w:t>
      </w:r>
      <w:r>
        <w:rPr>
          <w:rFonts w:ascii="宋体" w:hAnsi="宋体" w:cs="宋体"/>
          <w:sz w:val="24"/>
          <w:szCs w:val="24"/>
        </w:rPr>
        <w:t>.2在签定采购合同之后，成交人要求解除合同的，视为成交人违约，对采购人造成的损失的，成交人需支付相应的赔偿。</w:t>
      </w:r>
    </w:p>
    <w:p w14:paraId="76E0131D">
      <w:pPr>
        <w:pStyle w:val="22"/>
        <w:spacing w:line="400" w:lineRule="exact"/>
        <w:ind w:firstLine="480"/>
        <w:rPr>
          <w:rFonts w:ascii="宋体" w:hAnsi="宋体" w:cs="宋体"/>
          <w:sz w:val="24"/>
          <w:szCs w:val="24"/>
        </w:rPr>
      </w:pPr>
      <w:r>
        <w:rPr>
          <w:rFonts w:ascii="宋体" w:hAnsi="宋体" w:cs="宋体"/>
          <w:sz w:val="24"/>
          <w:szCs w:val="24"/>
          <w:lang w:eastAsia="zh-CN"/>
        </w:rPr>
        <w:t>2</w:t>
      </w:r>
      <w:r>
        <w:rPr>
          <w:rFonts w:ascii="宋体" w:hAnsi="宋体" w:cs="宋体"/>
          <w:sz w:val="24"/>
          <w:szCs w:val="24"/>
        </w:rPr>
        <w:t>.3因成交人原因发生重大质量事故，除依约承担赔偿责任外，还将按有关质量管理办法规定执行。同时，采购人有权保留更换成交人的权利，并报相关行政主管部门处罚。</w:t>
      </w:r>
    </w:p>
    <w:p w14:paraId="7DE29CA5">
      <w:pPr>
        <w:pStyle w:val="22"/>
        <w:spacing w:line="400" w:lineRule="exact"/>
        <w:ind w:firstLine="480"/>
        <w:rPr>
          <w:rFonts w:ascii="宋体" w:hAnsi="宋体" w:cs="宋体"/>
          <w:sz w:val="24"/>
          <w:szCs w:val="24"/>
        </w:rPr>
      </w:pPr>
      <w:r>
        <w:rPr>
          <w:rFonts w:ascii="宋体" w:hAnsi="宋体" w:cs="宋体"/>
          <w:sz w:val="24"/>
          <w:szCs w:val="24"/>
          <w:lang w:eastAsia="zh-CN"/>
        </w:rPr>
        <w:t>2</w:t>
      </w:r>
      <w:r>
        <w:rPr>
          <w:rFonts w:ascii="宋体" w:hAnsi="宋体" w:cs="宋体"/>
          <w:sz w:val="24"/>
          <w:szCs w:val="24"/>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成交人还应承担赔偿责任。</w:t>
      </w:r>
    </w:p>
    <w:p w14:paraId="08B9BC60">
      <w:pPr>
        <w:pStyle w:val="22"/>
        <w:spacing w:line="400" w:lineRule="exact"/>
        <w:ind w:firstLine="480"/>
        <w:rPr>
          <w:rFonts w:ascii="宋体" w:hAnsi="宋体" w:cs="宋体"/>
          <w:sz w:val="24"/>
          <w:szCs w:val="24"/>
        </w:rPr>
      </w:pPr>
      <w:r>
        <w:rPr>
          <w:rFonts w:ascii="宋体" w:hAnsi="宋体" w:cs="宋体"/>
          <w:sz w:val="24"/>
          <w:szCs w:val="24"/>
          <w:lang w:eastAsia="zh-CN"/>
        </w:rPr>
        <w:t>2</w:t>
      </w:r>
      <w:r>
        <w:rPr>
          <w:rFonts w:ascii="宋体" w:hAnsi="宋体" w:cs="宋体"/>
          <w:sz w:val="24"/>
          <w:szCs w:val="24"/>
        </w:rPr>
        <w:t>.5在明确违约责任后，成交人应在接到书面通知书起七天内支付违约金、赔偿金等。</w:t>
      </w:r>
    </w:p>
    <w:p w14:paraId="0415A7CD">
      <w:pPr>
        <w:pStyle w:val="22"/>
        <w:spacing w:line="400" w:lineRule="exact"/>
        <w:ind w:firstLine="480"/>
        <w:rPr>
          <w:rFonts w:ascii="宋体" w:hAnsi="宋体" w:cs="宋体"/>
          <w:sz w:val="24"/>
          <w:szCs w:val="24"/>
        </w:rPr>
      </w:pPr>
      <w:r>
        <w:rPr>
          <w:rFonts w:ascii="宋体" w:hAnsi="宋体" w:cs="宋体"/>
          <w:sz w:val="24"/>
          <w:szCs w:val="24"/>
          <w:lang w:eastAsia="zh-CN"/>
        </w:rPr>
        <w:t>2</w:t>
      </w:r>
      <w:r>
        <w:rPr>
          <w:rFonts w:ascii="宋体" w:hAnsi="宋体" w:cs="宋体"/>
          <w:sz w:val="24"/>
          <w:szCs w:val="24"/>
        </w:rPr>
        <w:t>.6总工期每延误一天，成交人应向采购人支付</w:t>
      </w:r>
      <w:r>
        <w:rPr>
          <w:rFonts w:ascii="宋体" w:hAnsi="宋体" w:cs="宋体"/>
          <w:sz w:val="24"/>
          <w:szCs w:val="24"/>
          <w:lang w:eastAsia="zh-CN"/>
        </w:rPr>
        <w:t>1</w:t>
      </w:r>
      <w:r>
        <w:rPr>
          <w:rFonts w:ascii="宋体" w:hAnsi="宋体" w:cs="宋体"/>
          <w:sz w:val="24"/>
          <w:szCs w:val="24"/>
        </w:rPr>
        <w:t>000元人民币的违约金，由采购人直接从工程款中扣抵；逾期竣工违约金的限额: 合同价款的10％；逾期超过30天且未经采购人书面同意的，采购人有权解除合同，由此产生的责任全部由成交人负责，造成的损失采购人有权向成交人收取赔偿。</w:t>
      </w:r>
    </w:p>
    <w:p w14:paraId="2DCECC11">
      <w:pPr>
        <w:pStyle w:val="22"/>
        <w:spacing w:line="400" w:lineRule="exact"/>
        <w:ind w:firstLine="480"/>
        <w:rPr>
          <w:rFonts w:ascii="宋体" w:hAnsi="宋体" w:cs="宋体"/>
          <w:sz w:val="24"/>
          <w:szCs w:val="24"/>
        </w:rPr>
      </w:pPr>
      <w:r>
        <w:rPr>
          <w:rFonts w:ascii="宋体" w:hAnsi="宋体" w:cs="宋体"/>
          <w:sz w:val="24"/>
          <w:szCs w:val="24"/>
          <w:lang w:eastAsia="zh-CN"/>
        </w:rPr>
        <w:t>2</w:t>
      </w:r>
      <w:r>
        <w:rPr>
          <w:rFonts w:ascii="宋体" w:hAnsi="宋体" w:cs="宋体"/>
          <w:sz w:val="24"/>
          <w:szCs w:val="24"/>
        </w:rPr>
        <w:t>.7如果成交人未能按照合同约定履行免费维修义务的（不可抗力除外），每次应向采购人支付违约金</w:t>
      </w:r>
      <w:r>
        <w:rPr>
          <w:rFonts w:ascii="宋体" w:hAnsi="宋体" w:cs="宋体"/>
          <w:sz w:val="24"/>
          <w:szCs w:val="24"/>
          <w:lang w:eastAsia="zh-CN"/>
        </w:rPr>
        <w:t>1</w:t>
      </w:r>
      <w:r>
        <w:rPr>
          <w:rFonts w:ascii="宋体" w:hAnsi="宋体" w:cs="宋体"/>
          <w:sz w:val="24"/>
          <w:szCs w:val="24"/>
        </w:rPr>
        <w:t>000元。</w:t>
      </w:r>
    </w:p>
    <w:p w14:paraId="2ED3EFBC">
      <w:pPr>
        <w:pStyle w:val="22"/>
        <w:spacing w:line="400" w:lineRule="exact"/>
        <w:ind w:firstLine="480"/>
        <w:rPr>
          <w:rFonts w:hint="default" w:ascii="宋体" w:hAnsi="宋体" w:cs="宋体"/>
          <w:sz w:val="24"/>
          <w:szCs w:val="24"/>
          <w:lang w:eastAsia="zh-CN"/>
        </w:rPr>
      </w:pPr>
      <w:r>
        <w:rPr>
          <w:rFonts w:ascii="宋体" w:hAnsi="宋体" w:cs="宋体"/>
          <w:sz w:val="24"/>
          <w:szCs w:val="24"/>
          <w:lang w:eastAsia="zh-CN"/>
        </w:rPr>
        <w:t>3</w:t>
      </w:r>
      <w:r>
        <w:rPr>
          <w:rFonts w:ascii="宋体" w:hAnsi="宋体" w:cs="宋体"/>
          <w:sz w:val="24"/>
          <w:szCs w:val="24"/>
        </w:rPr>
        <w:t>、进场材料报验：进场材料报验。提供进场材料报验和相关主材合格证等。（1）本工程所采用的主要建筑材料、装修材料、设备、安装材料等到货时，承包人应向发包人提交《供应材料设备一览表》，填报如下数据：材料设备名称、规格型号、品牌、数量，附送产品合格证（复印件）。（2）发包人有权对承包方提供的检测报告或进场产品送相关检测机构进行检测。若检测结果与承包人提供的检测报告不符，检测费由承包方承担。（3）若实施材料不符，以双方可协商按质论价，协商不成的，采购人可拒付该部分款项，成交人不得破坏现场。</w:t>
      </w:r>
      <w:r>
        <w:rPr>
          <w:rFonts w:ascii="宋体" w:hAnsi="宋体" w:cs="宋体"/>
          <w:sz w:val="24"/>
          <w:szCs w:val="24"/>
          <w:lang w:eastAsia="zh-CN"/>
        </w:rPr>
        <w:t>（4）进场材料须经采购人确认后方可进场。</w:t>
      </w:r>
    </w:p>
    <w:p w14:paraId="08D0B1BF">
      <w:pPr>
        <w:pStyle w:val="22"/>
        <w:spacing w:line="400" w:lineRule="exact"/>
        <w:ind w:firstLine="480"/>
        <w:rPr>
          <w:rFonts w:ascii="宋体" w:hAnsi="宋体" w:cs="宋体"/>
          <w:sz w:val="24"/>
          <w:szCs w:val="24"/>
        </w:rPr>
      </w:pPr>
      <w:r>
        <w:rPr>
          <w:rFonts w:ascii="宋体" w:hAnsi="宋体" w:cs="宋体"/>
          <w:sz w:val="24"/>
          <w:szCs w:val="24"/>
          <w:lang w:eastAsia="zh-CN"/>
        </w:rPr>
        <w:t>4</w:t>
      </w:r>
      <w:r>
        <w:rPr>
          <w:rFonts w:ascii="宋体" w:hAnsi="宋体" w:cs="宋体"/>
          <w:sz w:val="24"/>
          <w:szCs w:val="24"/>
        </w:rPr>
        <w:t>、合同条款</w:t>
      </w:r>
    </w:p>
    <w:p w14:paraId="67E69D5E">
      <w:pPr>
        <w:pStyle w:val="22"/>
        <w:spacing w:line="400" w:lineRule="exact"/>
        <w:ind w:firstLine="480"/>
        <w:rPr>
          <w:rFonts w:ascii="宋体" w:hAnsi="宋体" w:cs="宋体"/>
          <w:sz w:val="24"/>
          <w:szCs w:val="24"/>
        </w:rPr>
      </w:pPr>
      <w:r>
        <w:rPr>
          <w:rFonts w:ascii="宋体" w:hAnsi="宋体" w:cs="宋体"/>
          <w:sz w:val="24"/>
          <w:szCs w:val="24"/>
        </w:rPr>
        <w:t>合同内项目单价为一次不变价，不受市场价格因素影响。工程量按实结算。工程竣工后，应提供编制的工程决算书予采购人，经审计完毕，由双方商讨确认后根据合同规定付款方式进行付款。如成交人在实际施工过程中出现数量、材质更替以及工程量增加等情况，应及时征求采购人意见，并在得到采购人签证确认后方可施工，否则由此所造成的一切损失由成交人承担。施工存在变更，遵循下列原则：</w:t>
      </w:r>
    </w:p>
    <w:p w14:paraId="2C98BA9F">
      <w:pPr>
        <w:pStyle w:val="22"/>
        <w:spacing w:line="400" w:lineRule="exact"/>
        <w:ind w:firstLine="480"/>
        <w:rPr>
          <w:rFonts w:ascii="宋体" w:hAnsi="宋体" w:cs="宋体"/>
          <w:sz w:val="24"/>
          <w:szCs w:val="24"/>
        </w:rPr>
      </w:pPr>
      <w:r>
        <w:rPr>
          <w:rFonts w:ascii="宋体" w:hAnsi="宋体" w:cs="宋体"/>
          <w:sz w:val="24"/>
          <w:szCs w:val="24"/>
          <w:lang w:eastAsia="zh-CN"/>
        </w:rPr>
        <w:t>4</w:t>
      </w:r>
      <w:r>
        <w:rPr>
          <w:rFonts w:ascii="宋体" w:hAnsi="宋体" w:cs="宋体"/>
          <w:sz w:val="24"/>
          <w:szCs w:val="24"/>
        </w:rPr>
        <w:t>.1工程量清单内项目：按成交人投标时所报的该细目综合单价计算。</w:t>
      </w:r>
    </w:p>
    <w:p w14:paraId="5BFED025">
      <w:pPr>
        <w:pStyle w:val="22"/>
        <w:spacing w:line="400" w:lineRule="exact"/>
        <w:ind w:firstLine="480"/>
        <w:rPr>
          <w:rFonts w:ascii="宋体" w:hAnsi="宋体" w:cs="宋体"/>
          <w:sz w:val="24"/>
          <w:szCs w:val="24"/>
        </w:rPr>
      </w:pPr>
      <w:r>
        <w:rPr>
          <w:rFonts w:ascii="宋体" w:hAnsi="宋体" w:cs="宋体"/>
          <w:sz w:val="24"/>
          <w:szCs w:val="24"/>
          <w:lang w:eastAsia="zh-CN"/>
        </w:rPr>
        <w:t>4</w:t>
      </w:r>
      <w:r>
        <w:rPr>
          <w:rFonts w:ascii="宋体" w:hAnsi="宋体" w:cs="宋体"/>
          <w:sz w:val="24"/>
          <w:szCs w:val="24"/>
        </w:rPr>
        <w:t>.2工程量清单外项目：①其综合单价按本工程预算价编审依据的定额等有关计价规定计算后，按成交人投标时投标报价与招标工程预算价的同等降低幅度计算该项目的综合单价。②若无定额标准时，成交人与采购人驻派代表或监理工程师协商并报采购人批准后确定。如双方不能达成一致的，双方可提请工程所在地工程造价管理机构进行咨询或按合同约定的争议或纠纷解决程序办理。</w:t>
      </w:r>
    </w:p>
    <w:p w14:paraId="341779FD">
      <w:pPr>
        <w:pStyle w:val="22"/>
        <w:spacing w:line="400" w:lineRule="exact"/>
        <w:ind w:firstLine="480"/>
        <w:rPr>
          <w:rFonts w:ascii="宋体" w:hAnsi="宋体" w:cs="宋体"/>
          <w:sz w:val="24"/>
          <w:szCs w:val="24"/>
        </w:rPr>
      </w:pPr>
      <w:r>
        <w:rPr>
          <w:rFonts w:ascii="宋体" w:hAnsi="宋体" w:cs="宋体"/>
          <w:sz w:val="24"/>
          <w:szCs w:val="24"/>
          <w:lang w:eastAsia="zh-CN"/>
        </w:rPr>
        <w:t>4</w:t>
      </w:r>
      <w:r>
        <w:rPr>
          <w:rFonts w:ascii="宋体" w:hAnsi="宋体" w:cs="宋体"/>
          <w:sz w:val="24"/>
          <w:szCs w:val="24"/>
        </w:rPr>
        <w:t>.3 变更导致的合同价款调整还应符合《福建省房屋建筑和市政基础设施工程价款结算暂行办法》（闽财建[2007]157号文）的规定。工程量清单中的单个项目工程量变动幅度超过±30%并导致合同总价变动幅度超过±1%的，工程量增加部分或减少后剩余部分可以重新协商确定综合单价。</w:t>
      </w:r>
    </w:p>
    <w:p w14:paraId="2D1E1CC4">
      <w:pPr>
        <w:pStyle w:val="22"/>
        <w:spacing w:line="400" w:lineRule="exact"/>
        <w:ind w:firstLine="480"/>
        <w:rPr>
          <w:rFonts w:ascii="宋体" w:hAnsi="宋体" w:cs="宋体"/>
          <w:sz w:val="24"/>
          <w:szCs w:val="24"/>
        </w:rPr>
      </w:pPr>
      <w:r>
        <w:rPr>
          <w:rFonts w:ascii="宋体" w:hAnsi="宋体" w:cs="宋体"/>
          <w:sz w:val="24"/>
          <w:szCs w:val="24"/>
          <w:lang w:eastAsia="zh-CN"/>
        </w:rPr>
        <w:t>4</w:t>
      </w:r>
      <w:r>
        <w:rPr>
          <w:rFonts w:ascii="宋体" w:hAnsi="宋体" w:cs="宋体"/>
          <w:sz w:val="24"/>
          <w:szCs w:val="24"/>
        </w:rPr>
        <w:t>.4工程款项支付之前，成交人应向采购人</w:t>
      </w:r>
      <w:r>
        <w:rPr>
          <w:rFonts w:ascii="宋体" w:hAnsi="宋体" w:cs="宋体"/>
          <w:sz w:val="24"/>
          <w:szCs w:val="24"/>
          <w:lang w:eastAsia="zh-CN"/>
        </w:rPr>
        <w:t>开具</w:t>
      </w:r>
      <w:r>
        <w:rPr>
          <w:rFonts w:ascii="宋体" w:hAnsi="宋体" w:cs="宋体"/>
          <w:sz w:val="24"/>
          <w:szCs w:val="24"/>
        </w:rPr>
        <w:t>相应金额的税务发票，否则，采购人有权拒绝支付。</w:t>
      </w:r>
    </w:p>
    <w:p w14:paraId="1EF621D0">
      <w:pPr>
        <w:pStyle w:val="22"/>
        <w:spacing w:line="400" w:lineRule="exact"/>
        <w:ind w:firstLine="480"/>
        <w:rPr>
          <w:rFonts w:ascii="宋体" w:hAnsi="宋体" w:cs="宋体"/>
          <w:sz w:val="24"/>
          <w:szCs w:val="24"/>
        </w:rPr>
      </w:pPr>
    </w:p>
    <w:p w14:paraId="596C2FE2">
      <w:pPr>
        <w:pStyle w:val="22"/>
        <w:spacing w:line="400" w:lineRule="exact"/>
        <w:ind w:firstLine="480"/>
        <w:rPr>
          <w:rFonts w:ascii="宋体" w:hAnsi="宋体" w:cs="宋体"/>
          <w:sz w:val="24"/>
          <w:szCs w:val="24"/>
        </w:rPr>
      </w:pPr>
      <w:r>
        <w:rPr>
          <w:rFonts w:ascii="宋体" w:hAnsi="宋体" w:cs="宋体"/>
          <w:sz w:val="24"/>
          <w:szCs w:val="24"/>
          <w:shd w:val="clear" w:color="auto" w:fill="FFFFFF"/>
          <w:lang w:eastAsia="zh-CN"/>
        </w:rPr>
        <w:t>5</w:t>
      </w:r>
      <w:r>
        <w:rPr>
          <w:rFonts w:ascii="宋体" w:hAnsi="宋体" w:cs="宋体"/>
          <w:sz w:val="24"/>
          <w:szCs w:val="24"/>
          <w:shd w:val="clear" w:color="auto" w:fill="FFFFFF"/>
        </w:rPr>
        <w:t>、供应商需做出工程施工安全承诺书，内容如下：</w:t>
      </w:r>
    </w:p>
    <w:p w14:paraId="1E085407">
      <w:pPr>
        <w:pStyle w:val="22"/>
        <w:spacing w:line="400" w:lineRule="exact"/>
        <w:ind w:firstLine="482"/>
        <w:jc w:val="center"/>
        <w:rPr>
          <w:rFonts w:ascii="宋体" w:hAnsi="宋体" w:cs="宋体"/>
          <w:b/>
          <w:sz w:val="24"/>
          <w:szCs w:val="24"/>
        </w:rPr>
      </w:pPr>
    </w:p>
    <w:p w14:paraId="256DF3A0">
      <w:pPr>
        <w:pStyle w:val="22"/>
        <w:spacing w:line="400" w:lineRule="exact"/>
        <w:ind w:firstLine="482"/>
        <w:jc w:val="center"/>
        <w:rPr>
          <w:rFonts w:ascii="宋体" w:hAnsi="宋体" w:cs="宋体"/>
          <w:sz w:val="24"/>
          <w:szCs w:val="24"/>
        </w:rPr>
      </w:pPr>
      <w:r>
        <w:rPr>
          <w:rFonts w:ascii="宋体" w:hAnsi="宋体" w:cs="宋体"/>
          <w:b/>
          <w:sz w:val="24"/>
          <w:szCs w:val="24"/>
        </w:rPr>
        <w:t>工程施工安全承诺书</w:t>
      </w:r>
    </w:p>
    <w:p w14:paraId="02E5C6E3">
      <w:pPr>
        <w:pStyle w:val="22"/>
        <w:spacing w:line="400" w:lineRule="exact"/>
        <w:jc w:val="both"/>
        <w:rPr>
          <w:rFonts w:ascii="宋体" w:hAnsi="宋体" w:cs="宋体"/>
          <w:sz w:val="24"/>
          <w:szCs w:val="24"/>
        </w:rPr>
      </w:pPr>
      <w:r>
        <w:rPr>
          <w:rFonts w:ascii="宋体" w:hAnsi="宋体" w:cs="宋体"/>
          <w:sz w:val="24"/>
          <w:szCs w:val="24"/>
        </w:rPr>
        <w:t>福建省肿瘤医院:</w:t>
      </w:r>
    </w:p>
    <w:p w14:paraId="0B4620C8">
      <w:pPr>
        <w:pStyle w:val="22"/>
        <w:spacing w:line="400" w:lineRule="exact"/>
        <w:ind w:firstLine="480"/>
        <w:jc w:val="both"/>
        <w:rPr>
          <w:rFonts w:ascii="宋体" w:hAnsi="宋体" w:cs="宋体"/>
          <w:sz w:val="24"/>
          <w:szCs w:val="24"/>
        </w:rPr>
      </w:pPr>
      <w:r>
        <w:rPr>
          <w:rFonts w:ascii="宋体" w:hAnsi="宋体" w:cs="宋体"/>
          <w:sz w:val="24"/>
          <w:szCs w:val="24"/>
        </w:rPr>
        <w:t>为了确保在贵院施工期间安全无事故，特向贵院的安全管理工作作如下承诺:</w:t>
      </w:r>
    </w:p>
    <w:p w14:paraId="30C7003F">
      <w:pPr>
        <w:pStyle w:val="22"/>
        <w:spacing w:line="400" w:lineRule="exact"/>
        <w:ind w:firstLine="480"/>
        <w:jc w:val="both"/>
        <w:rPr>
          <w:rFonts w:ascii="宋体" w:hAnsi="宋体" w:cs="宋体"/>
          <w:sz w:val="24"/>
          <w:szCs w:val="24"/>
        </w:rPr>
      </w:pPr>
      <w:r>
        <w:rPr>
          <w:rFonts w:ascii="宋体" w:hAnsi="宋体" w:cs="宋体"/>
          <w:sz w:val="24"/>
          <w:szCs w:val="24"/>
        </w:rPr>
        <w:t>一、在工程施工期间，发生的所有与工程施工有关的安全事故由我单位承担全部责任。</w:t>
      </w:r>
    </w:p>
    <w:p w14:paraId="14EEA08A">
      <w:pPr>
        <w:pStyle w:val="22"/>
        <w:spacing w:line="400" w:lineRule="exact"/>
        <w:ind w:firstLine="480"/>
        <w:jc w:val="both"/>
        <w:rPr>
          <w:rFonts w:ascii="宋体" w:hAnsi="宋体" w:cs="宋体"/>
          <w:sz w:val="24"/>
          <w:szCs w:val="24"/>
        </w:rPr>
      </w:pPr>
      <w:r>
        <w:rPr>
          <w:rFonts w:ascii="宋体" w:hAnsi="宋体" w:cs="宋体"/>
          <w:sz w:val="24"/>
          <w:szCs w:val="24"/>
        </w:rPr>
        <w:t>二、指定施工安全监督员，负责施工现场的安全检查和安全监督，并与贵院</w:t>
      </w:r>
      <w:r>
        <w:rPr>
          <w:rFonts w:ascii="宋体" w:hAnsi="宋体" w:cs="宋体"/>
          <w:sz w:val="24"/>
          <w:szCs w:val="24"/>
          <w:lang w:eastAsia="zh-CN"/>
        </w:rPr>
        <w:t>总务科和保卫科等</w:t>
      </w:r>
      <w:r>
        <w:rPr>
          <w:rFonts w:ascii="宋体" w:hAnsi="宋体" w:cs="宋体"/>
          <w:sz w:val="24"/>
          <w:szCs w:val="24"/>
        </w:rPr>
        <w:t>保持密切联系。</w:t>
      </w:r>
    </w:p>
    <w:p w14:paraId="5C3E2A0B">
      <w:pPr>
        <w:pStyle w:val="22"/>
        <w:spacing w:line="400" w:lineRule="exact"/>
        <w:ind w:firstLine="480"/>
        <w:jc w:val="both"/>
        <w:rPr>
          <w:rFonts w:ascii="宋体" w:hAnsi="宋体" w:cs="宋体"/>
          <w:sz w:val="24"/>
          <w:szCs w:val="24"/>
        </w:rPr>
      </w:pPr>
      <w:r>
        <w:rPr>
          <w:rFonts w:ascii="宋体" w:hAnsi="宋体" w:cs="宋体"/>
          <w:sz w:val="24"/>
          <w:szCs w:val="24"/>
        </w:rPr>
        <w:t>三、负责施工现场的安全生产管理工作，做好施工现场的安全监督，做好对施工人员安全生产教育和安全生产措施的落实，确保施工人员持有效证件上岗。电焊工需进行报备，并提供电焊证报备，动火作业需提前向我院保卫科进行报备。</w:t>
      </w:r>
    </w:p>
    <w:p w14:paraId="6BADA7FA">
      <w:pPr>
        <w:pStyle w:val="22"/>
        <w:spacing w:line="400" w:lineRule="exact"/>
        <w:ind w:firstLine="480"/>
        <w:jc w:val="both"/>
        <w:rPr>
          <w:rFonts w:ascii="宋体" w:hAnsi="宋体" w:cs="宋体"/>
          <w:sz w:val="24"/>
          <w:szCs w:val="24"/>
        </w:rPr>
      </w:pPr>
      <w:r>
        <w:rPr>
          <w:rFonts w:ascii="宋体" w:hAnsi="宋体" w:cs="宋体"/>
          <w:sz w:val="24"/>
          <w:szCs w:val="24"/>
        </w:rPr>
        <w:t>四、负责施工现场的安全防护工作，设立相关的安全警示等标识。安全防护的器械、物品等，与施工队同时进场，在对施工现场作防护措施、警示后才组织施工。</w:t>
      </w:r>
    </w:p>
    <w:p w14:paraId="40BFFE24">
      <w:pPr>
        <w:pStyle w:val="22"/>
        <w:spacing w:line="400" w:lineRule="exact"/>
        <w:ind w:firstLine="480"/>
        <w:jc w:val="both"/>
        <w:rPr>
          <w:rFonts w:ascii="宋体" w:hAnsi="宋体" w:cs="宋体"/>
          <w:sz w:val="24"/>
          <w:szCs w:val="24"/>
        </w:rPr>
      </w:pPr>
      <w:r>
        <w:rPr>
          <w:rFonts w:ascii="宋体" w:hAnsi="宋体" w:cs="宋体"/>
          <w:sz w:val="24"/>
          <w:szCs w:val="24"/>
        </w:rPr>
        <w:t>五、施工队进场时，应制定相关防火措施，并配备必要的防火设备和用具;注意现场临时用电的安全使用，并安排有资质的电工负责。</w:t>
      </w:r>
    </w:p>
    <w:p w14:paraId="4BE9511B">
      <w:pPr>
        <w:pStyle w:val="22"/>
        <w:spacing w:line="400" w:lineRule="exact"/>
        <w:ind w:firstLine="480"/>
        <w:jc w:val="both"/>
        <w:rPr>
          <w:rFonts w:ascii="宋体" w:hAnsi="宋体" w:cs="宋体"/>
          <w:sz w:val="24"/>
          <w:szCs w:val="24"/>
        </w:rPr>
      </w:pPr>
      <w:r>
        <w:rPr>
          <w:rFonts w:ascii="宋体" w:hAnsi="宋体" w:cs="宋体"/>
          <w:sz w:val="24"/>
          <w:szCs w:val="24"/>
        </w:rPr>
        <w:t>六、在施工期间，配合贵院做好办公场地秩序和安全管理工作，服从相关管理员的监管，在做好相应安全措施后，经贵院同意方可组织施工。</w:t>
      </w:r>
    </w:p>
    <w:p w14:paraId="043FDEE0">
      <w:pPr>
        <w:pStyle w:val="22"/>
        <w:spacing w:line="400" w:lineRule="exact"/>
        <w:ind w:firstLine="480"/>
        <w:jc w:val="both"/>
        <w:rPr>
          <w:rFonts w:ascii="宋体" w:hAnsi="宋体" w:cs="宋体"/>
          <w:sz w:val="24"/>
          <w:szCs w:val="24"/>
        </w:rPr>
      </w:pPr>
      <w:r>
        <w:rPr>
          <w:rFonts w:ascii="宋体" w:hAnsi="宋体" w:cs="宋体"/>
          <w:sz w:val="24"/>
          <w:szCs w:val="24"/>
        </w:rPr>
        <w:t>七、施工完毕后，我单位负责施工现场的清理和恢复性工作，确保办公场地的安全和正常运作。</w:t>
      </w:r>
    </w:p>
    <w:p w14:paraId="1309BC3C">
      <w:pPr>
        <w:pStyle w:val="22"/>
        <w:spacing w:line="400" w:lineRule="exact"/>
        <w:ind w:firstLine="480"/>
        <w:jc w:val="both"/>
        <w:rPr>
          <w:rFonts w:ascii="宋体" w:hAnsi="宋体" w:cs="宋体"/>
          <w:sz w:val="24"/>
          <w:szCs w:val="24"/>
        </w:rPr>
      </w:pPr>
      <w:r>
        <w:rPr>
          <w:rFonts w:ascii="宋体" w:hAnsi="宋体" w:cs="宋体"/>
          <w:sz w:val="24"/>
          <w:szCs w:val="24"/>
        </w:rPr>
        <w:t>八、施工过程中，切实做好安全生产工作，按相关安全生产工作规范施工。否则，若发生安全生产事故，所有责任由我单位自行承担。</w:t>
      </w:r>
    </w:p>
    <w:p w14:paraId="32EA7A78">
      <w:pPr>
        <w:pStyle w:val="22"/>
        <w:spacing w:line="400" w:lineRule="exact"/>
        <w:ind w:firstLine="480"/>
        <w:jc w:val="both"/>
        <w:rPr>
          <w:rFonts w:ascii="宋体" w:hAnsi="宋体" w:cs="宋体"/>
          <w:sz w:val="24"/>
          <w:szCs w:val="24"/>
        </w:rPr>
      </w:pPr>
      <w:r>
        <w:rPr>
          <w:rFonts w:ascii="宋体" w:hAnsi="宋体" w:cs="宋体"/>
          <w:sz w:val="24"/>
          <w:szCs w:val="24"/>
        </w:rPr>
        <w:t xml:space="preserve">    特此承诺。</w:t>
      </w:r>
    </w:p>
    <w:p w14:paraId="3B29A69D">
      <w:pPr>
        <w:pStyle w:val="22"/>
        <w:spacing w:line="400" w:lineRule="exact"/>
        <w:outlineLvl w:val="2"/>
        <w:rPr>
          <w:rFonts w:ascii="宋体" w:hAnsi="宋体" w:cs="宋体"/>
          <w:b/>
          <w:sz w:val="24"/>
          <w:szCs w:val="24"/>
        </w:rPr>
      </w:pPr>
    </w:p>
    <w:p w14:paraId="114DBEA4">
      <w:pPr>
        <w:pStyle w:val="22"/>
        <w:spacing w:line="400" w:lineRule="exact"/>
        <w:outlineLvl w:val="2"/>
        <w:rPr>
          <w:rFonts w:ascii="宋体" w:hAnsi="宋体" w:cs="宋体"/>
          <w:b/>
          <w:sz w:val="24"/>
          <w:szCs w:val="24"/>
        </w:rPr>
      </w:pPr>
    </w:p>
    <w:p w14:paraId="64D73A43">
      <w:pPr>
        <w:pStyle w:val="22"/>
        <w:spacing w:line="400" w:lineRule="exact"/>
        <w:outlineLvl w:val="2"/>
        <w:rPr>
          <w:rFonts w:ascii="宋体" w:hAnsi="宋体" w:cs="宋体"/>
          <w:sz w:val="24"/>
          <w:szCs w:val="24"/>
        </w:rPr>
      </w:pPr>
      <w:r>
        <w:rPr>
          <w:rFonts w:ascii="宋体" w:hAnsi="宋体" w:cs="宋体"/>
          <w:b/>
          <w:sz w:val="24"/>
          <w:szCs w:val="24"/>
        </w:rPr>
        <w:t>四、其他事项</w:t>
      </w:r>
    </w:p>
    <w:p w14:paraId="532EC677">
      <w:pPr>
        <w:pStyle w:val="22"/>
        <w:spacing w:line="400" w:lineRule="exact"/>
        <w:ind w:firstLine="480" w:firstLineChars="200"/>
        <w:rPr>
          <w:rFonts w:ascii="宋体" w:hAnsi="宋体" w:cs="宋体"/>
          <w:sz w:val="24"/>
          <w:szCs w:val="24"/>
          <w:lang w:eastAsia="zh-CN"/>
        </w:rPr>
      </w:pPr>
      <w:r>
        <w:rPr>
          <w:rFonts w:ascii="宋体" w:hAnsi="宋体" w:cs="宋体"/>
          <w:sz w:val="24"/>
          <w:szCs w:val="24"/>
        </w:rPr>
        <w:t>1</w:t>
      </w:r>
      <w:r>
        <w:rPr>
          <w:rFonts w:ascii="宋体" w:hAnsi="宋体" w:cs="宋体"/>
          <w:sz w:val="24"/>
          <w:szCs w:val="24"/>
          <w:lang w:eastAsia="zh-CN"/>
        </w:rPr>
        <w:t>、</w:t>
      </w:r>
      <w:r>
        <w:rPr>
          <w:rFonts w:ascii="宋体" w:hAnsi="宋体" w:cs="宋体"/>
          <w:sz w:val="24"/>
          <w:szCs w:val="24"/>
        </w:rPr>
        <w:t xml:space="preserve">除磋商文件另有规定外，若出现有关法律、法规和规章有强制性规定但招标文件未列明的情形，则供应商应按照有关法律、法规和规章强制性规定执行。 </w:t>
      </w:r>
      <w:r>
        <w:rPr>
          <w:rFonts w:ascii="宋体" w:hAnsi="宋体" w:cs="宋体"/>
          <w:sz w:val="24"/>
          <w:szCs w:val="24"/>
          <w:lang w:eastAsia="zh-CN"/>
        </w:rPr>
        <w:t xml:space="preserve">  </w:t>
      </w:r>
    </w:p>
    <w:p w14:paraId="567CBE48">
      <w:pPr>
        <w:pStyle w:val="22"/>
        <w:spacing w:line="400" w:lineRule="exact"/>
        <w:ind w:firstLine="480" w:firstLineChars="200"/>
        <w:rPr>
          <w:rFonts w:ascii="宋体" w:hAnsi="宋体" w:cs="宋体"/>
          <w:sz w:val="24"/>
          <w:szCs w:val="24"/>
        </w:rPr>
      </w:pPr>
      <w:r>
        <w:rPr>
          <w:rFonts w:ascii="宋体" w:hAnsi="宋体" w:cs="宋体"/>
          <w:sz w:val="24"/>
          <w:szCs w:val="24"/>
        </w:rPr>
        <w:t>2</w:t>
      </w:r>
      <w:r>
        <w:rPr>
          <w:rFonts w:ascii="宋体" w:hAnsi="宋体" w:cs="宋体"/>
          <w:sz w:val="24"/>
          <w:szCs w:val="24"/>
          <w:lang w:eastAsia="zh-CN"/>
        </w:rPr>
        <w:t>、</w:t>
      </w:r>
      <w:r>
        <w:rPr>
          <w:rFonts w:ascii="宋体" w:hAnsi="宋体" w:cs="宋体"/>
          <w:sz w:val="24"/>
          <w:szCs w:val="24"/>
        </w:rPr>
        <w:t>本项目不允许成交人以任何名义和理由在</w:t>
      </w:r>
      <w:r>
        <w:rPr>
          <w:rFonts w:ascii="宋体" w:hAnsi="宋体" w:cs="宋体"/>
          <w:sz w:val="24"/>
          <w:szCs w:val="24"/>
          <w:lang w:eastAsia="zh-CN"/>
        </w:rPr>
        <w:t>成交</w:t>
      </w:r>
      <w:r>
        <w:rPr>
          <w:rFonts w:ascii="宋体" w:hAnsi="宋体" w:cs="宋体"/>
          <w:sz w:val="24"/>
          <w:szCs w:val="24"/>
        </w:rPr>
        <w:t>后将成交项目的主体、非主体、关键性工作、非关键性工作进行转包、分包。</w:t>
      </w:r>
    </w:p>
    <w:p w14:paraId="7F325FDE">
      <w:pPr>
        <w:pStyle w:val="22"/>
        <w:spacing w:line="400" w:lineRule="exact"/>
        <w:ind w:firstLine="480" w:firstLineChars="200"/>
        <w:rPr>
          <w:rFonts w:ascii="宋体" w:hAnsi="宋体" w:cs="宋体"/>
          <w:sz w:val="24"/>
          <w:szCs w:val="24"/>
        </w:rPr>
      </w:pPr>
      <w:r>
        <w:rPr>
          <w:rFonts w:ascii="宋体" w:hAnsi="宋体" w:cs="宋体"/>
          <w:sz w:val="24"/>
          <w:szCs w:val="24"/>
          <w:lang w:eastAsia="zh-CN"/>
        </w:rPr>
        <w:t>3、</w:t>
      </w:r>
      <w:r>
        <w:rPr>
          <w:rFonts w:ascii="宋体" w:hAnsi="宋体" w:cs="宋体"/>
          <w:sz w:val="24"/>
          <w:szCs w:val="24"/>
        </w:rPr>
        <w:t>本</w:t>
      </w:r>
      <w:r>
        <w:rPr>
          <w:rFonts w:ascii="宋体" w:hAnsi="宋体" w:cs="宋体"/>
          <w:sz w:val="24"/>
          <w:szCs w:val="24"/>
          <w:lang w:eastAsia="zh-CN"/>
        </w:rPr>
        <w:t>磋商</w:t>
      </w:r>
      <w:r>
        <w:rPr>
          <w:rFonts w:ascii="宋体" w:hAnsi="宋体" w:cs="宋体"/>
          <w:sz w:val="24"/>
          <w:szCs w:val="24"/>
        </w:rPr>
        <w:t xml:space="preserve">文件未明确的其它约定事项或条款，待采购人与成交人签订合同时，由双方协商订立。 </w:t>
      </w:r>
    </w:p>
    <w:p w14:paraId="780F1A02">
      <w:pPr>
        <w:pStyle w:val="22"/>
        <w:spacing w:line="400" w:lineRule="exact"/>
        <w:ind w:firstLine="480" w:firstLineChars="200"/>
        <w:rPr>
          <w:rFonts w:ascii="宋体" w:hAnsi="宋体" w:cs="宋体"/>
          <w:sz w:val="24"/>
          <w:szCs w:val="24"/>
        </w:rPr>
      </w:pPr>
    </w:p>
    <w:p w14:paraId="464081DE">
      <w:pPr>
        <w:pStyle w:val="22"/>
        <w:spacing w:line="400" w:lineRule="exact"/>
        <w:ind w:firstLine="480" w:firstLineChars="200"/>
        <w:rPr>
          <w:rFonts w:ascii="宋体" w:hAnsi="宋体" w:cs="宋体"/>
          <w:sz w:val="24"/>
          <w:szCs w:val="24"/>
          <w:lang w:eastAsia="zh-CN"/>
        </w:rPr>
      </w:pPr>
    </w:p>
    <w:p w14:paraId="2CFDE1E7">
      <w:pPr>
        <w:pStyle w:val="22"/>
      </w:pPr>
    </w:p>
    <w:p w14:paraId="4E234651"/>
    <w:p w14:paraId="36A73615"/>
    <w:p w14:paraId="0AD3373B"/>
    <w:p w14:paraId="5D1D8ABF"/>
    <w:p w14:paraId="10DB1250"/>
    <w:p w14:paraId="4961AB7D"/>
    <w:p w14:paraId="54641B86"/>
    <w:p w14:paraId="521E2F0D"/>
    <w:p w14:paraId="7A34DB39"/>
    <w:p w14:paraId="4929A166"/>
    <w:p w14:paraId="029C7D95"/>
    <w:p w14:paraId="7F80790D"/>
    <w:p w14:paraId="032F6FE2"/>
    <w:p w14:paraId="33A730E2"/>
    <w:p w14:paraId="59E96B4E"/>
    <w:p w14:paraId="3B75AC9C">
      <w:pPr>
        <w:rPr>
          <w:rFonts w:hint="eastAsia"/>
          <w:b/>
          <w:sz w:val="32"/>
          <w:szCs w:val="32"/>
        </w:rPr>
      </w:pPr>
    </w:p>
    <w:p w14:paraId="12328DF4">
      <w:pPr>
        <w:jc w:val="center"/>
        <w:rPr>
          <w:b/>
          <w:sz w:val="32"/>
          <w:szCs w:val="32"/>
        </w:rPr>
      </w:pPr>
      <w:r>
        <w:rPr>
          <w:rFonts w:hint="eastAsia"/>
          <w:b/>
          <w:sz w:val="32"/>
          <w:szCs w:val="32"/>
        </w:rPr>
        <w:t>一、投  标  书</w:t>
      </w:r>
    </w:p>
    <w:p w14:paraId="123EA8FF">
      <w:pPr>
        <w:rPr>
          <w:sz w:val="24"/>
        </w:rPr>
      </w:pPr>
    </w:p>
    <w:p w14:paraId="67922519">
      <w:pPr>
        <w:rPr>
          <w:rFonts w:ascii="仿宋_GB2312" w:eastAsia="仿宋_GB2312"/>
          <w:sz w:val="24"/>
        </w:rPr>
      </w:pPr>
      <w:r>
        <w:rPr>
          <w:rFonts w:hint="eastAsia" w:ascii="仿宋_GB2312" w:eastAsia="仿宋_GB2312"/>
          <w:sz w:val="24"/>
        </w:rPr>
        <w:t>致：福建省肿瘤医院</w:t>
      </w:r>
    </w:p>
    <w:p w14:paraId="42BE6C0B">
      <w:pPr>
        <w:rPr>
          <w:rFonts w:ascii="仿宋_GB2312" w:eastAsia="仿宋_GB2312"/>
          <w:sz w:val="24"/>
        </w:rPr>
      </w:pPr>
      <w:r>
        <w:rPr>
          <w:rFonts w:hint="eastAsia" w:ascii="仿宋_GB2312" w:eastAsia="仿宋_GB2312"/>
          <w:sz w:val="24"/>
        </w:rPr>
        <w:t>1、根据你方</w:t>
      </w:r>
      <w:r>
        <w:rPr>
          <w:rFonts w:hint="eastAsia" w:ascii="仿宋_GB2312" w:eastAsia="仿宋_GB2312"/>
          <w:sz w:val="24"/>
          <w:u w:val="single"/>
        </w:rPr>
        <w:t xml:space="preserve">                                     </w:t>
      </w:r>
      <w:r>
        <w:rPr>
          <w:rFonts w:hint="eastAsia" w:ascii="仿宋_GB2312" w:eastAsia="仿宋_GB2312"/>
          <w:sz w:val="24"/>
        </w:rPr>
        <w:t>项目的投标须知、招标文件等内容，遵照《中华人民共和国招标投标法》等有关规定，经踏勘项目现场和研究上述招标文件的投标须知、合同条款、图纸、工程建设标准和工程量清单及其他有关文件后，我方愿以人民币（大写）</w:t>
      </w:r>
      <w:r>
        <w:rPr>
          <w:rFonts w:hint="eastAsia" w:ascii="仿宋_GB2312" w:eastAsia="仿宋_GB2312"/>
          <w:b/>
          <w:sz w:val="24"/>
          <w:u w:val="single"/>
        </w:rPr>
        <w:t xml:space="preserve">：      </w:t>
      </w:r>
      <w:r>
        <w:rPr>
          <w:rFonts w:hint="eastAsia" w:ascii="仿宋_GB2312" w:eastAsia="仿宋_GB2312"/>
          <w:sz w:val="24"/>
          <w:u w:val="single"/>
        </w:rPr>
        <w:t xml:space="preserve">  （小写：           ）</w:t>
      </w:r>
      <w:r>
        <w:rPr>
          <w:rFonts w:hint="eastAsia" w:ascii="仿宋_GB2312" w:eastAsia="仿宋_GB2312"/>
          <w:sz w:val="24"/>
        </w:rPr>
        <w:t>的投标报价并按上述图纸、合同条款、建设标准要求承包上述项目，并承担任何质量缺陷保修责任。</w:t>
      </w:r>
    </w:p>
    <w:p w14:paraId="2585E31C">
      <w:pPr>
        <w:ind w:firstLine="456" w:firstLineChars="190"/>
        <w:rPr>
          <w:rFonts w:ascii="仿宋_GB2312" w:eastAsia="仿宋_GB2312"/>
          <w:sz w:val="24"/>
        </w:rPr>
      </w:pPr>
      <w:r>
        <w:rPr>
          <w:rFonts w:hint="eastAsia" w:ascii="仿宋_GB2312" w:eastAsia="仿宋_GB2312"/>
          <w:sz w:val="24"/>
        </w:rPr>
        <w:t>2、我方已详细审核全部招标文件及有关附件。</w:t>
      </w:r>
    </w:p>
    <w:p w14:paraId="330F5BA6">
      <w:pPr>
        <w:ind w:firstLine="456" w:firstLineChars="190"/>
        <w:rPr>
          <w:rFonts w:ascii="仿宋_GB2312" w:eastAsia="仿宋_GB2312"/>
          <w:sz w:val="24"/>
        </w:rPr>
      </w:pPr>
      <w:r>
        <w:rPr>
          <w:rFonts w:hint="eastAsia" w:ascii="仿宋_GB2312" w:eastAsia="仿宋_GB2312"/>
          <w:sz w:val="24"/>
        </w:rPr>
        <w:t>3、一旦我方中标，我方保证质量达到</w:t>
      </w:r>
      <w:r>
        <w:rPr>
          <w:rFonts w:hint="eastAsia" w:ascii="仿宋_GB2312" w:eastAsia="仿宋_GB2312"/>
          <w:b/>
          <w:sz w:val="24"/>
          <w:u w:val="single"/>
        </w:rPr>
        <w:t>投标须知、投标文件等规定</w:t>
      </w:r>
      <w:r>
        <w:rPr>
          <w:rFonts w:hint="eastAsia" w:ascii="仿宋_GB2312" w:eastAsia="仿宋_GB2312"/>
          <w:sz w:val="24"/>
        </w:rPr>
        <w:t>标准。</w:t>
      </w:r>
    </w:p>
    <w:p w14:paraId="3AE90EF4">
      <w:pPr>
        <w:ind w:firstLine="456" w:firstLineChars="190"/>
        <w:rPr>
          <w:rFonts w:ascii="仿宋_GB2312" w:eastAsia="仿宋_GB2312"/>
          <w:sz w:val="24"/>
        </w:rPr>
      </w:pPr>
      <w:r>
        <w:rPr>
          <w:rFonts w:hint="eastAsia" w:ascii="仿宋_GB2312" w:eastAsia="仿宋_GB2312"/>
          <w:sz w:val="24"/>
        </w:rPr>
        <w:t>4、我方同意所提交的投标文件在招标文件的投标须知中规定的投标有效期内有效，在此期间内如果中标，我方将受此约束。</w:t>
      </w:r>
    </w:p>
    <w:p w14:paraId="75F9649B">
      <w:pPr>
        <w:ind w:firstLine="426"/>
        <w:rPr>
          <w:rFonts w:ascii="仿宋_GB2312" w:eastAsia="仿宋_GB2312"/>
          <w:sz w:val="24"/>
        </w:rPr>
      </w:pPr>
      <w:r>
        <w:rPr>
          <w:rFonts w:hint="eastAsia" w:ascii="仿宋_GB2312" w:eastAsia="仿宋_GB2312"/>
          <w:sz w:val="24"/>
        </w:rPr>
        <w:t>5、除非另外达成协议并生效，你方的中标通知书和本投标文件将成为约束双方的合同文件的组成部分。</w:t>
      </w:r>
    </w:p>
    <w:p w14:paraId="636BBA18">
      <w:pPr>
        <w:ind w:firstLine="2760" w:firstLineChars="1150"/>
        <w:rPr>
          <w:rFonts w:ascii="仿宋_GB2312" w:eastAsia="仿宋_GB2312"/>
          <w:sz w:val="24"/>
        </w:rPr>
      </w:pPr>
      <w:r>
        <w:rPr>
          <w:rFonts w:hint="eastAsia" w:ascii="仿宋_GB2312" w:eastAsia="仿宋_GB2312"/>
          <w:sz w:val="24"/>
        </w:rPr>
        <w:t xml:space="preserve">投标人（盖章）： </w:t>
      </w:r>
    </w:p>
    <w:p w14:paraId="50EFA7EF">
      <w:pPr>
        <w:ind w:firstLine="2760" w:firstLineChars="1150"/>
        <w:rPr>
          <w:rFonts w:ascii="仿宋_GB2312" w:eastAsia="仿宋_GB2312"/>
          <w:sz w:val="24"/>
        </w:rPr>
      </w:pPr>
      <w:r>
        <w:rPr>
          <w:rFonts w:hint="eastAsia" w:ascii="仿宋_GB2312" w:eastAsia="仿宋_GB2312"/>
          <w:sz w:val="24"/>
        </w:rPr>
        <w:t xml:space="preserve">单位地址： </w:t>
      </w:r>
    </w:p>
    <w:p w14:paraId="2A8C225F">
      <w:pPr>
        <w:ind w:firstLine="2760" w:firstLineChars="1150"/>
        <w:rPr>
          <w:rFonts w:ascii="仿宋_GB2312" w:eastAsia="仿宋_GB2312"/>
          <w:sz w:val="24"/>
        </w:rPr>
      </w:pPr>
      <w:r>
        <w:rPr>
          <w:rFonts w:hint="eastAsia" w:ascii="仿宋_GB2312" w:eastAsia="仿宋_GB2312"/>
          <w:sz w:val="24"/>
        </w:rPr>
        <w:t>法定代表人（签字或盖章）：</w:t>
      </w:r>
    </w:p>
    <w:p w14:paraId="65245B50">
      <w:pPr>
        <w:ind w:firstLine="2760" w:firstLineChars="1150"/>
        <w:rPr>
          <w:rFonts w:hint="eastAsia" w:ascii="仿宋_GB2312" w:eastAsia="仿宋_GB2312"/>
          <w:sz w:val="24"/>
        </w:rPr>
      </w:pPr>
    </w:p>
    <w:p w14:paraId="022CB28D">
      <w:pPr>
        <w:ind w:firstLine="2760" w:firstLineChars="1150"/>
        <w:rPr>
          <w:rFonts w:ascii="仿宋_GB2312" w:eastAsia="仿宋_GB2312"/>
          <w:sz w:val="24"/>
        </w:rPr>
      </w:pPr>
      <w:r>
        <w:rPr>
          <w:rFonts w:hint="eastAsia" w:ascii="仿宋_GB2312" w:eastAsia="仿宋_GB2312"/>
          <w:sz w:val="24"/>
        </w:rPr>
        <w:t xml:space="preserve">邮政编码：         电话：       传真：  </w:t>
      </w:r>
    </w:p>
    <w:p w14:paraId="63F58EB1">
      <w:pPr>
        <w:ind w:firstLine="2760" w:firstLineChars="1150"/>
        <w:rPr>
          <w:rFonts w:ascii="仿宋_GB2312" w:eastAsia="仿宋_GB2312"/>
          <w:sz w:val="24"/>
        </w:rPr>
      </w:pPr>
      <w:r>
        <w:rPr>
          <w:rFonts w:hint="eastAsia" w:ascii="仿宋_GB2312" w:eastAsia="仿宋_GB2312"/>
          <w:sz w:val="24"/>
        </w:rPr>
        <w:t xml:space="preserve">开户银行名称： </w:t>
      </w:r>
    </w:p>
    <w:p w14:paraId="7D0F266C">
      <w:pPr>
        <w:ind w:firstLine="2760" w:firstLineChars="1150"/>
        <w:rPr>
          <w:rFonts w:ascii="仿宋_GB2312" w:eastAsia="仿宋_GB2312"/>
          <w:sz w:val="24"/>
        </w:rPr>
      </w:pPr>
      <w:r>
        <w:rPr>
          <w:rFonts w:hint="eastAsia" w:ascii="仿宋_GB2312" w:eastAsia="仿宋_GB2312"/>
          <w:sz w:val="24"/>
        </w:rPr>
        <w:t xml:space="preserve">开户银行帐号： </w:t>
      </w:r>
    </w:p>
    <w:p w14:paraId="004AFD5E">
      <w:pPr>
        <w:ind w:firstLine="2640" w:firstLineChars="1100"/>
        <w:rPr>
          <w:rFonts w:ascii="仿宋_GB2312" w:eastAsia="仿宋_GB2312"/>
          <w:sz w:val="24"/>
        </w:rPr>
      </w:pPr>
      <w:r>
        <w:rPr>
          <w:rFonts w:hint="eastAsia" w:ascii="仿宋_GB2312" w:eastAsia="仿宋_GB2312"/>
          <w:sz w:val="24"/>
        </w:rPr>
        <w:t xml:space="preserve">开户银行地址： </w:t>
      </w:r>
    </w:p>
    <w:p w14:paraId="3B6A2BB2">
      <w:pPr>
        <w:ind w:firstLine="2760" w:firstLineChars="1150"/>
        <w:rPr>
          <w:rFonts w:ascii="仿宋_GB2312" w:eastAsia="仿宋_GB2312"/>
          <w:sz w:val="24"/>
        </w:rPr>
      </w:pPr>
      <w:r>
        <w:rPr>
          <w:rFonts w:hint="eastAsia" w:ascii="仿宋_GB2312" w:eastAsia="仿宋_GB2312"/>
          <w:sz w:val="24"/>
        </w:rPr>
        <w:t xml:space="preserve">开户银行电话： </w:t>
      </w:r>
    </w:p>
    <w:p w14:paraId="231E5F1D">
      <w:pPr>
        <w:ind w:firstLine="600"/>
        <w:rPr>
          <w:rFonts w:ascii="仿宋_GB2312" w:eastAsia="仿宋_GB2312"/>
          <w:sz w:val="24"/>
        </w:rPr>
      </w:pPr>
      <w:r>
        <w:rPr>
          <w:rFonts w:hint="eastAsia" w:ascii="仿宋_GB2312" w:eastAsia="仿宋_GB2312"/>
          <w:sz w:val="24"/>
        </w:rPr>
        <w:t xml:space="preserve">                       </w:t>
      </w:r>
    </w:p>
    <w:p w14:paraId="795E5ADC">
      <w:pPr>
        <w:ind w:firstLine="5160" w:firstLineChars="2150"/>
        <w:rPr>
          <w:rFonts w:ascii="仿宋_GB2312" w:eastAsia="仿宋_GB2312"/>
          <w:sz w:val="24"/>
        </w:rPr>
      </w:pPr>
      <w:r>
        <w:rPr>
          <w:rFonts w:hint="eastAsia" w:ascii="仿宋_GB2312" w:eastAsia="仿宋_GB2312"/>
          <w:sz w:val="24"/>
        </w:rPr>
        <w:t>日期：   年   月    日</w:t>
      </w:r>
    </w:p>
    <w:p w14:paraId="0AF3B7B2">
      <w:pPr>
        <w:rPr>
          <w:rFonts w:ascii="仿宋_GB2312" w:eastAsia="仿宋_GB2312"/>
          <w:sz w:val="18"/>
          <w:szCs w:val="18"/>
          <w:u w:val="single"/>
        </w:rPr>
      </w:pPr>
    </w:p>
    <w:p w14:paraId="26C4712C">
      <w:pPr>
        <w:rPr>
          <w:rFonts w:ascii="仿宋_GB2312" w:eastAsia="仿宋_GB2312"/>
          <w:sz w:val="24"/>
        </w:rPr>
      </w:pPr>
    </w:p>
    <w:p w14:paraId="45445E31">
      <w:pPr>
        <w:rPr>
          <w:rFonts w:ascii="仿宋_GB2312" w:eastAsia="仿宋_GB2312"/>
          <w:sz w:val="24"/>
        </w:rPr>
      </w:pPr>
    </w:p>
    <w:p w14:paraId="21A70DAB">
      <w:pPr>
        <w:rPr>
          <w:rFonts w:ascii="仿宋_GB2312" w:eastAsia="仿宋_GB2312"/>
          <w:sz w:val="24"/>
        </w:rPr>
      </w:pPr>
    </w:p>
    <w:p w14:paraId="006C1C6E">
      <w:pPr>
        <w:rPr>
          <w:rFonts w:ascii="仿宋_GB2312" w:eastAsia="仿宋_GB2312"/>
          <w:sz w:val="24"/>
        </w:rPr>
      </w:pPr>
    </w:p>
    <w:p w14:paraId="6A8591D6">
      <w:pPr>
        <w:rPr>
          <w:rFonts w:ascii="仿宋_GB2312" w:eastAsia="仿宋_GB2312"/>
          <w:b/>
          <w:bCs/>
          <w:sz w:val="24"/>
        </w:rPr>
      </w:pPr>
      <w:r>
        <w:rPr>
          <w:rFonts w:hint="eastAsia" w:ascii="仿宋_GB2312" w:eastAsia="仿宋_GB2312"/>
          <w:b/>
          <w:bCs/>
          <w:sz w:val="24"/>
        </w:rPr>
        <w:t>附件：投标报价清单</w:t>
      </w:r>
    </w:p>
    <w:tbl>
      <w:tblPr>
        <w:tblStyle w:val="10"/>
        <w:tblW w:w="6531" w:type="dxa"/>
        <w:tblInd w:w="93" w:type="dxa"/>
        <w:tblLayout w:type="fixed"/>
        <w:tblCellMar>
          <w:top w:w="0" w:type="dxa"/>
          <w:left w:w="108" w:type="dxa"/>
          <w:bottom w:w="0" w:type="dxa"/>
          <w:right w:w="108" w:type="dxa"/>
        </w:tblCellMar>
      </w:tblPr>
      <w:tblGrid>
        <w:gridCol w:w="702"/>
        <w:gridCol w:w="3825"/>
        <w:gridCol w:w="954"/>
        <w:gridCol w:w="1050"/>
      </w:tblGrid>
      <w:tr w14:paraId="6842ACD0">
        <w:tblPrEx>
          <w:tblCellMar>
            <w:top w:w="0" w:type="dxa"/>
            <w:left w:w="108" w:type="dxa"/>
            <w:bottom w:w="0" w:type="dxa"/>
            <w:right w:w="108" w:type="dxa"/>
          </w:tblCellMar>
        </w:tblPrEx>
        <w:trPr>
          <w:trHeight w:val="418"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top"/>
          </w:tcPr>
          <w:p w14:paraId="79BA6ED8">
            <w:pPr>
              <w:keepNext w:val="0"/>
              <w:keepLines w:val="0"/>
              <w:widowControl/>
              <w:suppressLineNumbers w:val="0"/>
              <w:jc w:val="center"/>
              <w:textAlignment w:val="top"/>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85D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名 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408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87AC">
            <w:pPr>
              <w:jc w:val="center"/>
              <w:textAlignment w:val="center"/>
              <w:rPr>
                <w:rFonts w:hint="eastAsia" w:ascii="宋体" w:hAnsi="宋体" w:eastAsia="宋体" w:cs="宋体"/>
                <w:color w:val="000000"/>
                <w:sz w:val="18"/>
                <w:szCs w:val="18"/>
                <w:lang w:bidi="ar"/>
              </w:rPr>
            </w:pPr>
            <w:r>
              <w:rPr>
                <w:rFonts w:hint="eastAsia" w:ascii="宋体" w:hAnsi="宋体" w:eastAsia="宋体" w:cs="宋体"/>
                <w:i w:val="0"/>
                <w:iCs w:val="0"/>
                <w:color w:val="000000"/>
                <w:kern w:val="0"/>
                <w:sz w:val="24"/>
                <w:szCs w:val="24"/>
                <w:u w:val="none"/>
                <w:lang w:val="en-US" w:eastAsia="zh-CN" w:bidi="ar"/>
              </w:rPr>
              <w:t>工程量</w:t>
            </w:r>
          </w:p>
        </w:tc>
      </w:tr>
      <w:tr w14:paraId="430F619B">
        <w:tblPrEx>
          <w:tblCellMar>
            <w:top w:w="0" w:type="dxa"/>
            <w:left w:w="108" w:type="dxa"/>
            <w:bottom w:w="0" w:type="dxa"/>
            <w:right w:w="108" w:type="dxa"/>
          </w:tblCellMar>
        </w:tblPrEx>
        <w:trPr>
          <w:trHeight w:val="669"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C170">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C484">
            <w:pP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WDZB--YJY-4X150+1X95铜芯电力电缆敷设(电缆截面≤240mm2) 共计：4条电缆  太阳牌</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3972">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7B6D">
            <w:pPr>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321</w:t>
            </w:r>
          </w:p>
        </w:tc>
      </w:tr>
      <w:tr w14:paraId="05CFEFE2">
        <w:tblPrEx>
          <w:tblCellMar>
            <w:top w:w="0" w:type="dxa"/>
            <w:left w:w="108" w:type="dxa"/>
            <w:bottom w:w="0" w:type="dxa"/>
            <w:right w:w="108" w:type="dxa"/>
          </w:tblCellMar>
        </w:tblPrEx>
        <w:trPr>
          <w:trHeight w:val="901"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593C">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E85A">
            <w:pP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1KV室内WDZB--YJY-4X150+1X95热（冷）缩式铜芯电力电缆终端头制作安装(电缆截面≤240mm2)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ABB7">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915F">
            <w:pPr>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5</w:t>
            </w:r>
          </w:p>
        </w:tc>
      </w:tr>
      <w:tr w14:paraId="230518B4">
        <w:tblPrEx>
          <w:tblCellMar>
            <w:top w:w="0" w:type="dxa"/>
            <w:left w:w="108" w:type="dxa"/>
            <w:bottom w:w="0" w:type="dxa"/>
            <w:right w:w="108" w:type="dxa"/>
          </w:tblCellMar>
        </w:tblPrEx>
        <w:trPr>
          <w:trHeight w:val="901"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B93C">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4D0B">
            <w:pP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1KV以下WDZB--YJY-4X150+1X95热缩式铜芯电力电缆中间接头制作安装(电缆截面≤240mm2)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50C8">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8234">
            <w:pPr>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3</w:t>
            </w:r>
          </w:p>
        </w:tc>
      </w:tr>
      <w:tr w14:paraId="3E02BC1E">
        <w:tblPrEx>
          <w:tblCellMar>
            <w:top w:w="0" w:type="dxa"/>
            <w:left w:w="108" w:type="dxa"/>
            <w:bottom w:w="0" w:type="dxa"/>
            <w:right w:w="108" w:type="dxa"/>
          </w:tblCellMar>
        </w:tblPrEx>
        <w:trPr>
          <w:trHeight w:val="486"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67CB">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B66C">
            <w:pP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电缆沟揭、盖、移动盖板(盖板长度≤1000mm)</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0E06">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B525">
            <w:pPr>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81</w:t>
            </w:r>
          </w:p>
        </w:tc>
      </w:tr>
      <w:tr w14:paraId="18176867">
        <w:tblPrEx>
          <w:tblCellMar>
            <w:top w:w="0" w:type="dxa"/>
            <w:left w:w="108" w:type="dxa"/>
            <w:bottom w:w="0" w:type="dxa"/>
            <w:right w:w="108" w:type="dxa"/>
          </w:tblCellMar>
        </w:tblPrEx>
        <w:trPr>
          <w:trHeight w:val="669"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6A34">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4419">
            <w:pP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电缆井设置(砖砌井 矩形) 注：此项含人工挖土方、搬运余土等</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A157">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m3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BC21">
            <w:pPr>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1.53</w:t>
            </w:r>
          </w:p>
        </w:tc>
      </w:tr>
      <w:tr w14:paraId="34389C86">
        <w:tblPrEx>
          <w:tblCellMar>
            <w:top w:w="0" w:type="dxa"/>
            <w:left w:w="108" w:type="dxa"/>
            <w:bottom w:w="0" w:type="dxa"/>
            <w:right w:w="108" w:type="dxa"/>
          </w:tblCellMar>
        </w:tblPrEx>
        <w:trPr>
          <w:trHeight w:val="486"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998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6</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71D5">
            <w:pP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电缆井设置(井盖安装(套) 混凝土盖、座)</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612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E8B8">
            <w:pPr>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w:t>
            </w:r>
          </w:p>
        </w:tc>
      </w:tr>
      <w:tr w14:paraId="198BB71A">
        <w:tblPrEx>
          <w:tblCellMar>
            <w:top w:w="0" w:type="dxa"/>
            <w:left w:w="108" w:type="dxa"/>
            <w:bottom w:w="0" w:type="dxa"/>
            <w:right w:w="108" w:type="dxa"/>
          </w:tblCellMar>
        </w:tblPrEx>
        <w:trPr>
          <w:trHeight w:val="901"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D56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7</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AE3A">
            <w:pP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YJV-4X120+1的铜芯电力电缆利用拆除(电缆截面≤120mm2) （注：电缆利旧拆除3条，每条54m，共计162m）</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D0C6">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43DE">
            <w:pPr>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162</w:t>
            </w:r>
          </w:p>
        </w:tc>
      </w:tr>
      <w:tr w14:paraId="63D75A10">
        <w:tblPrEx>
          <w:tblCellMar>
            <w:top w:w="0" w:type="dxa"/>
            <w:left w:w="108" w:type="dxa"/>
            <w:bottom w:w="0" w:type="dxa"/>
            <w:right w:w="108" w:type="dxa"/>
          </w:tblCellMar>
        </w:tblPrEx>
        <w:trPr>
          <w:trHeight w:val="901"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9ECF">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8</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42AE">
            <w:pP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YJV-4X120+1的铜芯电力电缆利旧敷设(电缆截面≤120mm2) （注：电缆利旧安装3条，每条45m，共计135m）</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9952">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A3A1">
            <w:pPr>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135</w:t>
            </w:r>
          </w:p>
        </w:tc>
      </w:tr>
      <w:tr w14:paraId="28625809">
        <w:tblPrEx>
          <w:tblCellMar>
            <w:top w:w="0" w:type="dxa"/>
            <w:left w:w="108" w:type="dxa"/>
            <w:bottom w:w="0" w:type="dxa"/>
            <w:right w:w="108" w:type="dxa"/>
          </w:tblCellMar>
        </w:tblPrEx>
        <w:trPr>
          <w:trHeight w:val="901"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1779">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9</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D18F">
            <w:pP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人工电缆沟垃圾清理、脚手架搭坼、电缆桥架揭盖、地下室桥架内电缆吊装、旧电缆搬运回收入库等综合用工(市场)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96F4">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工日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0DBB">
            <w:pPr>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10</w:t>
            </w:r>
          </w:p>
        </w:tc>
      </w:tr>
      <w:tr w14:paraId="24FA3F1F">
        <w:tblPrEx>
          <w:tblCellMar>
            <w:top w:w="0" w:type="dxa"/>
            <w:left w:w="108" w:type="dxa"/>
            <w:bottom w:w="0" w:type="dxa"/>
            <w:right w:w="108" w:type="dxa"/>
          </w:tblCellMar>
        </w:tblPrEx>
        <w:trPr>
          <w:trHeight w:val="496"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AE9D">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37A8">
            <w:pP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输配电装置系统调试(≤1kV交流供电)</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AABE">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系统</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C4E1">
            <w:pPr>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bidi="ar"/>
              </w:rPr>
              <w:t>4</w:t>
            </w:r>
          </w:p>
        </w:tc>
      </w:tr>
    </w:tbl>
    <w:p w14:paraId="3C415C76">
      <w:pPr>
        <w:jc w:val="center"/>
        <w:rPr>
          <w:sz w:val="24"/>
        </w:rPr>
      </w:pPr>
    </w:p>
    <w:p w14:paraId="26BFAD7D">
      <w:pPr>
        <w:jc w:val="center"/>
        <w:rPr>
          <w:sz w:val="24"/>
        </w:rPr>
      </w:pPr>
      <w:r>
        <w:rPr>
          <w:sz w:val="24"/>
        </w:rPr>
        <w:br w:type="page"/>
      </w:r>
    </w:p>
    <w:p w14:paraId="29FE6125">
      <w:pPr>
        <w:jc w:val="center"/>
        <w:rPr>
          <w:b/>
          <w:sz w:val="32"/>
          <w:szCs w:val="32"/>
        </w:rPr>
      </w:pPr>
      <w:r>
        <w:rPr>
          <w:rFonts w:hint="eastAsia"/>
          <w:b/>
          <w:sz w:val="32"/>
          <w:szCs w:val="32"/>
        </w:rPr>
        <w:t>二、投标委托代表人资格证明书</w:t>
      </w:r>
    </w:p>
    <w:p w14:paraId="4C5B316E">
      <w:pPr>
        <w:rPr>
          <w:sz w:val="24"/>
        </w:rPr>
      </w:pPr>
    </w:p>
    <w:p w14:paraId="2092591A">
      <w:pPr>
        <w:spacing w:line="360" w:lineRule="auto"/>
        <w:rPr>
          <w:rFonts w:ascii="仿宋_GB2312" w:eastAsia="仿宋_GB2312"/>
          <w:sz w:val="24"/>
          <w:u w:val="single"/>
        </w:rPr>
      </w:pPr>
      <w:r>
        <w:rPr>
          <w:rFonts w:hint="eastAsia" w:ascii="仿宋_GB2312" w:eastAsia="仿宋_GB2312"/>
          <w:sz w:val="24"/>
        </w:rPr>
        <w:t>单位名称：</w:t>
      </w:r>
      <w:r>
        <w:rPr>
          <w:rFonts w:hint="eastAsia" w:ascii="仿宋_GB2312" w:eastAsia="仿宋_GB2312"/>
          <w:sz w:val="24"/>
          <w:u w:val="single"/>
        </w:rPr>
        <w:t xml:space="preserve">                                  </w:t>
      </w:r>
    </w:p>
    <w:p w14:paraId="49F14C60">
      <w:pPr>
        <w:spacing w:line="360" w:lineRule="auto"/>
        <w:rPr>
          <w:rFonts w:ascii="仿宋_GB2312" w:eastAsia="仿宋_GB2312"/>
          <w:sz w:val="24"/>
          <w:u w:val="single"/>
        </w:rPr>
      </w:pPr>
      <w:r>
        <w:rPr>
          <w:rFonts w:hint="eastAsia" w:ascii="仿宋_GB2312" w:eastAsia="仿宋_GB2312"/>
          <w:sz w:val="24"/>
        </w:rPr>
        <w:t>地址：</w:t>
      </w:r>
      <w:r>
        <w:rPr>
          <w:rFonts w:hint="eastAsia" w:ascii="仿宋_GB2312" w:eastAsia="仿宋_GB2312"/>
          <w:sz w:val="24"/>
          <w:u w:val="single"/>
        </w:rPr>
        <w:t xml:space="preserve">                               </w:t>
      </w:r>
    </w:p>
    <w:p w14:paraId="2BB5AEC1">
      <w:pPr>
        <w:spacing w:line="360" w:lineRule="auto"/>
        <w:rPr>
          <w:rFonts w:ascii="仿宋_GB2312" w:eastAsia="仿宋_GB2312"/>
          <w:sz w:val="24"/>
        </w:rPr>
      </w:pPr>
      <w:r>
        <w:rPr>
          <w:rFonts w:hint="eastAsia" w:ascii="仿宋_GB2312" w:eastAsia="仿宋_GB2312"/>
          <w:sz w:val="24"/>
        </w:rPr>
        <w:t>姓名：</w:t>
      </w:r>
      <w:r>
        <w:rPr>
          <w:rFonts w:hint="eastAsia" w:ascii="仿宋_GB2312" w:eastAsia="仿宋_GB2312"/>
          <w:sz w:val="24"/>
          <w:u w:val="single"/>
        </w:rPr>
        <w:t xml:space="preserve">      </w:t>
      </w:r>
      <w:r>
        <w:rPr>
          <w:rFonts w:hint="eastAsia" w:ascii="仿宋_GB2312" w:eastAsia="仿宋_GB2312"/>
          <w:sz w:val="24"/>
        </w:rPr>
        <w:t xml:space="preserve">    性别：</w:t>
      </w:r>
      <w:r>
        <w:rPr>
          <w:rFonts w:hint="eastAsia" w:ascii="仿宋_GB2312" w:eastAsia="仿宋_GB2312"/>
          <w:sz w:val="24"/>
          <w:u w:val="single"/>
        </w:rPr>
        <w:t xml:space="preserve">     </w:t>
      </w:r>
      <w:r>
        <w:rPr>
          <w:rFonts w:hint="eastAsia" w:ascii="仿宋_GB2312" w:eastAsia="仿宋_GB2312"/>
          <w:sz w:val="24"/>
        </w:rPr>
        <w:t>年龄：</w:t>
      </w:r>
      <w:r>
        <w:rPr>
          <w:rFonts w:hint="eastAsia" w:ascii="仿宋_GB2312" w:eastAsia="仿宋_GB2312"/>
          <w:sz w:val="24"/>
          <w:u w:val="single"/>
        </w:rPr>
        <w:t xml:space="preserve">    </w:t>
      </w:r>
      <w:r>
        <w:rPr>
          <w:rFonts w:hint="eastAsia" w:ascii="仿宋_GB2312" w:eastAsia="仿宋_GB2312"/>
          <w:sz w:val="24"/>
        </w:rPr>
        <w:t xml:space="preserve">  职务：</w:t>
      </w:r>
      <w:r>
        <w:rPr>
          <w:rFonts w:hint="eastAsia" w:ascii="仿宋_GB2312" w:eastAsia="仿宋_GB2312"/>
          <w:sz w:val="24"/>
          <w:u w:val="single"/>
        </w:rPr>
        <w:t xml:space="preserve">    </w:t>
      </w:r>
      <w:r>
        <w:rPr>
          <w:rFonts w:hint="eastAsia" w:ascii="仿宋_GB2312" w:eastAsia="仿宋_GB2312"/>
          <w:sz w:val="24"/>
        </w:rPr>
        <w:t xml:space="preserve">   系委托代表人。为施工、竣工和保修</w:t>
      </w:r>
      <w:r>
        <w:rPr>
          <w:rFonts w:hint="eastAsia" w:ascii="仿宋_GB2312" w:eastAsia="仿宋_GB2312"/>
          <w:sz w:val="24"/>
          <w:u w:val="single"/>
        </w:rPr>
        <w:t xml:space="preserve">                                   </w:t>
      </w:r>
      <w:r>
        <w:rPr>
          <w:rFonts w:hint="eastAsia" w:ascii="仿宋_GB2312" w:eastAsia="仿宋_GB2312"/>
          <w:sz w:val="24"/>
        </w:rPr>
        <w:t>项目，签署上述项目的投标文件、进行合同谈判、签署合同和处理与之有关的一切事务。</w:t>
      </w:r>
    </w:p>
    <w:p w14:paraId="6F66DB2B">
      <w:pPr>
        <w:spacing w:line="360" w:lineRule="auto"/>
        <w:rPr>
          <w:rFonts w:ascii="仿宋_GB2312" w:eastAsia="仿宋_GB2312"/>
          <w:sz w:val="24"/>
        </w:rPr>
      </w:pPr>
    </w:p>
    <w:p w14:paraId="3493483B">
      <w:pPr>
        <w:spacing w:line="360" w:lineRule="auto"/>
        <w:ind w:firstLine="4680" w:firstLineChars="1950"/>
        <w:rPr>
          <w:rFonts w:ascii="仿宋_GB2312" w:eastAsia="仿宋_GB2312"/>
          <w:sz w:val="24"/>
        </w:rPr>
      </w:pPr>
      <w:r>
        <w:rPr>
          <w:rFonts w:hint="eastAsia" w:ascii="仿宋_GB2312" w:eastAsia="仿宋_GB2312"/>
          <w:sz w:val="24"/>
        </w:rPr>
        <w:t xml:space="preserve">投标人（盖章）：   </w:t>
      </w:r>
    </w:p>
    <w:p w14:paraId="1F5DE310">
      <w:pPr>
        <w:spacing w:line="360" w:lineRule="auto"/>
        <w:ind w:firstLine="4920" w:firstLineChars="2050"/>
        <w:rPr>
          <w:rFonts w:ascii="仿宋_GB2312" w:eastAsia="仿宋_GB2312"/>
          <w:sz w:val="24"/>
        </w:rPr>
      </w:pPr>
      <w:r>
        <w:rPr>
          <w:rFonts w:hint="eastAsia" w:ascii="仿宋_GB2312" w:eastAsia="仿宋_GB2312"/>
          <w:sz w:val="24"/>
        </w:rPr>
        <w:t>年   月  日</w:t>
      </w:r>
    </w:p>
    <w:p w14:paraId="681CF695">
      <w:pPr>
        <w:jc w:val="center"/>
        <w:rPr>
          <w:b/>
          <w:sz w:val="32"/>
          <w:szCs w:val="32"/>
        </w:rPr>
      </w:pPr>
      <w:r>
        <w:rPr>
          <w:sz w:val="24"/>
        </w:rPr>
        <w:br w:type="page"/>
      </w:r>
      <w:r>
        <w:rPr>
          <w:rFonts w:hint="eastAsia"/>
          <w:b/>
          <w:sz w:val="32"/>
          <w:szCs w:val="32"/>
        </w:rPr>
        <w:t>三、投标承诺书</w:t>
      </w:r>
    </w:p>
    <w:p w14:paraId="275B681C">
      <w:pPr>
        <w:tabs>
          <w:tab w:val="left" w:pos="5355"/>
        </w:tabs>
        <w:spacing w:before="100" w:beforeAutospacing="1" w:after="100" w:afterAutospacing="1" w:line="480" w:lineRule="auto"/>
        <w:ind w:firstLine="480" w:firstLineChars="200"/>
        <w:rPr>
          <w:rFonts w:hint="eastAsia" w:ascii="仿宋_GB2312" w:hAnsi="宋体" w:eastAsia="仿宋_GB2312" w:cs="宋体"/>
          <w:bCs/>
          <w:sz w:val="24"/>
        </w:rPr>
      </w:pPr>
      <w:r>
        <w:rPr>
          <w:rFonts w:hint="eastAsia" w:ascii="仿宋_GB2312" w:hAnsi="宋体" w:eastAsia="仿宋_GB2312" w:cs="宋体"/>
          <w:bCs/>
          <w:sz w:val="24"/>
        </w:rPr>
        <w:t>我司承诺对</w:t>
      </w:r>
      <w:r>
        <w:rPr>
          <w:rFonts w:hint="eastAsia" w:ascii="仿宋_GB2312" w:hAnsi="宋体" w:eastAsia="仿宋_GB2312" w:cs="宋体"/>
          <w:bCs/>
          <w:sz w:val="24"/>
          <w:u w:val="single"/>
        </w:rPr>
        <w:t xml:space="preserve">                              </w:t>
      </w:r>
      <w:r>
        <w:rPr>
          <w:rFonts w:hint="eastAsia" w:ascii="仿宋_GB2312" w:hAnsi="宋体" w:eastAsia="仿宋_GB2312" w:cs="宋体"/>
          <w:bCs/>
          <w:sz w:val="24"/>
        </w:rPr>
        <w:t>项目的院内公开招标最终确定的综合评定最优结果表示认可，并承诺不会对福建省肿瘤医院在本项目招标过程中的工作模式以及终止本项目招标的可能提出疑议。</w:t>
      </w:r>
    </w:p>
    <w:p w14:paraId="77759A0F">
      <w:pPr>
        <w:tabs>
          <w:tab w:val="left" w:pos="5355"/>
        </w:tabs>
        <w:spacing w:before="100" w:beforeAutospacing="1" w:after="100" w:afterAutospacing="1" w:line="480" w:lineRule="auto"/>
        <w:ind w:firstLine="480" w:firstLineChars="200"/>
        <w:rPr>
          <w:rFonts w:hint="eastAsia" w:ascii="仿宋_GB2312" w:hAnsi="宋体" w:eastAsia="仿宋_GB2312" w:cs="宋体"/>
          <w:sz w:val="24"/>
        </w:rPr>
      </w:pPr>
      <w:r>
        <w:rPr>
          <w:rFonts w:hint="eastAsia" w:ascii="仿宋_GB2312" w:hAnsi="宋体" w:eastAsia="仿宋_GB2312" w:cs="宋体"/>
          <w:bCs/>
          <w:sz w:val="24"/>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14:paraId="1607F77D">
      <w:pPr>
        <w:tabs>
          <w:tab w:val="left" w:pos="5355"/>
        </w:tabs>
        <w:spacing w:before="100" w:beforeAutospacing="1" w:after="100" w:afterAutospacing="1" w:line="480" w:lineRule="auto"/>
        <w:ind w:firstLine="480" w:firstLineChars="200"/>
        <w:rPr>
          <w:rFonts w:hint="eastAsia" w:ascii="仿宋_GB2312" w:hAnsi="宋体" w:eastAsia="仿宋_GB2312" w:cs="宋体"/>
          <w:sz w:val="24"/>
        </w:rPr>
      </w:pPr>
      <w:r>
        <w:rPr>
          <w:rFonts w:hint="eastAsia" w:ascii="仿宋_GB2312" w:hAnsi="宋体" w:eastAsia="仿宋_GB2312" w:cs="宋体"/>
          <w:bCs/>
          <w:sz w:val="24"/>
        </w:rPr>
        <w:t>我司承诺福建省肿瘤医院在授予我司合同时有权利增加补充相关内容。</w:t>
      </w:r>
    </w:p>
    <w:p w14:paraId="5E33946B">
      <w:pPr>
        <w:tabs>
          <w:tab w:val="left" w:pos="5355"/>
        </w:tabs>
        <w:spacing w:before="100" w:beforeAutospacing="1" w:after="100" w:afterAutospacing="1" w:line="480" w:lineRule="auto"/>
        <w:rPr>
          <w:rFonts w:hint="eastAsia" w:ascii="仿宋_GB2312" w:hAnsi="宋体" w:eastAsia="仿宋_GB2312" w:cs="宋体"/>
          <w:sz w:val="24"/>
        </w:rPr>
      </w:pPr>
      <w:r>
        <w:rPr>
          <w:rFonts w:hint="eastAsia" w:ascii="仿宋_GB2312" w:hAnsi="宋体" w:eastAsia="仿宋_GB2312" w:cs="宋体"/>
          <w:sz w:val="24"/>
        </w:rPr>
        <w:t>投标人名称（全称并加公章）：</w:t>
      </w:r>
    </w:p>
    <w:p w14:paraId="6A988D2A">
      <w:pPr>
        <w:tabs>
          <w:tab w:val="left" w:pos="5355"/>
        </w:tabs>
        <w:spacing w:before="100" w:beforeAutospacing="1" w:after="100" w:afterAutospacing="1" w:line="480" w:lineRule="auto"/>
        <w:rPr>
          <w:rFonts w:hint="eastAsia" w:ascii="仿宋_GB2312" w:hAnsi="宋体" w:eastAsia="仿宋_GB2312" w:cs="宋体"/>
          <w:sz w:val="24"/>
        </w:rPr>
      </w:pPr>
      <w:r>
        <w:rPr>
          <w:rFonts w:hint="eastAsia" w:ascii="仿宋_GB2312" w:hAnsi="宋体" w:eastAsia="仿宋_GB2312" w:cs="宋体"/>
          <w:sz w:val="24"/>
        </w:rPr>
        <w:t>投标人代表签字：</w:t>
      </w:r>
    </w:p>
    <w:p w14:paraId="0444BB04">
      <w:pPr>
        <w:tabs>
          <w:tab w:val="left" w:pos="5355"/>
        </w:tabs>
        <w:spacing w:before="100" w:beforeAutospacing="1" w:after="100" w:afterAutospacing="1" w:line="480" w:lineRule="auto"/>
        <w:rPr>
          <w:b/>
          <w:sz w:val="24"/>
        </w:rPr>
      </w:pPr>
      <w:r>
        <w:rPr>
          <w:rFonts w:hint="eastAsia" w:ascii="仿宋_GB2312" w:hAnsi="宋体" w:eastAsia="仿宋_GB2312" w:cs="宋体"/>
          <w:sz w:val="24"/>
        </w:rPr>
        <w:t>日期：     年    月   日</w:t>
      </w:r>
    </w:p>
    <w:p w14:paraId="71E67466"/>
    <w:p w14:paraId="258A3756">
      <w:pPr>
        <w:spacing w:line="380" w:lineRule="exact"/>
        <w:rPr>
          <w:rFonts w:hint="eastAsia" w:ascii="宋体" w:hAnsi="宋体" w:eastAsia="仿宋_GB2312"/>
          <w:sz w:val="24"/>
        </w:rPr>
      </w:pPr>
    </w:p>
    <w:p w14:paraId="48F64B50">
      <w:pPr>
        <w:spacing w:line="380" w:lineRule="exact"/>
        <w:rPr>
          <w:rFonts w:hint="eastAsia" w:ascii="宋体" w:hAnsi="宋体" w:eastAsia="仿宋_GB2312"/>
          <w:sz w:val="24"/>
        </w:rPr>
      </w:pPr>
    </w:p>
    <w:p w14:paraId="425DCABA">
      <w:pPr>
        <w:spacing w:line="380" w:lineRule="exact"/>
        <w:rPr>
          <w:rFonts w:hint="eastAsia" w:ascii="宋体" w:hAnsi="宋体" w:eastAsia="仿宋_GB2312"/>
          <w:sz w:val="24"/>
        </w:rPr>
      </w:pPr>
    </w:p>
    <w:p w14:paraId="502CA6D7">
      <w:pPr>
        <w:spacing w:line="380" w:lineRule="exact"/>
        <w:jc w:val="center"/>
        <w:rPr>
          <w:rFonts w:hint="eastAsia" w:ascii="宋体" w:hAnsi="宋体"/>
          <w:b/>
          <w:sz w:val="32"/>
          <w:szCs w:val="32"/>
        </w:rPr>
      </w:pPr>
    </w:p>
    <w:p w14:paraId="5ABE571F">
      <w:pPr>
        <w:spacing w:line="380" w:lineRule="exact"/>
        <w:jc w:val="center"/>
        <w:rPr>
          <w:rFonts w:hint="eastAsia" w:ascii="宋体" w:hAnsi="宋体"/>
          <w:b/>
          <w:sz w:val="32"/>
          <w:szCs w:val="32"/>
        </w:rPr>
      </w:pPr>
    </w:p>
    <w:p w14:paraId="287FD638">
      <w:pPr>
        <w:spacing w:line="380" w:lineRule="exact"/>
        <w:jc w:val="center"/>
        <w:rPr>
          <w:rFonts w:hint="eastAsia" w:ascii="宋体" w:hAnsi="宋体"/>
          <w:b/>
          <w:sz w:val="32"/>
          <w:szCs w:val="32"/>
        </w:rPr>
      </w:pPr>
    </w:p>
    <w:p w14:paraId="144F65E0">
      <w:pPr>
        <w:spacing w:line="380" w:lineRule="exact"/>
        <w:jc w:val="center"/>
        <w:rPr>
          <w:rFonts w:hint="eastAsia" w:ascii="宋体" w:hAnsi="宋体"/>
          <w:b/>
          <w:sz w:val="32"/>
          <w:szCs w:val="32"/>
        </w:rPr>
      </w:pPr>
    </w:p>
    <w:p w14:paraId="26598C53">
      <w:pPr>
        <w:spacing w:line="500" w:lineRule="exact"/>
        <w:ind w:firstLine="440" w:firstLineChars="200"/>
        <w:rPr>
          <w:rFonts w:hint="eastAsia" w:ascii="宋体" w:hAnsi="宋体"/>
        </w:rPr>
      </w:pPr>
    </w:p>
    <w:p w14:paraId="76D008D1">
      <w:pPr>
        <w:spacing w:line="380" w:lineRule="exact"/>
        <w:jc w:val="center"/>
        <w:rPr>
          <w:rFonts w:hint="eastAsia" w:ascii="宋体" w:hAnsi="宋体"/>
          <w:b/>
          <w:sz w:val="32"/>
          <w:szCs w:val="32"/>
        </w:rPr>
      </w:pPr>
      <w:r>
        <w:rPr>
          <w:rFonts w:hint="eastAsia" w:ascii="宋体" w:hAnsi="宋体"/>
          <w:b/>
          <w:sz w:val="32"/>
          <w:szCs w:val="32"/>
          <w:lang w:eastAsia="zh-CN"/>
        </w:rPr>
        <w:t>四</w:t>
      </w:r>
      <w:r>
        <w:rPr>
          <w:rFonts w:hint="eastAsia" w:ascii="宋体" w:hAnsi="宋体"/>
          <w:b/>
          <w:sz w:val="32"/>
          <w:szCs w:val="32"/>
        </w:rPr>
        <w:t>、投标方案</w:t>
      </w:r>
    </w:p>
    <w:p w14:paraId="29802F12">
      <w:pPr>
        <w:spacing w:line="380" w:lineRule="exact"/>
        <w:ind w:firstLine="480" w:firstLineChars="200"/>
        <w:rPr>
          <w:rFonts w:hint="eastAsia" w:ascii="宋体" w:hAnsi="宋体" w:eastAsia="仿宋_GB2312"/>
          <w:sz w:val="24"/>
        </w:rPr>
      </w:pPr>
    </w:p>
    <w:p w14:paraId="69E1548D">
      <w:pPr>
        <w:adjustRightInd/>
        <w:snapToGrid/>
        <w:spacing w:line="220" w:lineRule="atLeast"/>
        <w:rPr>
          <w:rFonts w:hint="eastAsia" w:ascii="宋体" w:hAnsi="宋体" w:eastAsia="仿宋_GB2312"/>
          <w:sz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2D556A"/>
    <w:multiLevelType w:val="singleLevel"/>
    <w:tmpl w:val="522D556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0ZjNjYzViNGQwNmIzZWU5ZmY5OGFhMzA5YTVmNTUifQ=="/>
  </w:docVars>
  <w:rsids>
    <w:rsidRoot w:val="00D31D50"/>
    <w:rsid w:val="000117C4"/>
    <w:rsid w:val="000258B4"/>
    <w:rsid w:val="000328DE"/>
    <w:rsid w:val="000348F1"/>
    <w:rsid w:val="00051D9D"/>
    <w:rsid w:val="00072412"/>
    <w:rsid w:val="00081B08"/>
    <w:rsid w:val="00084E7A"/>
    <w:rsid w:val="000A4F16"/>
    <w:rsid w:val="000B1D68"/>
    <w:rsid w:val="000C6FBF"/>
    <w:rsid w:val="001062BA"/>
    <w:rsid w:val="00112815"/>
    <w:rsid w:val="00120C32"/>
    <w:rsid w:val="00145ECF"/>
    <w:rsid w:val="001511C6"/>
    <w:rsid w:val="00165284"/>
    <w:rsid w:val="001C5F1A"/>
    <w:rsid w:val="0021629E"/>
    <w:rsid w:val="00243D91"/>
    <w:rsid w:val="00263779"/>
    <w:rsid w:val="002909E2"/>
    <w:rsid w:val="00294055"/>
    <w:rsid w:val="002B6897"/>
    <w:rsid w:val="002D5EC8"/>
    <w:rsid w:val="002D7794"/>
    <w:rsid w:val="002E5820"/>
    <w:rsid w:val="00323B43"/>
    <w:rsid w:val="003662B3"/>
    <w:rsid w:val="003722D2"/>
    <w:rsid w:val="00391ADD"/>
    <w:rsid w:val="003974E6"/>
    <w:rsid w:val="003B7259"/>
    <w:rsid w:val="003C7AF6"/>
    <w:rsid w:val="003D37D8"/>
    <w:rsid w:val="003E0229"/>
    <w:rsid w:val="003E2E52"/>
    <w:rsid w:val="003F3C16"/>
    <w:rsid w:val="004175DA"/>
    <w:rsid w:val="00421385"/>
    <w:rsid w:val="00426133"/>
    <w:rsid w:val="004270CB"/>
    <w:rsid w:val="004358AB"/>
    <w:rsid w:val="00437514"/>
    <w:rsid w:val="00461A45"/>
    <w:rsid w:val="00463981"/>
    <w:rsid w:val="00482F33"/>
    <w:rsid w:val="00484CEA"/>
    <w:rsid w:val="004861FD"/>
    <w:rsid w:val="00497D98"/>
    <w:rsid w:val="004B2521"/>
    <w:rsid w:val="004D5032"/>
    <w:rsid w:val="004E0D10"/>
    <w:rsid w:val="004E66D5"/>
    <w:rsid w:val="00501BDC"/>
    <w:rsid w:val="00504951"/>
    <w:rsid w:val="00540452"/>
    <w:rsid w:val="00582191"/>
    <w:rsid w:val="00597ACC"/>
    <w:rsid w:val="005B5007"/>
    <w:rsid w:val="005C0568"/>
    <w:rsid w:val="005C383C"/>
    <w:rsid w:val="005D23DA"/>
    <w:rsid w:val="00616947"/>
    <w:rsid w:val="00623566"/>
    <w:rsid w:val="00631CD4"/>
    <w:rsid w:val="006539CE"/>
    <w:rsid w:val="00661620"/>
    <w:rsid w:val="006B06B2"/>
    <w:rsid w:val="006C3A1D"/>
    <w:rsid w:val="006C7D3A"/>
    <w:rsid w:val="00707E79"/>
    <w:rsid w:val="00735E0E"/>
    <w:rsid w:val="0075638B"/>
    <w:rsid w:val="00766DD7"/>
    <w:rsid w:val="00773824"/>
    <w:rsid w:val="007827E4"/>
    <w:rsid w:val="007A123B"/>
    <w:rsid w:val="007B52E6"/>
    <w:rsid w:val="007B7490"/>
    <w:rsid w:val="007C0D75"/>
    <w:rsid w:val="007C2696"/>
    <w:rsid w:val="007C50DB"/>
    <w:rsid w:val="007D2275"/>
    <w:rsid w:val="007D397A"/>
    <w:rsid w:val="007F1214"/>
    <w:rsid w:val="008265AB"/>
    <w:rsid w:val="00830EA4"/>
    <w:rsid w:val="00854F14"/>
    <w:rsid w:val="00887CAC"/>
    <w:rsid w:val="008A3342"/>
    <w:rsid w:val="008A3C9C"/>
    <w:rsid w:val="008A41D7"/>
    <w:rsid w:val="008B42C6"/>
    <w:rsid w:val="008B53D9"/>
    <w:rsid w:val="008B7726"/>
    <w:rsid w:val="008C0E0A"/>
    <w:rsid w:val="008C291F"/>
    <w:rsid w:val="008F214B"/>
    <w:rsid w:val="0091663F"/>
    <w:rsid w:val="009171A5"/>
    <w:rsid w:val="009175D5"/>
    <w:rsid w:val="009317DB"/>
    <w:rsid w:val="009607D1"/>
    <w:rsid w:val="0096113E"/>
    <w:rsid w:val="009809F5"/>
    <w:rsid w:val="0098330C"/>
    <w:rsid w:val="009863E1"/>
    <w:rsid w:val="009878F0"/>
    <w:rsid w:val="00987919"/>
    <w:rsid w:val="00987F84"/>
    <w:rsid w:val="009A3DD5"/>
    <w:rsid w:val="009A43CB"/>
    <w:rsid w:val="009A6156"/>
    <w:rsid w:val="009B171C"/>
    <w:rsid w:val="009B4A2A"/>
    <w:rsid w:val="009B6F48"/>
    <w:rsid w:val="009C417B"/>
    <w:rsid w:val="009C69EF"/>
    <w:rsid w:val="009D6012"/>
    <w:rsid w:val="009D76AD"/>
    <w:rsid w:val="009D799C"/>
    <w:rsid w:val="009F1815"/>
    <w:rsid w:val="00A30B71"/>
    <w:rsid w:val="00A35F8F"/>
    <w:rsid w:val="00A65BA8"/>
    <w:rsid w:val="00A963F9"/>
    <w:rsid w:val="00AA004C"/>
    <w:rsid w:val="00AC3D32"/>
    <w:rsid w:val="00AE0803"/>
    <w:rsid w:val="00AF7E80"/>
    <w:rsid w:val="00B245EB"/>
    <w:rsid w:val="00B25AE3"/>
    <w:rsid w:val="00B46888"/>
    <w:rsid w:val="00B51ACE"/>
    <w:rsid w:val="00B70BA1"/>
    <w:rsid w:val="00BB50E2"/>
    <w:rsid w:val="00BB5AB6"/>
    <w:rsid w:val="00BC657B"/>
    <w:rsid w:val="00C03632"/>
    <w:rsid w:val="00C177B1"/>
    <w:rsid w:val="00C7149D"/>
    <w:rsid w:val="00CA40E7"/>
    <w:rsid w:val="00CC4753"/>
    <w:rsid w:val="00CC5E88"/>
    <w:rsid w:val="00CD230F"/>
    <w:rsid w:val="00CD3E68"/>
    <w:rsid w:val="00CD5584"/>
    <w:rsid w:val="00CE796A"/>
    <w:rsid w:val="00CF0E0E"/>
    <w:rsid w:val="00CF69ED"/>
    <w:rsid w:val="00D13557"/>
    <w:rsid w:val="00D25185"/>
    <w:rsid w:val="00D30D13"/>
    <w:rsid w:val="00D31D50"/>
    <w:rsid w:val="00D32A7B"/>
    <w:rsid w:val="00D429D3"/>
    <w:rsid w:val="00D51A1F"/>
    <w:rsid w:val="00D92BF8"/>
    <w:rsid w:val="00DA2241"/>
    <w:rsid w:val="00DA35FB"/>
    <w:rsid w:val="00DA3C4A"/>
    <w:rsid w:val="00DB4AEE"/>
    <w:rsid w:val="00DC5488"/>
    <w:rsid w:val="00DF3F7A"/>
    <w:rsid w:val="00E23F38"/>
    <w:rsid w:val="00E356F4"/>
    <w:rsid w:val="00E529C7"/>
    <w:rsid w:val="00E779F0"/>
    <w:rsid w:val="00E80445"/>
    <w:rsid w:val="00E97990"/>
    <w:rsid w:val="00EA7835"/>
    <w:rsid w:val="00EB171C"/>
    <w:rsid w:val="00EB307F"/>
    <w:rsid w:val="00EE2C71"/>
    <w:rsid w:val="00EF7ABB"/>
    <w:rsid w:val="00F112E2"/>
    <w:rsid w:val="00F2035A"/>
    <w:rsid w:val="00F36F5E"/>
    <w:rsid w:val="00F57DDD"/>
    <w:rsid w:val="00F64073"/>
    <w:rsid w:val="00F67B76"/>
    <w:rsid w:val="00F7018C"/>
    <w:rsid w:val="00F93F93"/>
    <w:rsid w:val="00FA2246"/>
    <w:rsid w:val="00FD223F"/>
    <w:rsid w:val="00FE3535"/>
    <w:rsid w:val="00FE49CE"/>
    <w:rsid w:val="00FF2678"/>
    <w:rsid w:val="020907B9"/>
    <w:rsid w:val="0D0F228C"/>
    <w:rsid w:val="0D5605EF"/>
    <w:rsid w:val="1DF95513"/>
    <w:rsid w:val="1E4569AA"/>
    <w:rsid w:val="1FBC7140"/>
    <w:rsid w:val="2A355B25"/>
    <w:rsid w:val="303C73AF"/>
    <w:rsid w:val="35D10FDA"/>
    <w:rsid w:val="3BA65198"/>
    <w:rsid w:val="3C8A151C"/>
    <w:rsid w:val="40404C08"/>
    <w:rsid w:val="49502F8E"/>
    <w:rsid w:val="53677D24"/>
    <w:rsid w:val="5DCE7B21"/>
    <w:rsid w:val="648F0534"/>
    <w:rsid w:val="64F16511"/>
    <w:rsid w:val="67225B02"/>
    <w:rsid w:val="692E739C"/>
    <w:rsid w:val="746565D3"/>
    <w:rsid w:val="74F811F5"/>
    <w:rsid w:val="7B4A7B0C"/>
    <w:rsid w:val="7F940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link w:val="15"/>
    <w:qFormat/>
    <w:uiPriority w:val="9"/>
    <w:pPr>
      <w:adjustRightInd/>
      <w:snapToGrid/>
      <w:spacing w:before="100" w:beforeAutospacing="1" w:after="100" w:afterAutospacing="1"/>
      <w:outlineLvl w:val="1"/>
    </w:pPr>
    <w:rPr>
      <w:rFonts w:ascii="宋体" w:hAnsi="宋体" w:eastAsia="宋体" w:cs="宋体"/>
      <w:b/>
      <w:bCs/>
      <w:sz w:val="36"/>
      <w:szCs w:val="36"/>
    </w:rPr>
  </w:style>
  <w:style w:type="paragraph" w:styleId="3">
    <w:name w:val="heading 5"/>
    <w:basedOn w:val="1"/>
    <w:link w:val="16"/>
    <w:qFormat/>
    <w:uiPriority w:val="9"/>
    <w:pPr>
      <w:adjustRightInd/>
      <w:snapToGrid/>
      <w:spacing w:before="100" w:beforeAutospacing="1" w:after="100" w:afterAutospacing="1"/>
      <w:outlineLvl w:val="4"/>
    </w:pPr>
    <w:rPr>
      <w:rFonts w:ascii="宋体" w:hAnsi="宋体" w:eastAsia="宋体" w:cs="宋体"/>
      <w:b/>
      <w:bCs/>
      <w:sz w:val="2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8"/>
    <w:qFormat/>
    <w:uiPriority w:val="0"/>
    <w:pPr>
      <w:adjustRightInd/>
      <w:snapToGrid/>
      <w:spacing w:after="0"/>
      <w:ind w:firstLine="420"/>
    </w:pPr>
    <w:rPr>
      <w:rFonts w:ascii="Times New Roman" w:hAnsi="Times New Roman" w:eastAsia="宋体" w:cs="Times New Roman"/>
      <w:sz w:val="20"/>
      <w:szCs w:val="20"/>
    </w:rPr>
  </w:style>
  <w:style w:type="paragraph" w:styleId="5">
    <w:name w:val="Plain Text"/>
    <w:basedOn w:val="1"/>
    <w:link w:val="20"/>
    <w:semiHidden/>
    <w:unhideWhenUsed/>
    <w:qFormat/>
    <w:uiPriority w:val="99"/>
    <w:rPr>
      <w:rFonts w:ascii="宋体" w:hAnsi="Courier New" w:eastAsia="宋体" w:cs="Courier New"/>
      <w:sz w:val="21"/>
      <w:szCs w:val="21"/>
    </w:rPr>
  </w:style>
  <w:style w:type="paragraph" w:styleId="6">
    <w:name w:val="footer"/>
    <w:basedOn w:val="1"/>
    <w:link w:val="14"/>
    <w:unhideWhenUsed/>
    <w:qFormat/>
    <w:uiPriority w:val="99"/>
    <w:pPr>
      <w:tabs>
        <w:tab w:val="center" w:pos="4153"/>
        <w:tab w:val="right" w:pos="8306"/>
      </w:tabs>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paragraph" w:styleId="8">
    <w:name w:val="HTML Preformatted"/>
    <w:basedOn w:val="1"/>
    <w:link w:val="2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9">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character" w:styleId="12">
    <w:name w:val="Strong"/>
    <w:basedOn w:val="11"/>
    <w:qFormat/>
    <w:uiPriority w:val="0"/>
    <w:rPr>
      <w:b/>
      <w:bCs/>
    </w:rPr>
  </w:style>
  <w:style w:type="character" w:customStyle="1" w:styleId="13">
    <w:name w:val="页眉 字符"/>
    <w:basedOn w:val="11"/>
    <w:link w:val="7"/>
    <w:qFormat/>
    <w:uiPriority w:val="99"/>
    <w:rPr>
      <w:rFonts w:ascii="Tahoma" w:hAnsi="Tahoma"/>
      <w:sz w:val="18"/>
      <w:szCs w:val="18"/>
    </w:rPr>
  </w:style>
  <w:style w:type="character" w:customStyle="1" w:styleId="14">
    <w:name w:val="页脚 字符"/>
    <w:basedOn w:val="11"/>
    <w:link w:val="6"/>
    <w:qFormat/>
    <w:uiPriority w:val="99"/>
    <w:rPr>
      <w:rFonts w:ascii="Tahoma" w:hAnsi="Tahoma"/>
      <w:sz w:val="18"/>
      <w:szCs w:val="18"/>
    </w:rPr>
  </w:style>
  <w:style w:type="character" w:customStyle="1" w:styleId="15">
    <w:name w:val="标题 2 字符"/>
    <w:basedOn w:val="11"/>
    <w:link w:val="2"/>
    <w:qFormat/>
    <w:uiPriority w:val="9"/>
    <w:rPr>
      <w:rFonts w:ascii="宋体" w:hAnsi="宋体" w:eastAsia="宋体" w:cs="宋体"/>
      <w:b/>
      <w:bCs/>
      <w:sz w:val="36"/>
      <w:szCs w:val="36"/>
    </w:rPr>
  </w:style>
  <w:style w:type="character" w:customStyle="1" w:styleId="16">
    <w:name w:val="标题 5 字符"/>
    <w:basedOn w:val="11"/>
    <w:link w:val="3"/>
    <w:qFormat/>
    <w:uiPriority w:val="9"/>
    <w:rPr>
      <w:rFonts w:ascii="宋体" w:hAnsi="宋体" w:eastAsia="宋体" w:cs="宋体"/>
      <w:b/>
      <w:bCs/>
      <w:sz w:val="20"/>
      <w:szCs w:val="20"/>
    </w:rPr>
  </w:style>
  <w:style w:type="character" w:customStyle="1" w:styleId="17">
    <w:name w:val="apple-converted-space"/>
    <w:basedOn w:val="11"/>
    <w:qFormat/>
    <w:uiPriority w:val="0"/>
  </w:style>
  <w:style w:type="character" w:customStyle="1" w:styleId="18">
    <w:name w:val="正文缩进 字符"/>
    <w:basedOn w:val="11"/>
    <w:link w:val="4"/>
    <w:qFormat/>
    <w:uiPriority w:val="0"/>
    <w:rPr>
      <w:rFonts w:ascii="Times New Roman" w:hAnsi="Times New Roman" w:eastAsia="宋体" w:cs="Times New Roman"/>
      <w:sz w:val="20"/>
      <w:szCs w:val="20"/>
    </w:rPr>
  </w:style>
  <w:style w:type="paragraph" w:customStyle="1" w:styleId="19">
    <w:name w:val="样式3"/>
    <w:basedOn w:val="5"/>
    <w:qFormat/>
    <w:uiPriority w:val="0"/>
    <w:pPr>
      <w:widowControl w:val="0"/>
      <w:adjustRightInd/>
      <w:snapToGrid/>
      <w:spacing w:after="0" w:line="0" w:lineRule="atLeast"/>
      <w:jc w:val="both"/>
      <w:outlineLvl w:val="0"/>
    </w:pPr>
    <w:rPr>
      <w:rFonts w:cs="Times New Roman"/>
      <w:kern w:val="2"/>
      <w:sz w:val="28"/>
      <w:szCs w:val="20"/>
    </w:rPr>
  </w:style>
  <w:style w:type="character" w:customStyle="1" w:styleId="20">
    <w:name w:val="纯文本 字符"/>
    <w:basedOn w:val="11"/>
    <w:link w:val="5"/>
    <w:semiHidden/>
    <w:qFormat/>
    <w:uiPriority w:val="99"/>
    <w:rPr>
      <w:rFonts w:ascii="宋体" w:hAnsi="Courier New" w:eastAsia="宋体" w:cs="Courier New"/>
      <w:sz w:val="21"/>
      <w:szCs w:val="21"/>
    </w:rPr>
  </w:style>
  <w:style w:type="character" w:customStyle="1" w:styleId="21">
    <w:name w:val="HTML 预设格式 字符"/>
    <w:basedOn w:val="11"/>
    <w:link w:val="8"/>
    <w:qFormat/>
    <w:uiPriority w:val="0"/>
    <w:rPr>
      <w:rFonts w:ascii="宋体" w:hAnsi="宋体" w:eastAsia="宋体" w:cs="宋体"/>
      <w:sz w:val="24"/>
      <w:szCs w:val="24"/>
    </w:rPr>
  </w:style>
  <w:style w:type="paragraph" w:customStyle="1" w:styleId="22">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9318</Words>
  <Characters>9826</Characters>
  <Lines>78</Lines>
  <Paragraphs>22</Paragraphs>
  <TotalTime>238</TotalTime>
  <ScaleCrop>false</ScaleCrop>
  <LinksUpToDate>false</LinksUpToDate>
  <CharactersWithSpaces>10174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2024-09-23T01:16:00Z</dcterms:created>
  <dc:creator>Administrator</dc:creator>
  <cp:lastModifiedBy>miracle</cp:lastModifiedBy>
  <cp:lastPrinted>2024-09-24T03:06:00Z</cp:lastPrinted>
  <dcterms:modified xsi:type="dcterms:W3CDTF">2024-09-25T07:09:55Z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BABAD3232CE64881935D38198005B90E_13</vt:lpwstr>
  </property>
</Properties>
</file>