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2"/>
        <w:jc w:val="center"/>
        <w:rPr>
          <w:rFonts w:hint="eastAsia" w:ascii="仿宋_GB2312" w:hAnsi="仿宋_GB2312" w:eastAsia="方正小标宋简体" w:cs="仿宋_GB2312"/>
          <w:b w:val="0"/>
          <w:kern w:val="2"/>
          <w:sz w:val="32"/>
          <w:szCs w:val="32"/>
        </w:rPr>
      </w:pPr>
      <w:bookmarkStart w:id="0" w:name="_GoBack"/>
      <w:r>
        <w:rPr>
          <w:rFonts w:hint="eastAsia" w:ascii="方正小标宋简体" w:hAnsi="方正小标宋简体" w:eastAsia="方正小标宋简体" w:cs="方正小标宋简体"/>
          <w:b w:val="0"/>
          <w:kern w:val="2"/>
          <w:szCs w:val="44"/>
        </w:rPr>
        <w:t>福建省肿瘤医院采购调研公告</w:t>
      </w:r>
    </w:p>
    <w:p>
      <w:pPr>
        <w:widowControl/>
        <w:shd w:val="clear" w:color="auto" w:fill="FFFFFF"/>
        <w:adjustRightInd w:val="0"/>
        <w:snapToGrid w:val="0"/>
        <w:spacing w:beforeLines="50" w:line="59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b/>
          <w:color w:val="000000"/>
          <w:kern w:val="0"/>
          <w:sz w:val="32"/>
          <w:szCs w:val="32"/>
          <w:shd w:val="clear" w:color="auto" w:fill="FFFFFF"/>
        </w:rPr>
        <w:t>第一部分 须知前附表</w:t>
      </w:r>
    </w:p>
    <w:tbl>
      <w:tblPr>
        <w:tblpPr w:leftFromText="180" w:rightFromText="180" w:vertAnchor="text" w:horzAnchor="page" w:tblpX="1852" w:tblpY="337"/>
        <w:tblOverlap w:val="never"/>
        <w:tblW w:w="8745" w:type="dxa"/>
        <w:tblInd w:w="0" w:type="dxa"/>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Layout w:type="fixed"/>
        <w:tblCellMar>
          <w:top w:w="15" w:type="dxa"/>
          <w:left w:w="15" w:type="dxa"/>
          <w:bottom w:w="15" w:type="dxa"/>
          <w:right w:w="15" w:type="dxa"/>
        </w:tblCellMar>
      </w:tblPr>
      <w:tblGrid>
        <w:gridCol w:w="964"/>
        <w:gridCol w:w="7781"/>
      </w:tblGrid>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Layout w:type="fixed"/>
          <w:tblCellMar>
            <w:top w:w="15" w:type="dxa"/>
            <w:left w:w="15" w:type="dxa"/>
            <w:bottom w:w="15" w:type="dxa"/>
            <w:right w:w="15" w:type="dxa"/>
          </w:tblCellMar>
        </w:tblPrEx>
        <w:trPr>
          <w:trHeight w:val="549" w:hRule="atLeast"/>
        </w:trPr>
        <w:tc>
          <w:tcPr>
            <w:tcW w:w="964"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pStyle w:val="9"/>
              <w:widowControl/>
              <w:spacing w:line="360" w:lineRule="atLeast"/>
              <w:jc w:val="center"/>
              <w:rPr>
                <w:rFonts w:hint="eastAsia" w:ascii="仿宋_GB2312" w:hAnsi="仿宋_GB2312" w:eastAsia="仿宋_GB2312" w:cs="仿宋_GB2312"/>
                <w:sz w:val="32"/>
                <w:szCs w:val="32"/>
              </w:rPr>
            </w:pPr>
            <w:r>
              <w:rPr>
                <w:rFonts w:hint="eastAsia" w:ascii="仿宋_GB2312" w:hAnsi="仿宋_GB2312" w:eastAsia="仿宋_GB2312" w:cs="仿宋_GB2312"/>
                <w:b/>
                <w:color w:val="000000"/>
                <w:sz w:val="32"/>
                <w:szCs w:val="32"/>
              </w:rPr>
              <w:t>序号</w:t>
            </w:r>
          </w:p>
        </w:tc>
        <w:tc>
          <w:tcPr>
            <w:tcW w:w="7781" w:type="dxa"/>
            <w:tcBorders>
              <w:top w:val="single" w:color="000000" w:sz="8" w:space="0"/>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line="315" w:lineRule="atLeast"/>
              <w:jc w:val="center"/>
              <w:rPr>
                <w:rFonts w:hint="eastAsia" w:ascii="仿宋_GB2312" w:hAnsi="仿宋_GB2312" w:eastAsia="仿宋_GB2312" w:cs="仿宋_GB2312"/>
                <w:sz w:val="32"/>
                <w:szCs w:val="32"/>
              </w:rPr>
            </w:pPr>
            <w:r>
              <w:rPr>
                <w:rFonts w:hint="eastAsia" w:ascii="仿宋_GB2312" w:hAnsi="仿宋_GB2312" w:eastAsia="仿宋_GB2312" w:cs="仿宋_GB2312"/>
                <w:b/>
                <w:color w:val="000000"/>
                <w:kern w:val="0"/>
                <w:sz w:val="32"/>
                <w:szCs w:val="32"/>
              </w:rPr>
              <w:t>主　　　要　　　 内　　　 容</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Layout w:type="fixed"/>
          <w:tblCellMar>
            <w:top w:w="15" w:type="dxa"/>
            <w:left w:w="15" w:type="dxa"/>
            <w:bottom w:w="15" w:type="dxa"/>
            <w:right w:w="15" w:type="dxa"/>
          </w:tblCellMar>
        </w:tblPrEx>
        <w:trPr>
          <w:trHeight w:val="90" w:hRule="atLeast"/>
        </w:trPr>
        <w:tc>
          <w:tcPr>
            <w:tcW w:w="964" w:type="dxa"/>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line="315" w:lineRule="atLeast"/>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w:t>
            </w:r>
          </w:p>
        </w:tc>
        <w:tc>
          <w:tcPr>
            <w:tcW w:w="7781"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line="315" w:lineRule="atLeas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项目名称：病理质控监控系统项目</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Layout w:type="fixed"/>
          <w:tblCellMar>
            <w:top w:w="15" w:type="dxa"/>
            <w:left w:w="15" w:type="dxa"/>
            <w:bottom w:w="15" w:type="dxa"/>
            <w:right w:w="15" w:type="dxa"/>
          </w:tblCellMar>
        </w:tblPrEx>
        <w:trPr>
          <w:trHeight w:val="1444" w:hRule="atLeast"/>
        </w:trPr>
        <w:tc>
          <w:tcPr>
            <w:tcW w:w="964" w:type="dxa"/>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line="315" w:lineRule="atLeast"/>
              <w:jc w:val="center"/>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2</w:t>
            </w:r>
          </w:p>
        </w:tc>
        <w:tc>
          <w:tcPr>
            <w:tcW w:w="7781"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spacing w:before="150" w:line="560" w:lineRule="exact"/>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调研报名时间： 2024 年</w:t>
            </w:r>
            <w:r>
              <w:rPr>
                <w:rFonts w:hint="eastAsia" w:ascii="仿宋_GB2312" w:hAnsi="仿宋_GB2312" w:eastAsia="仿宋_GB2312" w:cs="仿宋_GB2312"/>
                <w:color w:val="auto"/>
                <w:kern w:val="0"/>
                <w:sz w:val="32"/>
                <w:szCs w:val="32"/>
                <w:highlight w:val="none"/>
                <w:u w:val="single"/>
                <w:lang w:val="en-US" w:eastAsia="zh-CN"/>
              </w:rPr>
              <w:t>12</w:t>
            </w:r>
            <w:r>
              <w:rPr>
                <w:rFonts w:hint="eastAsia" w:ascii="仿宋_GB2312" w:hAnsi="仿宋_GB2312" w:eastAsia="仿宋_GB2312" w:cs="仿宋_GB2312"/>
                <w:color w:val="auto"/>
                <w:kern w:val="0"/>
                <w:sz w:val="32"/>
                <w:szCs w:val="32"/>
                <w:highlight w:val="none"/>
              </w:rPr>
              <w:t xml:space="preserve">月 </w:t>
            </w:r>
            <w:r>
              <w:rPr>
                <w:rFonts w:hint="eastAsia" w:ascii="仿宋_GB2312" w:hAnsi="仿宋_GB2312" w:eastAsia="仿宋_GB2312" w:cs="仿宋_GB2312"/>
                <w:color w:val="auto"/>
                <w:kern w:val="0"/>
                <w:sz w:val="32"/>
                <w:szCs w:val="32"/>
                <w:highlight w:val="none"/>
                <w:u w:val="single"/>
                <w:lang w:val="en-US" w:eastAsia="zh-CN"/>
              </w:rPr>
              <w:t>2</w:t>
            </w:r>
            <w:r>
              <w:rPr>
                <w:rFonts w:hint="eastAsia" w:ascii="仿宋_GB2312" w:hAnsi="仿宋_GB2312" w:eastAsia="仿宋_GB2312" w:cs="仿宋_GB2312"/>
                <w:color w:val="auto"/>
                <w:kern w:val="0"/>
                <w:sz w:val="32"/>
                <w:szCs w:val="32"/>
                <w:highlight w:val="none"/>
              </w:rPr>
              <w:t xml:space="preserve">日至 </w:t>
            </w:r>
            <w:r>
              <w:rPr>
                <w:rFonts w:hint="eastAsia" w:ascii="仿宋_GB2312" w:hAnsi="仿宋_GB2312" w:eastAsia="仿宋_GB2312" w:cs="仿宋_GB2312"/>
                <w:color w:val="auto"/>
                <w:kern w:val="0"/>
                <w:sz w:val="32"/>
                <w:szCs w:val="32"/>
                <w:highlight w:val="none"/>
                <w:u w:val="single"/>
                <w:lang w:val="en-US" w:eastAsia="zh-CN"/>
              </w:rPr>
              <w:t>12</w:t>
            </w:r>
            <w:r>
              <w:rPr>
                <w:rFonts w:hint="eastAsia" w:ascii="仿宋_GB2312" w:hAnsi="仿宋_GB2312" w:eastAsia="仿宋_GB2312" w:cs="仿宋_GB2312"/>
                <w:color w:val="auto"/>
                <w:kern w:val="0"/>
                <w:sz w:val="32"/>
                <w:szCs w:val="32"/>
                <w:highlight w:val="none"/>
              </w:rPr>
              <w:t>月</w:t>
            </w:r>
            <w:r>
              <w:rPr>
                <w:rFonts w:hint="eastAsia" w:ascii="仿宋_GB2312" w:hAnsi="仿宋_GB2312" w:eastAsia="仿宋_GB2312" w:cs="仿宋_GB2312"/>
                <w:color w:val="auto"/>
                <w:kern w:val="0"/>
                <w:sz w:val="32"/>
                <w:szCs w:val="32"/>
                <w:highlight w:val="none"/>
                <w:u w:val="single"/>
                <w:lang w:val="en-US" w:eastAsia="zh-CN"/>
              </w:rPr>
              <w:t>9</w:t>
            </w:r>
            <w:r>
              <w:rPr>
                <w:rFonts w:hint="eastAsia" w:ascii="仿宋_GB2312" w:hAnsi="仿宋_GB2312" w:eastAsia="仿宋_GB2312" w:cs="仿宋_GB2312"/>
                <w:color w:val="auto"/>
                <w:kern w:val="0"/>
                <w:sz w:val="32"/>
                <w:szCs w:val="32"/>
                <w:highlight w:val="none"/>
              </w:rPr>
              <w:t xml:space="preserve">日 </w:t>
            </w:r>
            <w:r>
              <w:rPr>
                <w:rFonts w:hint="eastAsia" w:ascii="仿宋_GB2312" w:hAnsi="仿宋_GB2312" w:eastAsia="仿宋_GB2312" w:cs="仿宋_GB2312"/>
                <w:color w:val="auto"/>
                <w:spacing w:val="-8"/>
                <w:kern w:val="0"/>
                <w:sz w:val="32"/>
                <w:szCs w:val="32"/>
                <w:highlight w:val="none"/>
                <w:shd w:val="clear" w:color="auto" w:fill="FFFFFF"/>
              </w:rPr>
              <w:t>(节假日除外)8：00-12：00或14：00-17：00(北京时间）</w:t>
            </w:r>
          </w:p>
          <w:p>
            <w:pPr>
              <w:widowControl/>
              <w:spacing w:line="315" w:lineRule="atLeast"/>
              <w:rPr>
                <w:rFonts w:hint="eastAsia" w:ascii="仿宋_GB2312" w:hAnsi="仿宋_GB2312" w:eastAsia="仿宋_GB2312" w:cs="仿宋_GB2312"/>
                <w:color w:val="000000"/>
                <w:kern w:val="0"/>
                <w:sz w:val="32"/>
                <w:szCs w:val="32"/>
                <w:u w:val="single"/>
              </w:rPr>
            </w:pPr>
            <w:r>
              <w:rPr>
                <w:rFonts w:hint="eastAsia" w:ascii="仿宋_GB2312" w:hAnsi="仿宋_GB2312" w:eastAsia="仿宋_GB2312" w:cs="仿宋_GB2312"/>
                <w:color w:val="auto"/>
                <w:kern w:val="0"/>
                <w:sz w:val="32"/>
                <w:szCs w:val="32"/>
                <w:highlight w:val="none"/>
              </w:rPr>
              <w:t>调研会时间： 2024 年</w:t>
            </w:r>
            <w:r>
              <w:rPr>
                <w:rFonts w:hint="eastAsia" w:ascii="仿宋_GB2312" w:hAnsi="仿宋_GB2312" w:eastAsia="仿宋_GB2312" w:cs="仿宋_GB2312"/>
                <w:color w:val="auto"/>
                <w:kern w:val="0"/>
                <w:sz w:val="32"/>
                <w:szCs w:val="32"/>
                <w:highlight w:val="none"/>
                <w:u w:val="single"/>
              </w:rPr>
              <w:t xml:space="preserve"> </w:t>
            </w:r>
            <w:r>
              <w:rPr>
                <w:rFonts w:hint="eastAsia" w:ascii="仿宋_GB2312" w:hAnsi="仿宋_GB2312" w:eastAsia="仿宋_GB2312" w:cs="仿宋_GB2312"/>
                <w:color w:val="auto"/>
                <w:kern w:val="0"/>
                <w:sz w:val="32"/>
                <w:szCs w:val="32"/>
                <w:highlight w:val="none"/>
                <w:u w:val="single"/>
                <w:lang w:val="en-US" w:eastAsia="zh-CN"/>
              </w:rPr>
              <w:t>12</w:t>
            </w:r>
            <w:r>
              <w:rPr>
                <w:rFonts w:hint="eastAsia" w:ascii="仿宋_GB2312" w:hAnsi="仿宋_GB2312" w:eastAsia="仿宋_GB2312" w:cs="仿宋_GB2312"/>
                <w:color w:val="auto"/>
                <w:kern w:val="0"/>
                <w:sz w:val="32"/>
                <w:szCs w:val="32"/>
                <w:highlight w:val="none"/>
              </w:rPr>
              <w:t xml:space="preserve">月 </w:t>
            </w:r>
            <w:r>
              <w:rPr>
                <w:rFonts w:hint="eastAsia" w:ascii="仿宋_GB2312" w:hAnsi="仿宋_GB2312" w:eastAsia="仿宋_GB2312" w:cs="仿宋_GB2312"/>
                <w:color w:val="auto"/>
                <w:kern w:val="0"/>
                <w:sz w:val="32"/>
                <w:szCs w:val="32"/>
                <w:highlight w:val="none"/>
                <w:u w:val="single"/>
                <w:lang w:val="en-US" w:eastAsia="zh-CN"/>
              </w:rPr>
              <w:t>11</w:t>
            </w:r>
            <w:r>
              <w:rPr>
                <w:rFonts w:hint="eastAsia" w:ascii="仿宋_GB2312" w:hAnsi="仿宋_GB2312" w:eastAsia="仿宋_GB2312" w:cs="仿宋_GB2312"/>
                <w:color w:val="auto"/>
                <w:kern w:val="0"/>
                <w:sz w:val="32"/>
                <w:szCs w:val="32"/>
                <w:highlight w:val="none"/>
              </w:rPr>
              <w:t>日 9:00</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Layout w:type="fixed"/>
          <w:tblCellMar>
            <w:top w:w="15" w:type="dxa"/>
            <w:left w:w="15" w:type="dxa"/>
            <w:bottom w:w="15" w:type="dxa"/>
            <w:right w:w="15" w:type="dxa"/>
          </w:tblCellMar>
        </w:tblPrEx>
        <w:trPr>
          <w:trHeight w:val="685" w:hRule="atLeast"/>
        </w:trPr>
        <w:tc>
          <w:tcPr>
            <w:tcW w:w="964" w:type="dxa"/>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line="315" w:lineRule="atLeast"/>
              <w:jc w:val="center"/>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3</w:t>
            </w:r>
          </w:p>
        </w:tc>
        <w:tc>
          <w:tcPr>
            <w:tcW w:w="7781"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line="315" w:lineRule="atLeast"/>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文件正本</w:t>
            </w:r>
            <w:r>
              <w:rPr>
                <w:rFonts w:hint="eastAsia" w:ascii="仿宋_GB2312" w:hAnsi="仿宋_GB2312" w:eastAsia="仿宋_GB2312" w:cs="仿宋_GB2312"/>
                <w:bCs/>
                <w:color w:val="000000"/>
                <w:sz w:val="32"/>
                <w:szCs w:val="32"/>
                <w:u w:val="single"/>
              </w:rPr>
              <w:t>壹</w:t>
            </w:r>
            <w:r>
              <w:rPr>
                <w:rFonts w:hint="eastAsia" w:ascii="仿宋_GB2312" w:hAnsi="仿宋_GB2312" w:eastAsia="仿宋_GB2312" w:cs="仿宋_GB2312"/>
                <w:color w:val="000000"/>
                <w:sz w:val="32"/>
                <w:szCs w:val="32"/>
              </w:rPr>
              <w:t>份,副本</w:t>
            </w:r>
            <w:r>
              <w:rPr>
                <w:rFonts w:hint="eastAsia" w:ascii="仿宋_GB2312" w:hAnsi="仿宋_GB2312" w:eastAsia="仿宋_GB2312" w:cs="仿宋_GB2312"/>
                <w:bCs/>
                <w:color w:val="000000"/>
                <w:sz w:val="32"/>
                <w:szCs w:val="32"/>
                <w:u w:val="single"/>
              </w:rPr>
              <w:t>壹</w:t>
            </w:r>
            <w:r>
              <w:rPr>
                <w:rFonts w:hint="eastAsia" w:ascii="仿宋_GB2312" w:hAnsi="仿宋_GB2312" w:eastAsia="仿宋_GB2312" w:cs="仿宋_GB2312"/>
                <w:color w:val="000000"/>
                <w:sz w:val="32"/>
                <w:szCs w:val="32"/>
              </w:rPr>
              <w:t>份胶装并密封加盖投标人公章。文件未胶装将视为无效。</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Layout w:type="fixed"/>
          <w:tblCellMar>
            <w:top w:w="15" w:type="dxa"/>
            <w:left w:w="15" w:type="dxa"/>
            <w:bottom w:w="15" w:type="dxa"/>
            <w:right w:w="15" w:type="dxa"/>
          </w:tblCellMar>
        </w:tblPrEx>
        <w:trPr>
          <w:trHeight w:val="631" w:hRule="atLeast"/>
        </w:trPr>
        <w:tc>
          <w:tcPr>
            <w:tcW w:w="964" w:type="dxa"/>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line="315" w:lineRule="atLeast"/>
              <w:jc w:val="center"/>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4</w:t>
            </w:r>
          </w:p>
        </w:tc>
        <w:tc>
          <w:tcPr>
            <w:tcW w:w="7781"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line="315" w:lineRule="atLeas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文件递交处：福建省肿瘤医院网络技术中心</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Layout w:type="fixed"/>
          <w:tblCellMar>
            <w:top w:w="15" w:type="dxa"/>
            <w:left w:w="15" w:type="dxa"/>
            <w:bottom w:w="15" w:type="dxa"/>
            <w:right w:w="15" w:type="dxa"/>
          </w:tblCellMar>
        </w:tblPrEx>
        <w:trPr>
          <w:trHeight w:val="631" w:hRule="atLeast"/>
        </w:trPr>
        <w:tc>
          <w:tcPr>
            <w:tcW w:w="964" w:type="dxa"/>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line="315" w:lineRule="atLeast"/>
              <w:jc w:val="center"/>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5</w:t>
            </w:r>
          </w:p>
        </w:tc>
        <w:tc>
          <w:tcPr>
            <w:tcW w:w="7781"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line="315" w:lineRule="atLeas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上述时间、地点如有变动，以单位届时通知为准。</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Layout w:type="fixed"/>
          <w:tblCellMar>
            <w:top w:w="15" w:type="dxa"/>
            <w:left w:w="15" w:type="dxa"/>
            <w:bottom w:w="15" w:type="dxa"/>
            <w:right w:w="15" w:type="dxa"/>
          </w:tblCellMar>
        </w:tblPrEx>
        <w:trPr>
          <w:trHeight w:val="1090" w:hRule="atLeast"/>
        </w:trPr>
        <w:tc>
          <w:tcPr>
            <w:tcW w:w="964" w:type="dxa"/>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line="315" w:lineRule="atLeas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w:t>
            </w:r>
          </w:p>
        </w:tc>
        <w:tc>
          <w:tcPr>
            <w:tcW w:w="7781"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hd w:val="clear" w:color="auto" w:fill="FFFFFF"/>
              <w:adjustRightInd w:val="0"/>
              <w:snapToGrid w:val="0"/>
              <w:rPr>
                <w:rFonts w:hint="eastAsia" w:ascii="仿宋_GB2312" w:hAnsi="仿宋_GB2312" w:eastAsia="仿宋_GB2312" w:cs="仿宋_GB2312"/>
                <w:sz w:val="32"/>
                <w:szCs w:val="32"/>
              </w:rPr>
            </w:pPr>
            <w:r>
              <w:rPr>
                <w:rFonts w:hint="eastAsia" w:ascii="仿宋_GB2312" w:hAnsi="仿宋_GB2312" w:eastAsia="仿宋_GB2312" w:cs="仿宋_GB2312"/>
                <w:bCs/>
                <w:color w:val="000000"/>
                <w:kern w:val="0"/>
                <w:sz w:val="32"/>
                <w:szCs w:val="32"/>
                <w:shd w:val="clear" w:color="auto" w:fill="FFFFFF"/>
              </w:rPr>
              <w:t>采购报名、采购调研等采购过程中有任何异议，可联系我院监督科室。电话：83660063-8407；83660063-8467。</w:t>
            </w:r>
          </w:p>
        </w:tc>
      </w:tr>
    </w:tbl>
    <w:p>
      <w:pPr>
        <w:widowControl/>
        <w:shd w:val="clear" w:color="auto" w:fill="FFFFFF"/>
        <w:spacing w:line="336" w:lineRule="auto"/>
        <w:rPr>
          <w:rFonts w:hint="eastAsia" w:ascii="仿宋_GB2312" w:hAnsi="仿宋_GB2312" w:eastAsia="仿宋_GB2312" w:cs="仿宋_GB2312"/>
          <w:bCs/>
          <w:color w:val="000000"/>
          <w:kern w:val="0"/>
          <w:sz w:val="32"/>
          <w:szCs w:val="32"/>
          <w:shd w:val="clear" w:color="auto" w:fill="FFFFFF"/>
        </w:rPr>
      </w:pPr>
    </w:p>
    <w:p>
      <w:pPr>
        <w:widowControl/>
        <w:shd w:val="clear" w:color="auto" w:fill="FFFFFF"/>
        <w:spacing w:line="336" w:lineRule="auto"/>
        <w:rPr>
          <w:rFonts w:hint="eastAsia" w:ascii="仿宋_GB2312" w:hAnsi="仿宋_GB2312" w:eastAsia="仿宋_GB2312" w:cs="仿宋_GB2312"/>
          <w:bCs/>
          <w:color w:val="000000"/>
          <w:kern w:val="0"/>
          <w:sz w:val="32"/>
          <w:szCs w:val="32"/>
          <w:shd w:val="clear" w:color="auto" w:fill="FFFFFF"/>
        </w:rPr>
      </w:pPr>
      <w:r>
        <w:rPr>
          <w:rFonts w:hint="eastAsia" w:ascii="仿宋_GB2312" w:hAnsi="仿宋_GB2312" w:eastAsia="仿宋_GB2312" w:cs="仿宋_GB2312"/>
          <w:bCs/>
          <w:color w:val="000000"/>
          <w:kern w:val="0"/>
          <w:sz w:val="32"/>
          <w:szCs w:val="32"/>
          <w:shd w:val="clear" w:color="auto" w:fill="FFFFFF"/>
        </w:rPr>
        <w:t xml:space="preserve">地　址： 福建省福州市福马路420号 </w:t>
      </w:r>
    </w:p>
    <w:p>
      <w:pPr>
        <w:widowControl/>
        <w:shd w:val="clear" w:color="auto" w:fill="FFFFFF"/>
        <w:spacing w:line="336" w:lineRule="auto"/>
        <w:ind w:left="1260" w:firstLine="420"/>
        <w:rPr>
          <w:rFonts w:hint="eastAsia" w:ascii="仿宋_GB2312" w:hAnsi="仿宋_GB2312" w:eastAsia="仿宋_GB2312" w:cs="仿宋_GB2312"/>
          <w:bCs/>
          <w:sz w:val="32"/>
          <w:szCs w:val="32"/>
        </w:rPr>
      </w:pPr>
      <w:r>
        <w:rPr>
          <w:rFonts w:hint="eastAsia" w:ascii="仿宋_GB2312" w:hAnsi="仿宋_GB2312" w:eastAsia="仿宋_GB2312" w:cs="仿宋_GB2312"/>
          <w:bCs/>
          <w:color w:val="000000"/>
          <w:kern w:val="0"/>
          <w:sz w:val="32"/>
          <w:szCs w:val="32"/>
          <w:shd w:val="clear" w:color="auto" w:fill="FFFFFF"/>
        </w:rPr>
        <w:t>福建省肿瘤医院科研楼四楼网络技术中心</w:t>
      </w:r>
    </w:p>
    <w:p>
      <w:pPr>
        <w:widowControl/>
        <w:shd w:val="clear" w:color="auto" w:fill="FFFFFF"/>
        <w:spacing w:line="440" w:lineRule="atLeast"/>
        <w:rPr>
          <w:rFonts w:hint="eastAsia" w:ascii="仿宋_GB2312" w:hAnsi="仿宋_GB2312" w:eastAsia="仿宋_GB2312" w:cs="仿宋_GB2312"/>
          <w:bCs/>
          <w:sz w:val="32"/>
          <w:szCs w:val="32"/>
        </w:rPr>
      </w:pPr>
      <w:r>
        <w:rPr>
          <w:rFonts w:hint="eastAsia" w:ascii="仿宋_GB2312" w:hAnsi="仿宋_GB2312" w:eastAsia="仿宋_GB2312" w:cs="仿宋_GB2312"/>
          <w:bCs/>
          <w:color w:val="000000"/>
          <w:kern w:val="0"/>
          <w:sz w:val="32"/>
          <w:szCs w:val="32"/>
          <w:shd w:val="clear" w:color="auto" w:fill="FFFFFF"/>
        </w:rPr>
        <w:t>邮　编： 350014　 </w:t>
      </w:r>
    </w:p>
    <w:p>
      <w:pPr>
        <w:widowControl/>
        <w:shd w:val="clear" w:color="auto" w:fill="FFFFFF"/>
        <w:spacing w:line="440" w:lineRule="atLeast"/>
        <w:rPr>
          <w:rFonts w:hint="eastAsia" w:ascii="仿宋_GB2312" w:hAnsi="仿宋_GB2312" w:eastAsia="仿宋_GB2312" w:cs="仿宋_GB2312"/>
          <w:bCs/>
          <w:sz w:val="32"/>
          <w:szCs w:val="32"/>
        </w:rPr>
      </w:pPr>
      <w:r>
        <w:rPr>
          <w:rFonts w:hint="eastAsia" w:ascii="仿宋_GB2312" w:hAnsi="仿宋_GB2312" w:eastAsia="仿宋_GB2312" w:cs="仿宋_GB2312"/>
          <w:bCs/>
          <w:color w:val="000000"/>
          <w:kern w:val="0"/>
          <w:sz w:val="32"/>
          <w:szCs w:val="32"/>
          <w:shd w:val="clear" w:color="auto" w:fill="FFFFFF"/>
        </w:rPr>
        <w:t>报名联系电话： 0591-83660063-8822</w:t>
      </w:r>
    </w:p>
    <w:p>
      <w:pPr>
        <w:widowControl/>
        <w:shd w:val="clear" w:color="auto" w:fill="FFFFFF"/>
        <w:spacing w:line="440" w:lineRule="atLeast"/>
        <w:rPr>
          <w:rFonts w:hint="eastAsia" w:ascii="仿宋_GB2312" w:hAnsi="仿宋_GB2312" w:eastAsia="仿宋_GB2312" w:cs="仿宋_GB2312"/>
          <w:bCs/>
          <w:color w:val="000000"/>
          <w:kern w:val="0"/>
          <w:sz w:val="32"/>
          <w:szCs w:val="32"/>
          <w:shd w:val="clear" w:color="auto" w:fill="FFFFFF"/>
        </w:rPr>
      </w:pPr>
      <w:r>
        <w:rPr>
          <w:rFonts w:hint="eastAsia" w:ascii="仿宋_GB2312" w:hAnsi="仿宋_GB2312" w:eastAsia="仿宋_GB2312" w:cs="仿宋_GB2312"/>
          <w:bCs/>
          <w:color w:val="000000"/>
          <w:kern w:val="0"/>
          <w:sz w:val="32"/>
          <w:szCs w:val="32"/>
          <w:shd w:val="clear" w:color="auto" w:fill="FFFFFF"/>
        </w:rPr>
        <w:t>联系人：</w:t>
      </w:r>
      <w:r>
        <w:rPr>
          <w:rFonts w:hint="eastAsia" w:ascii="仿宋_GB2312" w:hAnsi="仿宋_GB2312" w:eastAsia="仿宋_GB2312" w:cs="仿宋_GB2312"/>
          <w:bCs/>
          <w:color w:val="000000"/>
          <w:kern w:val="0"/>
          <w:sz w:val="32"/>
          <w:szCs w:val="32"/>
          <w:shd w:val="clear" w:color="auto" w:fill="FFFFFF"/>
          <w:lang w:val="en-US" w:eastAsia="zh-CN"/>
        </w:rPr>
        <w:t>钱工</w:t>
      </w:r>
      <w:r>
        <w:rPr>
          <w:rFonts w:hint="eastAsia" w:ascii="仿宋_GB2312" w:hAnsi="仿宋_GB2312" w:eastAsia="仿宋_GB2312" w:cs="仿宋_GB2312"/>
          <w:bCs/>
          <w:color w:val="000000"/>
          <w:kern w:val="0"/>
          <w:sz w:val="32"/>
          <w:szCs w:val="32"/>
          <w:shd w:val="clear" w:color="auto" w:fill="FFFFFF"/>
          <w:lang w:eastAsia="zh-CN"/>
        </w:rPr>
        <w:t>、</w:t>
      </w:r>
      <w:r>
        <w:rPr>
          <w:rFonts w:hint="eastAsia" w:ascii="仿宋_GB2312" w:hAnsi="仿宋_GB2312" w:eastAsia="仿宋_GB2312" w:cs="仿宋_GB2312"/>
          <w:bCs/>
          <w:color w:val="000000"/>
          <w:kern w:val="0"/>
          <w:sz w:val="32"/>
          <w:szCs w:val="32"/>
          <w:shd w:val="clear" w:color="auto" w:fill="FFFFFF"/>
        </w:rPr>
        <w:t>金工</w:t>
      </w:r>
    </w:p>
    <w:p>
      <w:pPr>
        <w:pStyle w:val="13"/>
        <w:rPr>
          <w:rFonts w:hint="eastAsia"/>
        </w:rPr>
      </w:pPr>
      <w:r>
        <w:rPr>
          <w:rFonts w:hint="eastAsia"/>
        </w:rPr>
        <w:br w:type="page"/>
      </w:r>
    </w:p>
    <w:p>
      <w:pPr>
        <w:widowControl/>
        <w:shd w:val="clear" w:color="auto" w:fill="FFFFFF"/>
        <w:adjustRightInd w:val="0"/>
        <w:snapToGrid w:val="0"/>
        <w:ind w:firstLine="420"/>
        <w:jc w:val="center"/>
        <w:rPr>
          <w:rFonts w:hint="eastAsia" w:ascii="黑体" w:hAnsi="黑体" w:eastAsia="黑体"/>
          <w:bCs/>
          <w:color w:val="000000"/>
          <w:kern w:val="0"/>
          <w:sz w:val="32"/>
          <w:szCs w:val="32"/>
          <w:shd w:val="clear" w:color="auto" w:fill="FFFFFF"/>
        </w:rPr>
      </w:pPr>
      <w:r>
        <w:rPr>
          <w:rFonts w:hint="eastAsia" w:ascii="黑体" w:hAnsi="黑体" w:eastAsia="黑体"/>
          <w:bCs/>
          <w:color w:val="000000"/>
          <w:kern w:val="0"/>
          <w:sz w:val="32"/>
          <w:szCs w:val="32"/>
          <w:shd w:val="clear" w:color="auto" w:fill="FFFFFF"/>
        </w:rPr>
        <w:t>第二部分 具体要求</w:t>
      </w:r>
    </w:p>
    <w:p>
      <w:pPr>
        <w:widowControl/>
        <w:shd w:val="clear" w:color="auto" w:fill="FFFFFF"/>
        <w:spacing w:line="440" w:lineRule="atLeast"/>
        <w:rPr>
          <w:rFonts w:hint="eastAsia" w:ascii="仿宋_GB2312" w:hAnsi="仿宋_GB2312" w:eastAsia="仿宋_GB2312" w:cs="仿宋_GB2312"/>
          <w:b/>
          <w:color w:val="000000"/>
          <w:kern w:val="0"/>
          <w:sz w:val="32"/>
          <w:szCs w:val="32"/>
          <w:shd w:val="clear" w:color="auto" w:fill="FFFFFF"/>
        </w:rPr>
      </w:pPr>
      <w:r>
        <w:rPr>
          <w:rFonts w:hint="eastAsia" w:ascii="仿宋_GB2312" w:hAnsi="仿宋_GB2312" w:eastAsia="仿宋_GB2312" w:cs="仿宋_GB2312"/>
          <w:b/>
          <w:color w:val="000000"/>
          <w:kern w:val="0"/>
          <w:sz w:val="32"/>
          <w:szCs w:val="32"/>
          <w:shd w:val="clear" w:color="auto" w:fill="FFFFFF"/>
        </w:rPr>
        <w:t>一、采购内容</w:t>
      </w:r>
    </w:p>
    <w:tbl>
      <w:tblPr>
        <w:tblpPr w:leftFromText="180" w:rightFromText="180" w:vertAnchor="text" w:horzAnchor="page" w:tblpX="2110" w:tblpY="-1747"/>
        <w:tblOverlap w:val="never"/>
        <w:tblW w:w="880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51"/>
        <w:gridCol w:w="3544"/>
        <w:gridCol w:w="1985"/>
        <w:gridCol w:w="202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90" w:hRule="atLeast"/>
        </w:trPr>
        <w:tc>
          <w:tcPr>
            <w:tcW w:w="1251" w:type="dxa"/>
            <w:vAlign w:val="center"/>
          </w:tcPr>
          <w:p>
            <w:pPr>
              <w:widowControl/>
              <w:spacing w:afterLines="50"/>
              <w:jc w:val="center"/>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rPr>
              <w:t>合同包</w:t>
            </w:r>
          </w:p>
        </w:tc>
        <w:tc>
          <w:tcPr>
            <w:tcW w:w="3544" w:type="dxa"/>
            <w:vAlign w:val="center"/>
          </w:tcPr>
          <w:p>
            <w:pPr>
              <w:widowControl/>
              <w:spacing w:afterLines="50"/>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color w:val="000000"/>
                <w:kern w:val="0"/>
                <w:sz w:val="28"/>
                <w:szCs w:val="28"/>
              </w:rPr>
              <w:t>名 称</w:t>
            </w:r>
          </w:p>
        </w:tc>
        <w:tc>
          <w:tcPr>
            <w:tcW w:w="1985" w:type="dxa"/>
            <w:vAlign w:val="center"/>
          </w:tcPr>
          <w:p>
            <w:pPr>
              <w:widowControl/>
              <w:spacing w:afterLines="50"/>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color w:val="000000"/>
                <w:kern w:val="0"/>
                <w:sz w:val="28"/>
                <w:szCs w:val="28"/>
              </w:rPr>
              <w:t>数量</w:t>
            </w:r>
          </w:p>
        </w:tc>
        <w:tc>
          <w:tcPr>
            <w:tcW w:w="2021" w:type="dxa"/>
            <w:vAlign w:val="center"/>
          </w:tcPr>
          <w:p>
            <w:pPr>
              <w:widowControl/>
              <w:spacing w:afterLines="50"/>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color w:val="000000"/>
                <w:kern w:val="0"/>
                <w:sz w:val="28"/>
                <w:szCs w:val="28"/>
              </w:rPr>
              <w:t>预算（万元）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90" w:hRule="atLeast"/>
        </w:trPr>
        <w:tc>
          <w:tcPr>
            <w:tcW w:w="1251" w:type="dxa"/>
            <w:vAlign w:val="center"/>
          </w:tcPr>
          <w:p>
            <w:pPr>
              <w:widowControl/>
              <w:spacing w:afterLines="50"/>
              <w:jc w:val="center"/>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（一）</w:t>
            </w:r>
          </w:p>
        </w:tc>
        <w:tc>
          <w:tcPr>
            <w:tcW w:w="3544" w:type="dxa"/>
            <w:vAlign w:val="center"/>
          </w:tcPr>
          <w:p>
            <w:pPr>
              <w:jc w:val="center"/>
              <w:rPr>
                <w:rFonts w:hint="eastAsia" w:ascii="仿宋_GB2312" w:hAnsi="仿宋_GB2312" w:eastAsia="仿宋_GB2312" w:cs="仿宋_GB2312"/>
                <w:kern w:val="0"/>
                <w:sz w:val="28"/>
                <w:szCs w:val="28"/>
              </w:rPr>
            </w:pPr>
            <w:r>
              <w:rPr>
                <w:rFonts w:hint="eastAsia" w:ascii="仿宋" w:hAnsi="仿宋" w:eastAsia="仿宋" w:cs="仿宋"/>
                <w:bCs/>
                <w:sz w:val="28"/>
                <w:szCs w:val="28"/>
              </w:rPr>
              <w:t>病理质控监控系统项目</w:t>
            </w:r>
          </w:p>
        </w:tc>
        <w:tc>
          <w:tcPr>
            <w:tcW w:w="1985" w:type="dxa"/>
            <w:vAlign w:val="center"/>
          </w:tcPr>
          <w:p>
            <w:pPr>
              <w:autoSpaceDN w:val="0"/>
              <w:jc w:val="center"/>
              <w:textAlignment w:val="center"/>
              <w:rPr>
                <w:rFonts w:hint="eastAsia" w:ascii="仿宋_GB2312" w:hAnsi="仿宋_GB2312" w:eastAsia="仿宋_GB2312" w:cs="仿宋_GB2312"/>
                <w:kern w:val="0"/>
                <w:sz w:val="28"/>
                <w:szCs w:val="28"/>
              </w:rPr>
            </w:pPr>
            <w:r>
              <w:rPr>
                <w:rFonts w:hint="eastAsia" w:ascii="仿宋" w:hAnsi="仿宋" w:eastAsia="仿宋" w:cs="仿宋"/>
                <w:color w:val="000000"/>
                <w:sz w:val="28"/>
                <w:szCs w:val="28"/>
              </w:rPr>
              <w:t>1项</w:t>
            </w:r>
          </w:p>
        </w:tc>
        <w:tc>
          <w:tcPr>
            <w:tcW w:w="2021" w:type="dxa"/>
            <w:vAlign w:val="center"/>
          </w:tcPr>
          <w:p>
            <w:pPr>
              <w:autoSpaceDN w:val="0"/>
              <w:jc w:val="center"/>
              <w:textAlignment w:val="center"/>
              <w:rPr>
                <w:rFonts w:hint="eastAsia" w:ascii="仿宋_GB2312" w:hAnsi="仿宋_GB2312" w:eastAsia="仿宋_GB2312" w:cs="仿宋_GB2312"/>
                <w:kern w:val="0"/>
                <w:sz w:val="28"/>
                <w:szCs w:val="28"/>
              </w:rPr>
            </w:pPr>
            <w:r>
              <w:rPr>
                <w:rFonts w:hint="eastAsia" w:ascii="仿宋" w:hAnsi="仿宋" w:eastAsia="仿宋" w:cs="仿宋"/>
                <w:color w:val="000000"/>
                <w:sz w:val="28"/>
                <w:szCs w:val="28"/>
              </w:rPr>
              <w:t>45</w:t>
            </w:r>
          </w:p>
        </w:tc>
      </w:tr>
    </w:tbl>
    <w:p>
      <w:pPr>
        <w:keepNext/>
        <w:widowControl/>
        <w:shd w:val="clear" w:color="auto" w:fill="FFFFFF"/>
        <w:autoSpaceDE w:val="0"/>
        <w:spacing w:before="120" w:after="120"/>
        <w:rPr>
          <w:rFonts w:hint="eastAsia" w:ascii="仿宋_GB2312" w:hAnsi="仿宋_GB2312" w:eastAsia="仿宋_GB2312" w:cs="仿宋_GB2312"/>
          <w:b/>
          <w:color w:val="000000"/>
          <w:kern w:val="0"/>
          <w:sz w:val="32"/>
          <w:szCs w:val="32"/>
          <w:shd w:val="clear" w:color="auto" w:fill="FFFFFF"/>
        </w:rPr>
      </w:pPr>
      <w:r>
        <w:rPr>
          <w:rFonts w:hint="eastAsia" w:ascii="仿宋_GB2312" w:hAnsi="仿宋_GB2312" w:eastAsia="仿宋_GB2312" w:cs="仿宋_GB2312"/>
          <w:b/>
          <w:color w:val="000000"/>
          <w:kern w:val="0"/>
          <w:sz w:val="32"/>
          <w:szCs w:val="32"/>
          <w:shd w:val="clear" w:color="auto" w:fill="FFFFFF"/>
        </w:rPr>
        <w:t>二、技术功能及服务要求</w:t>
      </w:r>
    </w:p>
    <w:p>
      <w:pPr>
        <w:pStyle w:val="13"/>
        <w:numPr>
          <w:ilvl w:val="0"/>
          <w:numId w:val="0"/>
        </w:numPr>
        <w:rPr>
          <w:rFonts w:hint="eastAsia"/>
        </w:rPr>
      </w:pPr>
      <w:r>
        <w:rPr>
          <w:rFonts w:hint="eastAsia"/>
        </w:rPr>
        <w:t>1、合同包（一）</w:t>
      </w:r>
    </w:p>
    <w:p>
      <w:pPr>
        <w:pStyle w:val="13"/>
        <w:widowControl w:val="0"/>
        <w:numPr>
          <w:ilvl w:val="0"/>
          <w:numId w:val="0"/>
        </w:numPr>
        <w:wordWrap/>
        <w:overflowPunct w:val="0"/>
        <w:autoSpaceDE w:val="0"/>
        <w:autoSpaceDN w:val="0"/>
        <w:adjustRightInd w:val="0"/>
        <w:snapToGrid/>
        <w:spacing w:before="0" w:after="0" w:line="240" w:lineRule="auto"/>
        <w:ind w:left="0" w:leftChars="0" w:right="0" w:firstLine="640" w:firstLineChars="200"/>
        <w:jc w:val="both"/>
        <w:textAlignment w:val="baseline"/>
        <w:outlineLvl w:val="9"/>
        <w:rPr>
          <w:rFonts w:hint="eastAsia"/>
        </w:rPr>
      </w:pPr>
      <w:r>
        <w:rPr>
          <w:rFonts w:hint="eastAsia" w:ascii="仿宋_GB2312" w:eastAsia="仿宋_GB2312"/>
          <w:sz w:val="32"/>
          <w:szCs w:val="32"/>
          <w:lang w:val="en-US" w:eastAsia="zh-CN"/>
        </w:rPr>
        <w:t>医院病理科的工作操作流程繁杂，病理科质控贯穿病理诊断的全流程，精细化、全流程的质控管理是科室实现精准诊断、提高治疗决策水平的重要参考指标。而目前我院病理科在质控方面存在病理核心流程及质控管理缺乏信息化、易出错等问题，无法满足临床要求及各类评审要求</w:t>
      </w:r>
      <w:r>
        <w:rPr>
          <w:rFonts w:hint="eastAsia"/>
          <w:sz w:val="32"/>
          <w:szCs w:val="32"/>
          <w:lang w:val="en-US" w:eastAsia="zh-CN"/>
        </w:rPr>
        <w:t>，故申请该系统。</w:t>
      </w:r>
    </w:p>
    <w:tbl>
      <w:tblPr>
        <w:tblW w:w="8679" w:type="dxa"/>
        <w:jc w:val="center"/>
        <w:tblInd w:w="74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5"/>
        <w:gridCol w:w="1623"/>
        <w:gridCol w:w="6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2" w:hRule="atLeast"/>
          <w:jc w:val="center"/>
        </w:trPr>
        <w:tc>
          <w:tcPr>
            <w:tcW w:w="795" w:type="dxa"/>
            <w:vAlign w:val="top"/>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序号</w:t>
            </w:r>
          </w:p>
        </w:tc>
        <w:tc>
          <w:tcPr>
            <w:tcW w:w="1623" w:type="dxa"/>
            <w:vAlign w:val="top"/>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项目</w:t>
            </w:r>
          </w:p>
        </w:tc>
        <w:tc>
          <w:tcPr>
            <w:tcW w:w="6261" w:type="dxa"/>
            <w:vAlign w:val="top"/>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技术参数要求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2" w:hRule="atLeast"/>
          <w:jc w:val="center"/>
        </w:trPr>
        <w:tc>
          <w:tcPr>
            <w:tcW w:w="795" w:type="dxa"/>
            <w:vAlign w:val="center"/>
          </w:tcPr>
          <w:p>
            <w:pPr>
              <w:pStyle w:val="17"/>
              <w:numPr>
                <w:ilvl w:val="0"/>
                <w:numId w:val="2"/>
              </w:numPr>
              <w:ind w:firstLineChars="0"/>
              <w:jc w:val="center"/>
              <w:rPr>
                <w:rFonts w:hint="eastAsia" w:ascii="仿宋_GB2312" w:hAnsi="仿宋_GB2312" w:eastAsia="仿宋_GB2312" w:cs="仿宋_GB2312"/>
                <w:sz w:val="28"/>
                <w:szCs w:val="28"/>
              </w:rPr>
            </w:pPr>
          </w:p>
        </w:tc>
        <w:tc>
          <w:tcPr>
            <w:tcW w:w="1623" w:type="dxa"/>
            <w:vMerge w:val="restart"/>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病理质控</w:t>
            </w:r>
            <w:r>
              <w:rPr>
                <w:rFonts w:hint="eastAsia" w:ascii="仿宋_GB2312" w:hAnsi="仿宋_GB2312" w:eastAsia="仿宋_GB2312" w:cs="仿宋_GB2312"/>
                <w:sz w:val="28"/>
                <w:szCs w:val="28"/>
                <w:lang w:val="en-US" w:eastAsia="zh-CN"/>
              </w:rPr>
              <w:t>管理</w:t>
            </w:r>
            <w:r>
              <w:rPr>
                <w:rFonts w:hint="eastAsia" w:ascii="仿宋_GB2312" w:hAnsi="仿宋_GB2312" w:eastAsia="仿宋_GB2312" w:cs="仿宋_GB2312"/>
                <w:sz w:val="28"/>
                <w:szCs w:val="28"/>
              </w:rPr>
              <w:t>系统</w:t>
            </w:r>
          </w:p>
        </w:tc>
        <w:tc>
          <w:tcPr>
            <w:tcW w:w="6261" w:type="dxa"/>
            <w:vAlign w:val="top"/>
          </w:tcPr>
          <w:p>
            <w:pPr>
              <w:widowControl w:val="0"/>
              <w:wordWrap/>
              <w:adjustRightInd/>
              <w:snapToGrid/>
              <w:spacing w:before="0" w:after="0" w:line="400" w:lineRule="exact"/>
              <w:ind w:left="0" w:leftChars="0" w:right="0" w:firstLine="0" w:firstLineChars="0"/>
              <w:jc w:val="left"/>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支持2024版病理专业医疗质量控制指标数据统计管理。支持不同质控指标分类管理</w:t>
            </w:r>
            <w:r>
              <w:rPr>
                <w:rFonts w:hint="eastAsia" w:ascii="仿宋_GB2312" w:hAnsi="仿宋_GB2312" w:eastAsia="仿宋_GB2312" w:cs="仿宋_GB2312"/>
                <w:sz w:val="28"/>
                <w:szCs w:val="28"/>
                <w:lang w:eastAsia="zh-CN"/>
              </w:rPr>
              <w:t>，支持</w:t>
            </w:r>
            <w:r>
              <w:rPr>
                <w:rFonts w:hint="eastAsia" w:ascii="仿宋_GB2312" w:hAnsi="仿宋_GB2312" w:eastAsia="仿宋_GB2312" w:cs="仿宋_GB2312"/>
                <w:sz w:val="28"/>
                <w:szCs w:val="28"/>
              </w:rPr>
              <w:t>快速查找对应的质控统计功能，数据统计时支持数据与分析图表同框展示</w:t>
            </w:r>
            <w:r>
              <w:rPr>
                <w:rFonts w:hint="eastAsia" w:ascii="仿宋_GB2312" w:hAnsi="仿宋_GB2312" w:eastAsia="仿宋_GB2312" w:cs="仿宋_GB2312"/>
                <w:sz w:val="28"/>
                <w:szCs w:val="2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2" w:hRule="atLeast"/>
          <w:jc w:val="center"/>
        </w:trPr>
        <w:tc>
          <w:tcPr>
            <w:tcW w:w="795" w:type="dxa"/>
            <w:vAlign w:val="center"/>
          </w:tcPr>
          <w:p>
            <w:pPr>
              <w:pStyle w:val="17"/>
              <w:numPr>
                <w:ilvl w:val="0"/>
                <w:numId w:val="2"/>
              </w:numPr>
              <w:ind w:firstLineChars="0"/>
              <w:jc w:val="center"/>
              <w:rPr>
                <w:rFonts w:hint="eastAsia" w:ascii="仿宋_GB2312" w:hAnsi="仿宋_GB2312" w:eastAsia="仿宋_GB2312" w:cs="仿宋_GB2312"/>
                <w:sz w:val="28"/>
                <w:szCs w:val="28"/>
              </w:rPr>
            </w:pPr>
          </w:p>
        </w:tc>
        <w:tc>
          <w:tcPr>
            <w:tcW w:w="1623" w:type="dxa"/>
            <w:vMerge w:val="continue"/>
            <w:vAlign w:val="top"/>
          </w:tcPr>
          <w:p>
            <w:pPr>
              <w:jc w:val="center"/>
              <w:rPr>
                <w:rFonts w:hint="eastAsia" w:ascii="仿宋_GB2312" w:hAnsi="仿宋_GB2312" w:eastAsia="仿宋_GB2312" w:cs="仿宋_GB2312"/>
                <w:sz w:val="28"/>
                <w:szCs w:val="28"/>
              </w:rPr>
            </w:pPr>
          </w:p>
        </w:tc>
        <w:tc>
          <w:tcPr>
            <w:tcW w:w="6261" w:type="dxa"/>
            <w:vAlign w:val="top"/>
          </w:tcPr>
          <w:p>
            <w:pPr>
              <w:widowControl w:val="0"/>
              <w:wordWrap/>
              <w:adjustRightInd/>
              <w:snapToGrid/>
              <w:spacing w:before="0" w:after="0" w:line="400" w:lineRule="exact"/>
              <w:ind w:left="0" w:leftChars="0" w:right="0" w:firstLine="0" w:firstLineChars="0"/>
              <w:jc w:val="left"/>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支持送检评价管理，记录送检不合格原因，并提供不合格情况统计，支持自定义字段显示管理、自定义关注信息醒目提醒；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2" w:hRule="atLeast"/>
          <w:jc w:val="center"/>
        </w:trPr>
        <w:tc>
          <w:tcPr>
            <w:tcW w:w="795" w:type="dxa"/>
            <w:vAlign w:val="center"/>
          </w:tcPr>
          <w:p>
            <w:pPr>
              <w:pStyle w:val="17"/>
              <w:numPr>
                <w:ilvl w:val="0"/>
                <w:numId w:val="2"/>
              </w:numPr>
              <w:ind w:firstLineChars="0"/>
              <w:jc w:val="center"/>
              <w:rPr>
                <w:rFonts w:hint="eastAsia" w:ascii="仿宋_GB2312" w:hAnsi="仿宋_GB2312" w:eastAsia="仿宋_GB2312" w:cs="仿宋_GB2312"/>
                <w:sz w:val="28"/>
                <w:szCs w:val="28"/>
              </w:rPr>
            </w:pPr>
          </w:p>
        </w:tc>
        <w:tc>
          <w:tcPr>
            <w:tcW w:w="1623" w:type="dxa"/>
            <w:vMerge w:val="continue"/>
            <w:vAlign w:val="top"/>
          </w:tcPr>
          <w:p>
            <w:pPr>
              <w:jc w:val="center"/>
              <w:rPr>
                <w:rFonts w:hint="eastAsia" w:ascii="仿宋_GB2312" w:hAnsi="仿宋_GB2312" w:eastAsia="仿宋_GB2312" w:cs="仿宋_GB2312"/>
                <w:sz w:val="28"/>
                <w:szCs w:val="28"/>
              </w:rPr>
            </w:pPr>
          </w:p>
        </w:tc>
        <w:tc>
          <w:tcPr>
            <w:tcW w:w="6261" w:type="dxa"/>
            <w:vAlign w:val="top"/>
          </w:tcPr>
          <w:p>
            <w:pPr>
              <w:widowControl w:val="0"/>
              <w:wordWrap/>
              <w:adjustRightInd/>
              <w:snapToGrid/>
              <w:spacing w:before="0" w:after="0" w:line="400" w:lineRule="exact"/>
              <w:ind w:left="0" w:leftChars="0" w:right="0" w:firstLine="0" w:firstLineChars="0"/>
              <w:jc w:val="left"/>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以大屏可视化的形式，通过业务质控数据统计、趋势分析、监控预警等手段，将病理科数据图形化、集中化展示；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2" w:hRule="atLeast"/>
          <w:jc w:val="center"/>
        </w:trPr>
        <w:tc>
          <w:tcPr>
            <w:tcW w:w="795" w:type="dxa"/>
            <w:vAlign w:val="center"/>
          </w:tcPr>
          <w:p>
            <w:pPr>
              <w:pStyle w:val="17"/>
              <w:numPr>
                <w:ilvl w:val="0"/>
                <w:numId w:val="2"/>
              </w:numPr>
              <w:ind w:firstLineChars="0"/>
              <w:jc w:val="center"/>
              <w:rPr>
                <w:rFonts w:hint="eastAsia" w:ascii="仿宋_GB2312" w:hAnsi="仿宋_GB2312" w:eastAsia="仿宋_GB2312" w:cs="仿宋_GB2312"/>
                <w:sz w:val="28"/>
                <w:szCs w:val="28"/>
              </w:rPr>
            </w:pPr>
          </w:p>
        </w:tc>
        <w:tc>
          <w:tcPr>
            <w:tcW w:w="1623" w:type="dxa"/>
            <w:vMerge w:val="continue"/>
            <w:vAlign w:val="top"/>
          </w:tcPr>
          <w:p>
            <w:pPr>
              <w:jc w:val="center"/>
              <w:rPr>
                <w:rFonts w:hint="eastAsia" w:ascii="仿宋_GB2312" w:hAnsi="仿宋_GB2312" w:eastAsia="仿宋_GB2312" w:cs="仿宋_GB2312"/>
                <w:sz w:val="28"/>
                <w:szCs w:val="28"/>
              </w:rPr>
            </w:pPr>
          </w:p>
        </w:tc>
        <w:tc>
          <w:tcPr>
            <w:tcW w:w="6261" w:type="dxa"/>
            <w:vAlign w:val="top"/>
          </w:tcPr>
          <w:p>
            <w:pPr>
              <w:widowControl w:val="0"/>
              <w:wordWrap/>
              <w:adjustRightInd/>
              <w:snapToGrid/>
              <w:spacing w:before="0" w:after="0" w:line="400" w:lineRule="exact"/>
              <w:ind w:left="0" w:leftChars="0" w:right="0" w:firstLine="0" w:firstLineChars="0"/>
              <w:jc w:val="left"/>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病理质控分析及展示：冰冻切片优良率、HE染色切片优良率、免疫组化染色切片优良率</w:t>
            </w:r>
            <w:r>
              <w:rPr>
                <w:rFonts w:hint="eastAsia" w:ascii="仿宋_GB2312" w:hAnsi="仿宋_GB2312" w:eastAsia="仿宋_GB2312" w:cs="仿宋_GB2312"/>
                <w:sz w:val="28"/>
                <w:szCs w:val="28"/>
                <w:lang w:eastAsia="zh-CN"/>
              </w:rPr>
              <w:t>等</w:t>
            </w:r>
            <w:r>
              <w:rPr>
                <w:rFonts w:hint="eastAsia" w:ascii="仿宋_GB2312" w:hAnsi="仿宋_GB2312" w:eastAsia="仿宋_GB2312" w:cs="仿宋_GB2312"/>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2" w:hRule="atLeast"/>
          <w:jc w:val="center"/>
        </w:trPr>
        <w:tc>
          <w:tcPr>
            <w:tcW w:w="795" w:type="dxa"/>
            <w:vAlign w:val="center"/>
          </w:tcPr>
          <w:p>
            <w:pPr>
              <w:pStyle w:val="17"/>
              <w:numPr>
                <w:ilvl w:val="0"/>
                <w:numId w:val="2"/>
              </w:numPr>
              <w:ind w:firstLineChars="0"/>
              <w:jc w:val="center"/>
              <w:rPr>
                <w:rFonts w:hint="eastAsia" w:ascii="仿宋_GB2312" w:hAnsi="仿宋_GB2312" w:eastAsia="仿宋_GB2312" w:cs="仿宋_GB2312"/>
                <w:sz w:val="28"/>
                <w:szCs w:val="28"/>
              </w:rPr>
            </w:pPr>
          </w:p>
        </w:tc>
        <w:tc>
          <w:tcPr>
            <w:tcW w:w="1623" w:type="dxa"/>
            <w:vMerge w:val="continue"/>
            <w:vAlign w:val="top"/>
          </w:tcPr>
          <w:p>
            <w:pPr>
              <w:jc w:val="center"/>
              <w:rPr>
                <w:rFonts w:hint="eastAsia" w:ascii="仿宋_GB2312" w:hAnsi="仿宋_GB2312" w:eastAsia="仿宋_GB2312" w:cs="仿宋_GB2312"/>
                <w:sz w:val="28"/>
                <w:szCs w:val="28"/>
              </w:rPr>
            </w:pPr>
          </w:p>
        </w:tc>
        <w:tc>
          <w:tcPr>
            <w:tcW w:w="6261" w:type="dxa"/>
            <w:vAlign w:val="top"/>
          </w:tcPr>
          <w:p>
            <w:pPr>
              <w:widowControl w:val="0"/>
              <w:wordWrap/>
              <w:adjustRightInd/>
              <w:snapToGrid/>
              <w:spacing w:before="0" w:after="0" w:line="400" w:lineRule="exact"/>
              <w:ind w:left="0" w:leftChars="0" w:right="0" w:firstLine="0" w:firstLineChars="0"/>
              <w:jc w:val="left"/>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支持常规与免疫组化切片分类评价管理功能；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2" w:hRule="atLeast"/>
          <w:jc w:val="center"/>
        </w:trPr>
        <w:tc>
          <w:tcPr>
            <w:tcW w:w="795" w:type="dxa"/>
            <w:vAlign w:val="center"/>
          </w:tcPr>
          <w:p>
            <w:pPr>
              <w:pStyle w:val="17"/>
              <w:numPr>
                <w:ilvl w:val="0"/>
                <w:numId w:val="2"/>
              </w:numPr>
              <w:ind w:firstLineChars="0"/>
              <w:jc w:val="center"/>
              <w:rPr>
                <w:rFonts w:hint="eastAsia" w:ascii="仿宋_GB2312" w:hAnsi="仿宋_GB2312" w:eastAsia="仿宋_GB2312" w:cs="仿宋_GB2312"/>
                <w:sz w:val="28"/>
                <w:szCs w:val="28"/>
              </w:rPr>
            </w:pPr>
          </w:p>
        </w:tc>
        <w:tc>
          <w:tcPr>
            <w:tcW w:w="1623" w:type="dxa"/>
            <w:vMerge w:val="continue"/>
            <w:vAlign w:val="top"/>
          </w:tcPr>
          <w:p>
            <w:pPr>
              <w:jc w:val="center"/>
              <w:rPr>
                <w:rFonts w:hint="eastAsia" w:ascii="仿宋_GB2312" w:hAnsi="仿宋_GB2312" w:eastAsia="仿宋_GB2312" w:cs="仿宋_GB2312"/>
                <w:sz w:val="28"/>
                <w:szCs w:val="28"/>
              </w:rPr>
            </w:pPr>
          </w:p>
        </w:tc>
        <w:tc>
          <w:tcPr>
            <w:tcW w:w="6261" w:type="dxa"/>
            <w:vAlign w:val="top"/>
          </w:tcPr>
          <w:p>
            <w:pPr>
              <w:widowControl w:val="0"/>
              <w:wordWrap/>
              <w:adjustRightInd/>
              <w:snapToGrid/>
              <w:spacing w:before="0" w:after="0" w:line="400" w:lineRule="exact"/>
              <w:ind w:left="0" w:leftChars="0" w:right="0" w:firstLine="0" w:firstLineChars="0"/>
              <w:jc w:val="left"/>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支持病例质控分区管理，方便用户集中进行病例质控管理；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2" w:hRule="atLeast"/>
          <w:jc w:val="center"/>
        </w:trPr>
        <w:tc>
          <w:tcPr>
            <w:tcW w:w="795" w:type="dxa"/>
            <w:vAlign w:val="center"/>
          </w:tcPr>
          <w:p>
            <w:pPr>
              <w:pStyle w:val="17"/>
              <w:numPr>
                <w:ilvl w:val="0"/>
                <w:numId w:val="2"/>
              </w:numPr>
              <w:ind w:firstLineChars="0"/>
              <w:jc w:val="center"/>
              <w:rPr>
                <w:rFonts w:hint="eastAsia" w:ascii="仿宋_GB2312" w:hAnsi="仿宋_GB2312" w:eastAsia="仿宋_GB2312" w:cs="仿宋_GB2312"/>
                <w:sz w:val="28"/>
                <w:szCs w:val="28"/>
              </w:rPr>
            </w:pPr>
          </w:p>
        </w:tc>
        <w:tc>
          <w:tcPr>
            <w:tcW w:w="1623" w:type="dxa"/>
            <w:vMerge w:val="continue"/>
            <w:vAlign w:val="top"/>
          </w:tcPr>
          <w:p>
            <w:pPr>
              <w:jc w:val="center"/>
              <w:rPr>
                <w:rFonts w:hint="eastAsia" w:ascii="仿宋_GB2312" w:hAnsi="仿宋_GB2312" w:eastAsia="仿宋_GB2312" w:cs="仿宋_GB2312"/>
                <w:sz w:val="28"/>
                <w:szCs w:val="28"/>
              </w:rPr>
            </w:pPr>
          </w:p>
        </w:tc>
        <w:tc>
          <w:tcPr>
            <w:tcW w:w="6261" w:type="dxa"/>
            <w:vAlign w:val="top"/>
          </w:tcPr>
          <w:p>
            <w:pPr>
              <w:widowControl w:val="0"/>
              <w:wordWrap/>
              <w:adjustRightInd/>
              <w:snapToGrid/>
              <w:spacing w:before="0" w:after="0" w:line="400" w:lineRule="exact"/>
              <w:ind w:left="0" w:leftChars="0" w:right="0" w:firstLine="0" w:firstLineChars="0"/>
              <w:jc w:val="left"/>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支持多条件组合及结构化数据精细化查询，提供最近查询记录及便捷反查功能；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2" w:hRule="atLeast"/>
          <w:jc w:val="center"/>
        </w:trPr>
        <w:tc>
          <w:tcPr>
            <w:tcW w:w="795" w:type="dxa"/>
            <w:vAlign w:val="center"/>
          </w:tcPr>
          <w:p>
            <w:pPr>
              <w:pStyle w:val="17"/>
              <w:numPr>
                <w:ilvl w:val="0"/>
                <w:numId w:val="2"/>
              </w:numPr>
              <w:ind w:firstLineChars="0"/>
              <w:jc w:val="center"/>
              <w:rPr>
                <w:rFonts w:hint="eastAsia" w:ascii="仿宋_GB2312" w:hAnsi="仿宋_GB2312" w:eastAsia="仿宋_GB2312" w:cs="仿宋_GB2312"/>
                <w:sz w:val="28"/>
                <w:szCs w:val="28"/>
              </w:rPr>
            </w:pPr>
          </w:p>
        </w:tc>
        <w:tc>
          <w:tcPr>
            <w:tcW w:w="1623" w:type="dxa"/>
            <w:vMerge w:val="continue"/>
            <w:vAlign w:val="top"/>
          </w:tcPr>
          <w:p>
            <w:pPr>
              <w:jc w:val="center"/>
              <w:rPr>
                <w:rFonts w:hint="eastAsia" w:ascii="仿宋_GB2312" w:hAnsi="仿宋_GB2312" w:eastAsia="仿宋_GB2312" w:cs="仿宋_GB2312"/>
                <w:sz w:val="28"/>
                <w:szCs w:val="28"/>
              </w:rPr>
            </w:pPr>
          </w:p>
        </w:tc>
        <w:tc>
          <w:tcPr>
            <w:tcW w:w="6261" w:type="dxa"/>
            <w:vAlign w:val="top"/>
          </w:tcPr>
          <w:p>
            <w:pPr>
              <w:widowControl w:val="0"/>
              <w:wordWrap/>
              <w:adjustRightInd/>
              <w:snapToGrid/>
              <w:spacing w:before="0" w:after="0" w:line="400" w:lineRule="exact"/>
              <w:ind w:left="0" w:leftChars="0" w:right="0" w:firstLine="0" w:firstLineChars="0"/>
              <w:jc w:val="left"/>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具备数据查询安全性质控管理，可设定多院区查询权限管理；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2" w:hRule="atLeast"/>
          <w:jc w:val="center"/>
        </w:trPr>
        <w:tc>
          <w:tcPr>
            <w:tcW w:w="795" w:type="dxa"/>
            <w:vAlign w:val="center"/>
          </w:tcPr>
          <w:p>
            <w:pPr>
              <w:pStyle w:val="17"/>
              <w:numPr>
                <w:ilvl w:val="0"/>
                <w:numId w:val="2"/>
              </w:numPr>
              <w:ind w:firstLineChars="0"/>
              <w:jc w:val="center"/>
              <w:rPr>
                <w:rFonts w:hint="eastAsia" w:ascii="仿宋_GB2312" w:hAnsi="仿宋_GB2312" w:eastAsia="仿宋_GB2312" w:cs="仿宋_GB2312"/>
                <w:sz w:val="28"/>
                <w:szCs w:val="28"/>
              </w:rPr>
            </w:pPr>
          </w:p>
        </w:tc>
        <w:tc>
          <w:tcPr>
            <w:tcW w:w="1623" w:type="dxa"/>
            <w:vMerge w:val="continue"/>
            <w:vAlign w:val="top"/>
          </w:tcPr>
          <w:p>
            <w:pPr>
              <w:jc w:val="center"/>
              <w:rPr>
                <w:rFonts w:hint="eastAsia" w:ascii="仿宋_GB2312" w:hAnsi="仿宋_GB2312" w:eastAsia="仿宋_GB2312" w:cs="仿宋_GB2312"/>
                <w:sz w:val="28"/>
                <w:szCs w:val="28"/>
              </w:rPr>
            </w:pPr>
          </w:p>
        </w:tc>
        <w:tc>
          <w:tcPr>
            <w:tcW w:w="6261" w:type="dxa"/>
            <w:vAlign w:val="top"/>
          </w:tcPr>
          <w:p>
            <w:pPr>
              <w:widowControl w:val="0"/>
              <w:wordWrap/>
              <w:adjustRightInd/>
              <w:snapToGrid/>
              <w:spacing w:before="0" w:after="0" w:line="400" w:lineRule="exact"/>
              <w:ind w:left="0" w:leftChars="0" w:right="0" w:firstLine="0" w:firstLineChars="0"/>
              <w:jc w:val="left"/>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支持不同人员查询权限管理、查询数据导出管理等功能；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2" w:hRule="atLeast"/>
          <w:jc w:val="center"/>
        </w:trPr>
        <w:tc>
          <w:tcPr>
            <w:tcW w:w="795" w:type="dxa"/>
            <w:vAlign w:val="center"/>
          </w:tcPr>
          <w:p>
            <w:pPr>
              <w:pStyle w:val="17"/>
              <w:numPr>
                <w:ilvl w:val="0"/>
                <w:numId w:val="2"/>
              </w:numPr>
              <w:ind w:firstLineChars="0"/>
              <w:jc w:val="center"/>
              <w:rPr>
                <w:rFonts w:hint="eastAsia" w:ascii="仿宋_GB2312" w:hAnsi="仿宋_GB2312" w:eastAsia="仿宋_GB2312" w:cs="仿宋_GB2312"/>
                <w:sz w:val="28"/>
                <w:szCs w:val="28"/>
              </w:rPr>
            </w:pPr>
          </w:p>
        </w:tc>
        <w:tc>
          <w:tcPr>
            <w:tcW w:w="1623" w:type="dxa"/>
            <w:vMerge w:val="continue"/>
            <w:vAlign w:val="top"/>
          </w:tcPr>
          <w:p>
            <w:pPr>
              <w:jc w:val="center"/>
              <w:rPr>
                <w:rFonts w:hint="eastAsia" w:ascii="仿宋_GB2312" w:hAnsi="仿宋_GB2312" w:eastAsia="仿宋_GB2312" w:cs="仿宋_GB2312"/>
                <w:sz w:val="28"/>
                <w:szCs w:val="28"/>
              </w:rPr>
            </w:pPr>
          </w:p>
        </w:tc>
        <w:tc>
          <w:tcPr>
            <w:tcW w:w="6261" w:type="dxa"/>
            <w:vAlign w:val="top"/>
          </w:tcPr>
          <w:p>
            <w:pPr>
              <w:widowControl w:val="0"/>
              <w:wordWrap/>
              <w:adjustRightInd/>
              <w:snapToGrid/>
              <w:spacing w:before="0" w:after="0" w:line="400" w:lineRule="exact"/>
              <w:ind w:left="0" w:leftChars="0" w:right="0" w:firstLine="0" w:firstLineChars="0"/>
              <w:jc w:val="left"/>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支持对复片意见进行评价处理，统计复片数和复片符合率；可控制报告审核前必须输入复片评价结果；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2" w:hRule="atLeast"/>
          <w:jc w:val="center"/>
        </w:trPr>
        <w:tc>
          <w:tcPr>
            <w:tcW w:w="795" w:type="dxa"/>
            <w:vAlign w:val="center"/>
          </w:tcPr>
          <w:p>
            <w:pPr>
              <w:pStyle w:val="17"/>
              <w:numPr>
                <w:ilvl w:val="0"/>
                <w:numId w:val="2"/>
              </w:numPr>
              <w:ind w:firstLineChars="0"/>
              <w:jc w:val="center"/>
              <w:rPr>
                <w:rFonts w:hint="eastAsia" w:ascii="仿宋_GB2312" w:hAnsi="仿宋_GB2312" w:eastAsia="仿宋_GB2312" w:cs="仿宋_GB2312"/>
                <w:sz w:val="28"/>
                <w:szCs w:val="28"/>
              </w:rPr>
            </w:pPr>
          </w:p>
        </w:tc>
        <w:tc>
          <w:tcPr>
            <w:tcW w:w="1623" w:type="dxa"/>
            <w:vMerge w:val="continue"/>
            <w:vAlign w:val="top"/>
          </w:tcPr>
          <w:p>
            <w:pPr>
              <w:jc w:val="center"/>
              <w:rPr>
                <w:rFonts w:hint="eastAsia" w:ascii="仿宋_GB2312" w:hAnsi="仿宋_GB2312" w:eastAsia="仿宋_GB2312" w:cs="仿宋_GB2312"/>
                <w:sz w:val="28"/>
                <w:szCs w:val="28"/>
              </w:rPr>
            </w:pPr>
          </w:p>
        </w:tc>
        <w:tc>
          <w:tcPr>
            <w:tcW w:w="6261" w:type="dxa"/>
            <w:vAlign w:val="top"/>
          </w:tcPr>
          <w:p>
            <w:pPr>
              <w:widowControl w:val="0"/>
              <w:wordWrap/>
              <w:adjustRightInd/>
              <w:snapToGrid/>
              <w:spacing w:before="0" w:after="0" w:line="400" w:lineRule="exact"/>
              <w:ind w:left="0" w:leftChars="0" w:right="0" w:firstLine="0" w:firstLineChars="0"/>
              <w:jc w:val="left"/>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支持肉眼所见及取材明细针对标本的追踪管理；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2" w:hRule="atLeast"/>
          <w:jc w:val="center"/>
        </w:trPr>
        <w:tc>
          <w:tcPr>
            <w:tcW w:w="795" w:type="dxa"/>
            <w:vAlign w:val="center"/>
          </w:tcPr>
          <w:p>
            <w:pPr>
              <w:pStyle w:val="17"/>
              <w:numPr>
                <w:ilvl w:val="0"/>
                <w:numId w:val="2"/>
              </w:numPr>
              <w:ind w:firstLineChars="0"/>
              <w:jc w:val="center"/>
              <w:rPr>
                <w:rFonts w:hint="eastAsia" w:ascii="仿宋_GB2312" w:hAnsi="仿宋_GB2312" w:eastAsia="仿宋_GB2312" w:cs="仿宋_GB2312"/>
                <w:sz w:val="28"/>
                <w:szCs w:val="28"/>
              </w:rPr>
            </w:pPr>
          </w:p>
        </w:tc>
        <w:tc>
          <w:tcPr>
            <w:tcW w:w="1623" w:type="dxa"/>
            <w:vMerge w:val="continue"/>
            <w:vAlign w:val="top"/>
          </w:tcPr>
          <w:p>
            <w:pPr>
              <w:jc w:val="center"/>
              <w:rPr>
                <w:rFonts w:hint="eastAsia" w:ascii="仿宋_GB2312" w:hAnsi="仿宋_GB2312" w:eastAsia="仿宋_GB2312" w:cs="仿宋_GB2312"/>
                <w:sz w:val="28"/>
                <w:szCs w:val="28"/>
              </w:rPr>
            </w:pPr>
          </w:p>
        </w:tc>
        <w:tc>
          <w:tcPr>
            <w:tcW w:w="6261" w:type="dxa"/>
            <w:vAlign w:val="top"/>
          </w:tcPr>
          <w:p>
            <w:pPr>
              <w:widowControl w:val="0"/>
              <w:wordWrap/>
              <w:adjustRightInd/>
              <w:snapToGrid/>
              <w:spacing w:before="0" w:after="0" w:line="400" w:lineRule="exact"/>
              <w:ind w:left="0" w:leftChars="0" w:right="0" w:firstLine="0" w:firstLineChars="0"/>
              <w:jc w:val="left"/>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支持同一病理号下的常规报告、补充报告、冰冻报告的单独管理模式，可记录缓发原因，并根据缓发原因自动延长报告到期日期；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2" w:hRule="atLeast"/>
          <w:jc w:val="center"/>
        </w:trPr>
        <w:tc>
          <w:tcPr>
            <w:tcW w:w="795" w:type="dxa"/>
            <w:vAlign w:val="center"/>
          </w:tcPr>
          <w:p>
            <w:pPr>
              <w:pStyle w:val="17"/>
              <w:numPr>
                <w:ilvl w:val="0"/>
                <w:numId w:val="2"/>
              </w:numPr>
              <w:ind w:firstLineChars="0"/>
              <w:jc w:val="center"/>
              <w:rPr>
                <w:rFonts w:hint="eastAsia" w:ascii="仿宋_GB2312" w:hAnsi="仿宋_GB2312" w:eastAsia="仿宋_GB2312" w:cs="仿宋_GB2312"/>
                <w:sz w:val="28"/>
                <w:szCs w:val="28"/>
              </w:rPr>
            </w:pPr>
          </w:p>
        </w:tc>
        <w:tc>
          <w:tcPr>
            <w:tcW w:w="1623" w:type="dxa"/>
            <w:vMerge w:val="continue"/>
            <w:vAlign w:val="top"/>
          </w:tcPr>
          <w:p>
            <w:pPr>
              <w:jc w:val="center"/>
              <w:rPr>
                <w:rFonts w:hint="eastAsia" w:ascii="仿宋_GB2312" w:hAnsi="仿宋_GB2312" w:eastAsia="仿宋_GB2312" w:cs="仿宋_GB2312"/>
                <w:sz w:val="28"/>
                <w:szCs w:val="28"/>
              </w:rPr>
            </w:pPr>
          </w:p>
        </w:tc>
        <w:tc>
          <w:tcPr>
            <w:tcW w:w="6261" w:type="dxa"/>
            <w:vAlign w:val="top"/>
          </w:tcPr>
          <w:p>
            <w:pPr>
              <w:widowControl w:val="0"/>
              <w:wordWrap/>
              <w:adjustRightInd/>
              <w:snapToGrid/>
              <w:spacing w:before="0" w:after="0" w:line="400" w:lineRule="exact"/>
              <w:ind w:left="0" w:leftChars="0" w:right="0" w:firstLine="0" w:firstLineChars="0"/>
              <w:jc w:val="left"/>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需与科室现有病理系统的业务数据对接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2" w:hRule="atLeast"/>
          <w:jc w:val="center"/>
        </w:trPr>
        <w:tc>
          <w:tcPr>
            <w:tcW w:w="795" w:type="dxa"/>
            <w:vAlign w:val="center"/>
          </w:tcPr>
          <w:p>
            <w:pPr>
              <w:pStyle w:val="17"/>
              <w:numPr>
                <w:ilvl w:val="0"/>
                <w:numId w:val="2"/>
              </w:numPr>
              <w:ind w:firstLineChars="0"/>
              <w:jc w:val="center"/>
              <w:rPr>
                <w:rFonts w:hint="eastAsia" w:ascii="仿宋_GB2312" w:hAnsi="仿宋_GB2312" w:eastAsia="仿宋_GB2312" w:cs="仿宋_GB2312"/>
                <w:sz w:val="28"/>
                <w:szCs w:val="28"/>
              </w:rPr>
            </w:pPr>
          </w:p>
        </w:tc>
        <w:tc>
          <w:tcPr>
            <w:tcW w:w="1623" w:type="dxa"/>
            <w:vMerge w:val="restart"/>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病理</w:t>
            </w:r>
            <w:r>
              <w:rPr>
                <w:rFonts w:hint="eastAsia" w:ascii="仿宋_GB2312" w:hAnsi="仿宋_GB2312" w:eastAsia="仿宋_GB2312" w:cs="仿宋_GB2312"/>
                <w:sz w:val="28"/>
                <w:szCs w:val="28"/>
                <w:lang w:val="en-US" w:eastAsia="zh-CN"/>
              </w:rPr>
              <w:t>质控</w:t>
            </w:r>
            <w:r>
              <w:rPr>
                <w:rFonts w:hint="eastAsia" w:ascii="仿宋_GB2312" w:hAnsi="仿宋_GB2312" w:eastAsia="仿宋_GB2312" w:cs="仿宋_GB2312"/>
                <w:sz w:val="28"/>
                <w:szCs w:val="28"/>
              </w:rPr>
              <w:t>耗材</w:t>
            </w:r>
            <w:r>
              <w:rPr>
                <w:rFonts w:hint="eastAsia" w:ascii="仿宋_GB2312" w:hAnsi="仿宋_GB2312" w:eastAsia="仿宋_GB2312" w:cs="仿宋_GB2312"/>
                <w:sz w:val="28"/>
                <w:szCs w:val="28"/>
                <w:lang w:val="en-US" w:eastAsia="zh-CN"/>
              </w:rPr>
              <w:t>管理</w:t>
            </w:r>
          </w:p>
        </w:tc>
        <w:tc>
          <w:tcPr>
            <w:tcW w:w="6261" w:type="dxa"/>
            <w:vAlign w:val="center"/>
          </w:tcPr>
          <w:p>
            <w:pPr>
              <w:widowControl w:val="0"/>
              <w:wordWrap/>
              <w:adjustRightInd/>
              <w:snapToGrid/>
              <w:spacing w:before="0" w:after="0" w:line="400" w:lineRule="exact"/>
              <w:ind w:left="0" w:leftChars="0" w:right="0" w:firstLine="0" w:firstLineChars="0"/>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支持提供首页管理，直观展示预警信息、库存提醒、到期提醒、今日出库等信息，支持弹框提醒；支持专业组查询、导出功能；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2" w:hRule="atLeast"/>
          <w:jc w:val="center"/>
        </w:trPr>
        <w:tc>
          <w:tcPr>
            <w:tcW w:w="795" w:type="dxa"/>
            <w:vAlign w:val="center"/>
          </w:tcPr>
          <w:p>
            <w:pPr>
              <w:pStyle w:val="17"/>
              <w:numPr>
                <w:ilvl w:val="0"/>
                <w:numId w:val="2"/>
              </w:numPr>
              <w:ind w:firstLineChars="0"/>
              <w:jc w:val="center"/>
              <w:rPr>
                <w:rFonts w:hint="eastAsia" w:ascii="仿宋_GB2312" w:hAnsi="仿宋_GB2312" w:eastAsia="仿宋_GB2312" w:cs="仿宋_GB2312"/>
                <w:sz w:val="28"/>
                <w:szCs w:val="28"/>
              </w:rPr>
            </w:pPr>
          </w:p>
        </w:tc>
        <w:tc>
          <w:tcPr>
            <w:tcW w:w="1623" w:type="dxa"/>
            <w:vMerge w:val="continue"/>
            <w:vAlign w:val="top"/>
          </w:tcPr>
          <w:p>
            <w:pPr>
              <w:jc w:val="center"/>
              <w:rPr>
                <w:rFonts w:hint="eastAsia" w:ascii="仿宋_GB2312" w:hAnsi="仿宋_GB2312" w:eastAsia="仿宋_GB2312" w:cs="仿宋_GB2312"/>
                <w:sz w:val="28"/>
                <w:szCs w:val="28"/>
              </w:rPr>
            </w:pPr>
          </w:p>
        </w:tc>
        <w:tc>
          <w:tcPr>
            <w:tcW w:w="6261" w:type="dxa"/>
            <w:vAlign w:val="center"/>
          </w:tcPr>
          <w:p>
            <w:pPr>
              <w:widowControl w:val="0"/>
              <w:wordWrap/>
              <w:adjustRightInd/>
              <w:snapToGrid/>
              <w:spacing w:before="0" w:after="0" w:line="400" w:lineRule="exact"/>
              <w:ind w:left="0" w:leftChars="0" w:right="0" w:firstLine="0" w:firstLineChars="0"/>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系统支持供应评价功能，评价记录支持在明细信息中以表格形式展示，展示内容包括：分数、等级、说明、评价人、时间等信息；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2" w:hRule="atLeast"/>
          <w:jc w:val="center"/>
        </w:trPr>
        <w:tc>
          <w:tcPr>
            <w:tcW w:w="795" w:type="dxa"/>
            <w:vAlign w:val="center"/>
          </w:tcPr>
          <w:p>
            <w:pPr>
              <w:pStyle w:val="17"/>
              <w:numPr>
                <w:ilvl w:val="0"/>
                <w:numId w:val="2"/>
              </w:numPr>
              <w:ind w:firstLineChars="0"/>
              <w:jc w:val="center"/>
              <w:rPr>
                <w:rFonts w:hint="eastAsia" w:ascii="仿宋_GB2312" w:hAnsi="仿宋_GB2312" w:eastAsia="仿宋_GB2312" w:cs="仿宋_GB2312"/>
                <w:sz w:val="28"/>
                <w:szCs w:val="28"/>
              </w:rPr>
            </w:pPr>
          </w:p>
        </w:tc>
        <w:tc>
          <w:tcPr>
            <w:tcW w:w="1623" w:type="dxa"/>
            <w:vMerge w:val="continue"/>
            <w:vAlign w:val="top"/>
          </w:tcPr>
          <w:p>
            <w:pPr>
              <w:jc w:val="center"/>
              <w:rPr>
                <w:rFonts w:hint="eastAsia" w:ascii="仿宋_GB2312" w:hAnsi="仿宋_GB2312" w:eastAsia="仿宋_GB2312" w:cs="仿宋_GB2312"/>
                <w:sz w:val="28"/>
                <w:szCs w:val="28"/>
              </w:rPr>
            </w:pPr>
          </w:p>
        </w:tc>
        <w:tc>
          <w:tcPr>
            <w:tcW w:w="6261" w:type="dxa"/>
            <w:vAlign w:val="center"/>
          </w:tcPr>
          <w:p>
            <w:pPr>
              <w:widowControl w:val="0"/>
              <w:wordWrap/>
              <w:adjustRightInd/>
              <w:snapToGrid/>
              <w:spacing w:before="0" w:after="0" w:line="400" w:lineRule="exact"/>
              <w:ind w:left="0" w:leftChars="0" w:right="0" w:firstLine="0" w:firstLineChars="0"/>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支持与病理系统关联，获取特检医嘱试剂的启用批次；支持查询病理号对应的免疫组化方案；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2" w:hRule="atLeast"/>
          <w:jc w:val="center"/>
        </w:trPr>
        <w:tc>
          <w:tcPr>
            <w:tcW w:w="795" w:type="dxa"/>
            <w:vAlign w:val="center"/>
          </w:tcPr>
          <w:p>
            <w:pPr>
              <w:pStyle w:val="17"/>
              <w:numPr>
                <w:ilvl w:val="0"/>
                <w:numId w:val="2"/>
              </w:numPr>
              <w:ind w:firstLineChars="0"/>
              <w:jc w:val="center"/>
              <w:rPr>
                <w:rFonts w:hint="eastAsia" w:ascii="仿宋_GB2312" w:hAnsi="仿宋_GB2312" w:eastAsia="仿宋_GB2312" w:cs="仿宋_GB2312"/>
                <w:sz w:val="28"/>
                <w:szCs w:val="28"/>
              </w:rPr>
            </w:pPr>
          </w:p>
        </w:tc>
        <w:tc>
          <w:tcPr>
            <w:tcW w:w="1623" w:type="dxa"/>
            <w:vMerge w:val="continue"/>
            <w:vAlign w:val="top"/>
          </w:tcPr>
          <w:p>
            <w:pPr>
              <w:jc w:val="center"/>
              <w:rPr>
                <w:rFonts w:hint="eastAsia" w:ascii="仿宋_GB2312" w:hAnsi="仿宋_GB2312" w:eastAsia="仿宋_GB2312" w:cs="仿宋_GB2312"/>
                <w:sz w:val="28"/>
                <w:szCs w:val="28"/>
              </w:rPr>
            </w:pPr>
          </w:p>
        </w:tc>
        <w:tc>
          <w:tcPr>
            <w:tcW w:w="6261" w:type="dxa"/>
            <w:vAlign w:val="center"/>
          </w:tcPr>
          <w:p>
            <w:pPr>
              <w:widowControl w:val="0"/>
              <w:wordWrap/>
              <w:adjustRightInd/>
              <w:snapToGrid/>
              <w:spacing w:before="0" w:after="0" w:line="400" w:lineRule="exact"/>
              <w:ind w:left="0" w:leftChars="0" w:right="0" w:firstLine="0" w:firstLineChars="0"/>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系统支持已入库且未做性能验证的试剂批次进行性能验证提醒；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2" w:hRule="atLeast"/>
          <w:jc w:val="center"/>
        </w:trPr>
        <w:tc>
          <w:tcPr>
            <w:tcW w:w="795" w:type="dxa"/>
            <w:vAlign w:val="center"/>
          </w:tcPr>
          <w:p>
            <w:pPr>
              <w:pStyle w:val="17"/>
              <w:numPr>
                <w:ilvl w:val="0"/>
                <w:numId w:val="2"/>
              </w:numPr>
              <w:ind w:firstLineChars="0"/>
              <w:jc w:val="center"/>
              <w:rPr>
                <w:rFonts w:hint="eastAsia" w:ascii="仿宋_GB2312" w:hAnsi="仿宋_GB2312" w:eastAsia="仿宋_GB2312" w:cs="仿宋_GB2312"/>
                <w:sz w:val="28"/>
                <w:szCs w:val="28"/>
              </w:rPr>
            </w:pPr>
          </w:p>
        </w:tc>
        <w:tc>
          <w:tcPr>
            <w:tcW w:w="1623" w:type="dxa"/>
            <w:vMerge w:val="continue"/>
            <w:vAlign w:val="top"/>
          </w:tcPr>
          <w:p>
            <w:pPr>
              <w:jc w:val="center"/>
              <w:rPr>
                <w:rFonts w:hint="eastAsia" w:ascii="仿宋_GB2312" w:hAnsi="仿宋_GB2312" w:eastAsia="仿宋_GB2312" w:cs="仿宋_GB2312"/>
                <w:sz w:val="28"/>
                <w:szCs w:val="28"/>
              </w:rPr>
            </w:pPr>
          </w:p>
        </w:tc>
        <w:tc>
          <w:tcPr>
            <w:tcW w:w="6261" w:type="dxa"/>
            <w:vAlign w:val="center"/>
          </w:tcPr>
          <w:p>
            <w:pPr>
              <w:widowControl w:val="0"/>
              <w:wordWrap/>
              <w:adjustRightInd/>
              <w:snapToGrid/>
              <w:spacing w:before="0" w:after="0" w:line="400" w:lineRule="exact"/>
              <w:ind w:left="0" w:leftChars="0" w:right="0" w:firstLine="0" w:firstLineChars="0"/>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系统支持危化品领用、出库、记录等功能；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2" w:hRule="atLeast"/>
          <w:jc w:val="center"/>
        </w:trPr>
        <w:tc>
          <w:tcPr>
            <w:tcW w:w="795" w:type="dxa"/>
            <w:vAlign w:val="center"/>
          </w:tcPr>
          <w:p>
            <w:pPr>
              <w:pStyle w:val="17"/>
              <w:numPr>
                <w:ilvl w:val="0"/>
                <w:numId w:val="2"/>
              </w:numPr>
              <w:ind w:firstLineChars="0"/>
              <w:jc w:val="center"/>
              <w:rPr>
                <w:rFonts w:hint="eastAsia" w:ascii="仿宋_GB2312" w:hAnsi="仿宋_GB2312" w:eastAsia="仿宋_GB2312" w:cs="仿宋_GB2312"/>
                <w:sz w:val="28"/>
                <w:szCs w:val="28"/>
              </w:rPr>
            </w:pPr>
          </w:p>
        </w:tc>
        <w:tc>
          <w:tcPr>
            <w:tcW w:w="1623" w:type="dxa"/>
            <w:vMerge w:val="continue"/>
            <w:vAlign w:val="top"/>
          </w:tcPr>
          <w:p>
            <w:pPr>
              <w:jc w:val="center"/>
              <w:rPr>
                <w:rFonts w:hint="eastAsia" w:ascii="仿宋_GB2312" w:hAnsi="仿宋_GB2312" w:eastAsia="仿宋_GB2312" w:cs="仿宋_GB2312"/>
                <w:sz w:val="28"/>
                <w:szCs w:val="28"/>
              </w:rPr>
            </w:pPr>
          </w:p>
        </w:tc>
        <w:tc>
          <w:tcPr>
            <w:tcW w:w="6261" w:type="dxa"/>
            <w:vAlign w:val="center"/>
          </w:tcPr>
          <w:p>
            <w:pPr>
              <w:widowControl w:val="0"/>
              <w:wordWrap/>
              <w:adjustRightInd/>
              <w:snapToGrid/>
              <w:spacing w:before="0" w:after="0" w:line="400" w:lineRule="exact"/>
              <w:ind w:left="0" w:leftChars="0" w:right="0" w:firstLine="0" w:firstLineChars="0"/>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支持危化品出库双签功能，支持审核人员提醒功能；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2" w:hRule="atLeast"/>
          <w:jc w:val="center"/>
        </w:trPr>
        <w:tc>
          <w:tcPr>
            <w:tcW w:w="795" w:type="dxa"/>
            <w:vAlign w:val="center"/>
          </w:tcPr>
          <w:p>
            <w:pPr>
              <w:pStyle w:val="17"/>
              <w:numPr>
                <w:ilvl w:val="0"/>
                <w:numId w:val="2"/>
              </w:numPr>
              <w:ind w:firstLineChars="0"/>
              <w:jc w:val="center"/>
              <w:rPr>
                <w:rFonts w:hint="eastAsia" w:ascii="仿宋_GB2312" w:hAnsi="仿宋_GB2312" w:eastAsia="仿宋_GB2312" w:cs="仿宋_GB2312"/>
                <w:sz w:val="28"/>
                <w:szCs w:val="28"/>
              </w:rPr>
            </w:pPr>
          </w:p>
        </w:tc>
        <w:tc>
          <w:tcPr>
            <w:tcW w:w="1623" w:type="dxa"/>
            <w:vAlign w:val="top"/>
          </w:tcPr>
          <w:p>
            <w:pPr>
              <w:widowControl w:val="0"/>
              <w:wordWrap/>
              <w:adjustRightInd/>
              <w:snapToGrid/>
              <w:spacing w:before="0" w:after="0" w:line="400" w:lineRule="exact"/>
              <w:ind w:left="0" w:leftChars="0" w:right="0" w:firstLine="0" w:firstLineChars="0"/>
              <w:jc w:val="center"/>
              <w:textAlignment w:val="auto"/>
              <w:outlineLvl w:val="9"/>
              <w:rPr>
                <w:rFonts w:hint="eastAsia" w:ascii="仿宋_GB2312" w:hAnsi="仿宋_GB2312" w:eastAsia="仿宋_GB2312" w:cs="仿宋_GB2312"/>
                <w:sz w:val="28"/>
                <w:szCs w:val="28"/>
              </w:rPr>
            </w:pPr>
            <w:r>
              <w:rPr>
                <w:rFonts w:hint="eastAsia" w:ascii="仿宋_GB2312" w:eastAsia="仿宋_GB2312"/>
                <w:sz w:val="28"/>
                <w:szCs w:val="28"/>
                <w:lang w:val="en-US" w:eastAsia="zh-CN"/>
              </w:rPr>
              <w:t>设备管理</w:t>
            </w:r>
          </w:p>
        </w:tc>
        <w:tc>
          <w:tcPr>
            <w:tcW w:w="6261" w:type="dxa"/>
            <w:vAlign w:val="center"/>
          </w:tcPr>
          <w:p>
            <w:pPr>
              <w:widowControl w:val="0"/>
              <w:wordWrap/>
              <w:adjustRightInd/>
              <w:snapToGrid/>
              <w:spacing w:before="0" w:after="0" w:line="400" w:lineRule="exact"/>
              <w:ind w:left="0" w:leftChars="0" w:right="0" w:firstLine="0" w:firstLineChars="0"/>
              <w:textAlignment w:val="auto"/>
              <w:outlineLvl w:val="9"/>
              <w:rPr>
                <w:rFonts w:hint="eastAsia" w:ascii="仿宋_GB2312" w:hAnsi="仿宋_GB2312" w:eastAsia="仿宋_GB2312" w:cs="仿宋_GB2312"/>
                <w:sz w:val="28"/>
                <w:szCs w:val="28"/>
              </w:rPr>
            </w:pPr>
            <w:r>
              <w:rPr>
                <w:rFonts w:hint="eastAsia" w:ascii="仿宋_GB2312" w:eastAsia="仿宋_GB2312"/>
                <w:sz w:val="28"/>
                <w:szCs w:val="28"/>
                <w:lang w:val="en-US" w:eastAsia="zh-CN"/>
              </w:rPr>
              <w:t>提供设备基本信息、验收记录、验证记录、维护维修记录、仪器调动记录等，对整个设备全生命周期形成一个闭环管理。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2" w:hRule="atLeast"/>
          <w:jc w:val="center"/>
        </w:trPr>
        <w:tc>
          <w:tcPr>
            <w:tcW w:w="795" w:type="dxa"/>
            <w:vAlign w:val="center"/>
          </w:tcPr>
          <w:p>
            <w:pPr>
              <w:pStyle w:val="17"/>
              <w:numPr>
                <w:ilvl w:val="0"/>
                <w:numId w:val="2"/>
              </w:numPr>
              <w:ind w:firstLineChars="0"/>
              <w:jc w:val="center"/>
              <w:rPr>
                <w:rFonts w:hint="eastAsia" w:ascii="仿宋_GB2312" w:hAnsi="仿宋_GB2312" w:eastAsia="仿宋_GB2312" w:cs="仿宋_GB2312"/>
                <w:sz w:val="28"/>
                <w:szCs w:val="28"/>
              </w:rPr>
            </w:pPr>
          </w:p>
        </w:tc>
        <w:tc>
          <w:tcPr>
            <w:tcW w:w="1623" w:type="dxa"/>
            <w:vAlign w:val="top"/>
          </w:tcPr>
          <w:p>
            <w:pPr>
              <w:widowControl w:val="0"/>
              <w:wordWrap/>
              <w:adjustRightInd/>
              <w:snapToGrid/>
              <w:spacing w:before="0" w:after="0" w:line="400" w:lineRule="exact"/>
              <w:ind w:left="0" w:leftChars="0" w:right="0" w:firstLine="0" w:firstLineChars="0"/>
              <w:jc w:val="center"/>
              <w:textAlignment w:val="auto"/>
              <w:outlineLvl w:val="9"/>
              <w:rPr>
                <w:rFonts w:hint="eastAsia" w:ascii="仿宋_GB2312" w:eastAsia="仿宋_GB2312"/>
                <w:sz w:val="28"/>
                <w:szCs w:val="28"/>
                <w:lang w:val="en-US" w:eastAsia="zh-CN"/>
              </w:rPr>
            </w:pPr>
            <w:r>
              <w:rPr>
                <w:rFonts w:hint="eastAsia" w:ascii="仿宋_GB2312" w:eastAsia="仿宋_GB2312"/>
                <w:sz w:val="28"/>
                <w:szCs w:val="28"/>
                <w:lang w:val="en-US" w:eastAsia="zh-CN"/>
              </w:rPr>
              <w:t>人员管理</w:t>
            </w:r>
          </w:p>
        </w:tc>
        <w:tc>
          <w:tcPr>
            <w:tcW w:w="6261" w:type="dxa"/>
            <w:vAlign w:val="center"/>
          </w:tcPr>
          <w:p>
            <w:pPr>
              <w:widowControl w:val="0"/>
              <w:wordWrap/>
              <w:adjustRightInd/>
              <w:snapToGrid/>
              <w:spacing w:before="0" w:after="0" w:line="400" w:lineRule="exact"/>
              <w:ind w:left="0" w:leftChars="0" w:right="0" w:firstLine="0" w:firstLineChars="0"/>
              <w:textAlignment w:val="auto"/>
              <w:outlineLvl w:val="9"/>
              <w:rPr>
                <w:rFonts w:hint="eastAsia" w:ascii="仿宋_GB2312" w:eastAsia="仿宋_GB2312"/>
                <w:sz w:val="28"/>
                <w:szCs w:val="28"/>
                <w:lang w:val="en-US" w:eastAsia="zh-CN"/>
              </w:rPr>
            </w:pPr>
            <w:r>
              <w:rPr>
                <w:rFonts w:hint="eastAsia" w:ascii="仿宋_GB2312" w:eastAsia="仿宋_GB2312"/>
                <w:sz w:val="28"/>
                <w:szCs w:val="28"/>
                <w:lang w:val="en-US" w:eastAsia="zh-CN"/>
              </w:rPr>
              <w:t>记录人员基本信息、考核列表、专业能力评估、分级授权、岗前培训与考核、带教记录、个人成果等。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2" w:hRule="atLeast"/>
          <w:jc w:val="center"/>
        </w:trPr>
        <w:tc>
          <w:tcPr>
            <w:tcW w:w="795" w:type="dxa"/>
            <w:vAlign w:val="center"/>
          </w:tcPr>
          <w:p>
            <w:pPr>
              <w:pStyle w:val="17"/>
              <w:numPr>
                <w:ilvl w:val="0"/>
                <w:numId w:val="2"/>
              </w:numPr>
              <w:ind w:firstLineChars="0"/>
              <w:jc w:val="center"/>
              <w:rPr>
                <w:rFonts w:hint="eastAsia" w:ascii="仿宋_GB2312" w:hAnsi="仿宋_GB2312" w:eastAsia="仿宋_GB2312" w:cs="仿宋_GB2312"/>
                <w:sz w:val="28"/>
                <w:szCs w:val="28"/>
              </w:rPr>
            </w:pPr>
          </w:p>
        </w:tc>
        <w:tc>
          <w:tcPr>
            <w:tcW w:w="1623" w:type="dxa"/>
            <w:vAlign w:val="top"/>
          </w:tcPr>
          <w:p>
            <w:pPr>
              <w:widowControl w:val="0"/>
              <w:wordWrap/>
              <w:adjustRightInd/>
              <w:snapToGrid/>
              <w:spacing w:before="0" w:after="0" w:line="400" w:lineRule="exact"/>
              <w:ind w:left="0" w:leftChars="0" w:right="0" w:firstLine="0" w:firstLineChars="0"/>
              <w:jc w:val="center"/>
              <w:textAlignment w:val="auto"/>
              <w:outlineLvl w:val="9"/>
              <w:rPr>
                <w:rFonts w:hint="eastAsia" w:ascii="仿宋_GB2312" w:eastAsia="仿宋_GB2312"/>
                <w:sz w:val="28"/>
                <w:szCs w:val="28"/>
                <w:lang w:val="en-US" w:eastAsia="zh-CN"/>
              </w:rPr>
            </w:pPr>
            <w:r>
              <w:rPr>
                <w:rFonts w:hint="eastAsia" w:ascii="仿宋_GB2312" w:eastAsia="仿宋_GB2312"/>
                <w:sz w:val="28"/>
                <w:szCs w:val="28"/>
                <w:lang w:val="en-US" w:eastAsia="zh-CN"/>
              </w:rPr>
              <w:t>文件</w:t>
            </w:r>
            <w:r>
              <w:rPr>
                <w:rFonts w:hint="eastAsia" w:ascii="仿宋_GB2312" w:eastAsia="仿宋_GB2312"/>
                <w:sz w:val="28"/>
                <w:szCs w:val="28"/>
                <w:lang w:val="en-US"/>
              </w:rPr>
              <w:t>档案</w:t>
            </w:r>
            <w:r>
              <w:rPr>
                <w:rFonts w:hint="eastAsia" w:ascii="仿宋_GB2312" w:eastAsia="仿宋_GB2312"/>
                <w:sz w:val="28"/>
                <w:szCs w:val="28"/>
                <w:lang w:val="en-US" w:eastAsia="zh-CN"/>
              </w:rPr>
              <w:t>管理</w:t>
            </w:r>
          </w:p>
        </w:tc>
        <w:tc>
          <w:tcPr>
            <w:tcW w:w="6261" w:type="dxa"/>
            <w:vAlign w:val="center"/>
          </w:tcPr>
          <w:p>
            <w:pPr>
              <w:widowControl w:val="0"/>
              <w:wordWrap/>
              <w:adjustRightInd/>
              <w:snapToGrid/>
              <w:spacing w:before="0" w:after="0" w:line="400" w:lineRule="exact"/>
              <w:ind w:left="0" w:leftChars="0" w:right="0" w:firstLine="0" w:firstLineChars="0"/>
              <w:textAlignment w:val="auto"/>
              <w:outlineLvl w:val="9"/>
              <w:rPr>
                <w:rFonts w:hint="eastAsia" w:ascii="仿宋_GB2312" w:eastAsia="仿宋_GB2312"/>
                <w:sz w:val="28"/>
                <w:szCs w:val="28"/>
                <w:lang w:val="en-US" w:eastAsia="zh-CN"/>
              </w:rPr>
            </w:pPr>
            <w:r>
              <w:rPr>
                <w:rFonts w:hint="eastAsia" w:ascii="仿宋_GB2312" w:eastAsia="仿宋_GB2312"/>
                <w:sz w:val="28"/>
                <w:szCs w:val="28"/>
                <w:lang w:val="en-US" w:eastAsia="zh-CN"/>
              </w:rPr>
              <w:t>据不同文件类型包括（质量手册、程序文件、</w:t>
            </w:r>
            <w:r>
              <w:rPr>
                <w:rFonts w:hint="default" w:ascii="仿宋_GB2312" w:eastAsia="仿宋_GB2312"/>
                <w:sz w:val="28"/>
                <w:szCs w:val="28"/>
                <w:lang w:val="en-US" w:eastAsia="zh-CN"/>
              </w:rPr>
              <w:t>SOP</w:t>
            </w:r>
            <w:r>
              <w:rPr>
                <w:rFonts w:hint="eastAsia" w:ascii="仿宋_GB2312" w:eastAsia="仿宋_GB2312"/>
                <w:sz w:val="28"/>
                <w:szCs w:val="28"/>
                <w:lang w:val="en-US" w:eastAsia="zh-CN"/>
              </w:rPr>
              <w:t>文件、记录表单、实验室安全手册、指南共识等），进行分类检索。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2" w:hRule="atLeast"/>
          <w:jc w:val="center"/>
        </w:trPr>
        <w:tc>
          <w:tcPr>
            <w:tcW w:w="795" w:type="dxa"/>
            <w:vAlign w:val="center"/>
          </w:tcPr>
          <w:p>
            <w:pPr>
              <w:pStyle w:val="17"/>
              <w:numPr>
                <w:ilvl w:val="0"/>
                <w:numId w:val="2"/>
              </w:numPr>
              <w:ind w:firstLineChars="0"/>
              <w:jc w:val="center"/>
              <w:rPr>
                <w:rFonts w:hint="eastAsia" w:ascii="仿宋_GB2312" w:hAnsi="仿宋_GB2312" w:eastAsia="仿宋_GB2312" w:cs="仿宋_GB2312"/>
                <w:sz w:val="28"/>
                <w:szCs w:val="28"/>
              </w:rPr>
            </w:pPr>
          </w:p>
        </w:tc>
        <w:tc>
          <w:tcPr>
            <w:tcW w:w="1623" w:type="dxa"/>
            <w:vAlign w:val="top"/>
          </w:tcPr>
          <w:p>
            <w:pPr>
              <w:widowControl w:val="0"/>
              <w:wordWrap/>
              <w:adjustRightInd/>
              <w:snapToGrid/>
              <w:spacing w:before="0" w:after="0" w:line="400" w:lineRule="exact"/>
              <w:ind w:left="0" w:leftChars="0" w:right="0" w:firstLine="0" w:firstLineChars="0"/>
              <w:jc w:val="center"/>
              <w:textAlignment w:val="auto"/>
              <w:outlineLvl w:val="9"/>
              <w:rPr>
                <w:rFonts w:hint="eastAsia" w:ascii="仿宋_GB2312" w:eastAsia="仿宋_GB2312"/>
                <w:sz w:val="28"/>
                <w:szCs w:val="28"/>
                <w:lang w:val="en-US" w:eastAsia="zh-CN"/>
              </w:rPr>
            </w:pPr>
            <w:r>
              <w:rPr>
                <w:rFonts w:hint="eastAsia" w:ascii="仿宋_GB2312" w:eastAsia="仿宋_GB2312"/>
                <w:sz w:val="28"/>
                <w:szCs w:val="28"/>
                <w:lang w:val="en-US" w:eastAsia="zh-CN"/>
              </w:rPr>
              <w:t>CNAS（中国合格评定国家认可委员会）认可</w:t>
            </w:r>
          </w:p>
        </w:tc>
        <w:tc>
          <w:tcPr>
            <w:tcW w:w="6261" w:type="dxa"/>
            <w:vAlign w:val="center"/>
          </w:tcPr>
          <w:p>
            <w:pPr>
              <w:widowControl w:val="0"/>
              <w:wordWrap/>
              <w:adjustRightInd/>
              <w:snapToGrid/>
              <w:spacing w:before="0" w:after="0" w:line="400" w:lineRule="exact"/>
              <w:ind w:left="0" w:leftChars="0" w:right="0" w:firstLine="0" w:firstLineChars="0"/>
              <w:textAlignment w:val="auto"/>
              <w:outlineLvl w:val="9"/>
              <w:rPr>
                <w:rFonts w:hint="eastAsia" w:ascii="仿宋_GB2312" w:eastAsia="仿宋_GB2312"/>
                <w:sz w:val="28"/>
                <w:szCs w:val="28"/>
                <w:lang w:val="en-US" w:eastAsia="zh-CN"/>
              </w:rPr>
            </w:pPr>
            <w:r>
              <w:rPr>
                <w:rFonts w:hint="eastAsia" w:ascii="仿宋_GB2312" w:eastAsia="仿宋_GB2312"/>
                <w:sz w:val="28"/>
                <w:szCs w:val="28"/>
                <w:lang w:val="en-US" w:eastAsia="zh-CN"/>
              </w:rPr>
              <w:t>包括总体要求、结构和管理要求、风险评估、不良事件统计等。</w:t>
            </w:r>
          </w:p>
        </w:tc>
      </w:tr>
    </w:tbl>
    <w:p>
      <w:pPr>
        <w:rPr>
          <w:rFonts w:hint="eastAsia" w:ascii="仿宋_GB2312" w:hAnsi="仿宋_GB2312" w:eastAsia="仿宋_GB2312" w:cs="仿宋_GB2312"/>
          <w:b/>
          <w:bCs/>
          <w:sz w:val="32"/>
          <w:szCs w:val="32"/>
        </w:rPr>
      </w:pPr>
    </w:p>
    <w:p>
      <w:pPr>
        <w:numPr>
          <w:ilvl w:val="0"/>
          <w:numId w:val="3"/>
        </w:numP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其他要求</w:t>
      </w:r>
    </w:p>
    <w:p>
      <w:pPr>
        <w:pStyle w:val="16"/>
        <w:numPr>
          <w:numId w:val="0"/>
        </w:numPr>
        <w:spacing w:before="0" w:beforeAutospacing="0" w:after="0" w:afterAutospacing="0" w:line="480" w:lineRule="atLeast"/>
        <w:ind w:left="0" w:leftChars="0" w:firstLine="640" w:firstLineChars="20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1、应结合我院实际医疗及管理需要，对系统进行客户化修改，包括但不限于结合医院实际管理需求；同时不得使用主管部门禁止使用的操作系统及数据库。</w:t>
      </w:r>
    </w:p>
    <w:p>
      <w:pPr>
        <w:pStyle w:val="16"/>
        <w:numPr>
          <w:ilvl w:val="0"/>
          <w:numId w:val="4"/>
        </w:numPr>
        <w:spacing w:before="0" w:beforeAutospacing="0" w:after="0" w:afterAutospacing="0" w:line="480" w:lineRule="atLeast"/>
        <w:ind w:firstLine="480" w:firstLineChars="20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根据国家《医院信息系统功能规范》第十二条以及国家信息化建设审计要求，至少必须提供数据字典、数据结构与流程、操作使用手册、系统维护手册。必须提供完整的总体设计报告、需求分析说明书、概要设计说明书、详细设计说明书、数据字典、数据结构与流程、测试报告、操作使用手册、系统维护手册。</w:t>
      </w:r>
    </w:p>
    <w:p>
      <w:pPr>
        <w:pStyle w:val="16"/>
        <w:numPr>
          <w:ilvl w:val="0"/>
          <w:numId w:val="4"/>
        </w:numPr>
        <w:spacing w:before="0" w:beforeAutospacing="0" w:after="0" w:afterAutospacing="0" w:line="480" w:lineRule="atLeast"/>
        <w:ind w:firstLine="480" w:firstLineChars="20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数据具备各数据表基础数据项的完整性，诸如：数据的创建人、创建时间、最后修改人、最后修改时间等；具备应用系统数据修改痕迹管理，各项核心业务的数据修改必须以日志形式保存，数据修改日志至少必须有“数据基础信息”、“修改前数据”、“修改后数据”、“修改人”、“修改时间”五个部分核心数据项组成；具备应用系统可以手动设置本地日志的保存目录，并自动必须定期清除。</w:t>
      </w:r>
    </w:p>
    <w:p>
      <w:pPr>
        <w:pStyle w:val="16"/>
        <w:numPr>
          <w:ilvl w:val="0"/>
          <w:numId w:val="4"/>
        </w:numPr>
        <w:spacing w:before="0" w:beforeAutospacing="0" w:after="0" w:afterAutospacing="0" w:line="480" w:lineRule="atLeast"/>
        <w:ind w:firstLine="480" w:firstLineChars="20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本项目为交钥匙工程，本项目</w:t>
      </w:r>
      <w:r>
        <w:rPr>
          <w:rFonts w:hint="eastAsia" w:ascii="仿宋_GB2312" w:hAnsi="仿宋_GB2312" w:eastAsia="仿宋_GB2312" w:cs="仿宋_GB2312"/>
          <w:color w:val="auto"/>
          <w:sz w:val="32"/>
          <w:szCs w:val="32"/>
          <w:lang w:val="en-US" w:eastAsia="zh-CN"/>
        </w:rPr>
        <w:t>系统</w:t>
      </w:r>
      <w:r>
        <w:rPr>
          <w:rFonts w:hint="eastAsia" w:ascii="仿宋_GB2312" w:hAnsi="仿宋_GB2312" w:eastAsia="仿宋_GB2312" w:cs="仿宋_GB2312"/>
          <w:color w:val="auto"/>
          <w:sz w:val="32"/>
          <w:szCs w:val="32"/>
        </w:rPr>
        <w:t>与各业务系统及设备的数据接口由中标人自行负责。本项目涉及院内现有各业务系统接口的，采购人不再向中标人支付接口费用。</w:t>
      </w:r>
    </w:p>
    <w:p>
      <w:pPr>
        <w:pStyle w:val="16"/>
        <w:numPr>
          <w:ilvl w:val="0"/>
          <w:numId w:val="4"/>
        </w:numPr>
        <w:spacing w:before="0" w:beforeAutospacing="0" w:after="0" w:afterAutospacing="0" w:line="480" w:lineRule="atLeast"/>
        <w:ind w:firstLine="480" w:firstLineChars="20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本项目系统应提供与医院HIS，电子病历、危急值平台、报告平台、麻醉耗材、患者360（含HIS360、CDR360）等系统无缝集成接口，符合电子病历6级、医院的互联互通5级、智慧医院4级的建设要求，上述各评级不涉及本系统的功能可以按本次招标内容为准。</w:t>
      </w:r>
    </w:p>
    <w:p>
      <w:pPr>
        <w:pStyle w:val="16"/>
        <w:numPr>
          <w:ilvl w:val="0"/>
          <w:numId w:val="4"/>
        </w:numPr>
        <w:spacing w:before="0" w:beforeAutospacing="0" w:after="0" w:afterAutospacing="0" w:line="480" w:lineRule="atLeast"/>
        <w:ind w:firstLine="480" w:firstLineChars="20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具备与集成平台通过统一的数据接口，实现浏览各检查报告具备通过系统集成平台按照国家、院内、院级数据集标准进行数据交换。具备多模式下数据交换接口的切换管理，诸如：集成平台出现故障时，可切换成应用系统服务接口模式或数据表模式，集成平台恢复时，可重新切换成集成平台。</w:t>
      </w:r>
    </w:p>
    <w:p>
      <w:pPr>
        <w:pStyle w:val="16"/>
        <w:numPr>
          <w:ilvl w:val="0"/>
          <w:numId w:val="4"/>
        </w:numPr>
        <w:spacing w:before="0" w:beforeAutospacing="0" w:after="0" w:afterAutospacing="0" w:line="480" w:lineRule="atLeast"/>
        <w:ind w:firstLine="480" w:firstLineChars="20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三年内免费实施政策性国家、省市各平台的数据接口、数据上传等服务及免费实施国密改造、信创国产化，包括但不限于：福建省卫健委居民健康综合服务平台、福建省检查检验结果互联互通互认平台、福建省卫健委多码融合项目等，产生相应指标，推送至医疗平台接口中（涉及其他系统，应与其他系统配合实施）。</w:t>
      </w:r>
    </w:p>
    <w:p>
      <w:pPr>
        <w:pStyle w:val="16"/>
        <w:numPr>
          <w:ilvl w:val="0"/>
          <w:numId w:val="4"/>
        </w:numPr>
        <w:spacing w:before="0" w:beforeAutospacing="0" w:after="0" w:afterAutospacing="0" w:line="480" w:lineRule="atLeast"/>
        <w:ind w:firstLine="480" w:firstLineChars="20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本项目所有的工作流程节点（诸如：工作环节名称、患者ID、操作人、操作时间等）必须发送至全院工作流程管理平台进行接收、存储；本项目所涉及的影像文件（照片、图像等），则必须与全院统一影像数据中台实现交互，全部由全院统一影像数据中台进行管理（接收、存储、调阅等），原则上本项目服务器及应用系统不保存所涉及的影像文件（照片、图像等）；各具体接口技术方案待实施时由采购人提供。</w:t>
      </w:r>
    </w:p>
    <w:p>
      <w:pPr>
        <w:pStyle w:val="16"/>
        <w:numPr>
          <w:ilvl w:val="0"/>
          <w:numId w:val="4"/>
        </w:numPr>
        <w:spacing w:before="0" w:beforeAutospacing="0" w:after="0" w:afterAutospacing="0" w:line="480" w:lineRule="atLeast"/>
        <w:ind w:firstLine="480" w:firstLineChars="20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本项目系统需符合《信息安全技术网络安全等级保护基本要求》GB/T22239-2019（三级）要求（下文简称：三级等保2.0），并在三级等保2.0评审中协助完成本系统评审工作。</w:t>
      </w:r>
    </w:p>
    <w:p>
      <w:pPr>
        <w:pStyle w:val="16"/>
        <w:numPr>
          <w:ilvl w:val="0"/>
          <w:numId w:val="4"/>
        </w:numPr>
        <w:spacing w:before="0" w:beforeAutospacing="0" w:after="0" w:afterAutospacing="0" w:line="480" w:lineRule="atLeast"/>
        <w:ind w:firstLine="480" w:firstLineChars="20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与医院现有CA数字签名功能实现对接，满足医院各法规需要。</w:t>
      </w:r>
    </w:p>
    <w:p>
      <w:pPr>
        <w:pStyle w:val="16"/>
        <w:numPr>
          <w:ilvl w:val="0"/>
          <w:numId w:val="4"/>
        </w:numPr>
        <w:spacing w:before="0" w:beforeAutospacing="0" w:after="0" w:afterAutospacing="0" w:line="480" w:lineRule="atLeast"/>
        <w:ind w:firstLine="480" w:firstLineChars="20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本</w:t>
      </w:r>
      <w:r>
        <w:rPr>
          <w:rFonts w:hint="eastAsia" w:ascii="仿宋_GB2312" w:hAnsi="仿宋_GB2312" w:eastAsia="仿宋_GB2312" w:cs="仿宋_GB2312"/>
          <w:color w:val="auto"/>
          <w:sz w:val="32"/>
          <w:szCs w:val="32"/>
        </w:rPr>
        <w:t>项目</w:t>
      </w:r>
      <w:r>
        <w:rPr>
          <w:rFonts w:hint="eastAsia" w:ascii="仿宋_GB2312" w:hAnsi="仿宋_GB2312" w:eastAsia="仿宋_GB2312" w:cs="仿宋_GB2312"/>
          <w:color w:val="auto"/>
          <w:sz w:val="32"/>
          <w:szCs w:val="32"/>
          <w:lang w:val="en-US" w:eastAsia="zh-CN"/>
        </w:rPr>
        <w:t>系统</w:t>
      </w:r>
      <w:r>
        <w:rPr>
          <w:rFonts w:hint="eastAsia" w:ascii="仿宋_GB2312" w:hAnsi="仿宋_GB2312" w:eastAsia="仿宋_GB2312" w:cs="仿宋_GB2312"/>
          <w:color w:val="auto"/>
          <w:sz w:val="32"/>
          <w:szCs w:val="32"/>
        </w:rPr>
        <w:t>若需接入医院APP(实现院外移动端查询)，则中标人应提供H5接口，并支付相应接口费用（不超过3万元），</w:t>
      </w:r>
      <w:r>
        <w:rPr>
          <w:rFonts w:hint="eastAsia" w:ascii="仿宋_GB2312" w:hAnsi="仿宋_GB2312" w:eastAsia="仿宋_GB2312" w:cs="仿宋_GB2312"/>
          <w:color w:val="auto"/>
          <w:sz w:val="32"/>
          <w:szCs w:val="32"/>
          <w:lang w:val="en-US" w:eastAsia="zh-CN"/>
        </w:rPr>
        <w:t>是否需接入医院APP以项目验收时采购人需求为准。</w:t>
      </w:r>
    </w:p>
    <w:p>
      <w:pPr>
        <w:pStyle w:val="16"/>
        <w:numPr>
          <w:ilvl w:val="0"/>
          <w:numId w:val="4"/>
        </w:numPr>
        <w:spacing w:before="0" w:beforeAutospacing="0" w:after="0" w:afterAutospacing="0" w:line="480" w:lineRule="atLeast"/>
        <w:ind w:firstLine="480" w:firstLineChars="20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在本项目系统软件使用及维保有效期内，本项目软件在每个使用科室使用的终端数量不受限制，数据不得加密，不得使用加密狗、打印加密、功能加密等任何软件使用约束。</w:t>
      </w:r>
    </w:p>
    <w:p>
      <w:pPr>
        <w:pStyle w:val="16"/>
        <w:numPr>
          <w:ilvl w:val="0"/>
          <w:numId w:val="4"/>
        </w:numPr>
        <w:spacing w:before="0" w:beforeAutospacing="0" w:after="0" w:afterAutospacing="0" w:line="480" w:lineRule="atLeast"/>
        <w:ind w:firstLine="480" w:firstLineChars="20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本项目软件部分按总价进行报价，不能以安装工作站数量进行报价。</w:t>
      </w:r>
    </w:p>
    <w:p>
      <w:pPr>
        <w:pStyle w:val="16"/>
        <w:numPr>
          <w:ilvl w:val="0"/>
          <w:numId w:val="4"/>
        </w:numPr>
        <w:spacing w:before="0" w:beforeAutospacing="0" w:after="0" w:afterAutospacing="0" w:line="480" w:lineRule="atLeast"/>
        <w:ind w:firstLine="480" w:firstLineChars="20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本项目系统需完成旧系统中的历史数据导入，旧系统中非自动产生的数据（如手工输入值等），在新系统中可不体现或以默认值体现。若有涉及接口费用，由中标方负责，采购人不再向中标人支付接口费用。</w:t>
      </w:r>
    </w:p>
    <w:p>
      <w:pPr>
        <w:pStyle w:val="16"/>
        <w:numPr>
          <w:ilvl w:val="0"/>
          <w:numId w:val="4"/>
        </w:numPr>
        <w:spacing w:before="0" w:beforeAutospacing="0" w:after="0" w:afterAutospacing="0" w:line="480" w:lineRule="atLeast"/>
        <w:ind w:firstLine="480" w:firstLineChars="20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本项目软件版面色彩、风格等应按医院要求设计制作；软件标题只能出现医院logo及系统名称，不能出现公司名称，公司名称允许在帮助（help）的关于（about）中出现。具体版面另行通知。</w:t>
      </w:r>
    </w:p>
    <w:p>
      <w:pPr>
        <w:pStyle w:val="16"/>
        <w:numPr>
          <w:ilvl w:val="0"/>
          <w:numId w:val="4"/>
        </w:numPr>
        <w:spacing w:before="0" w:beforeAutospacing="0" w:after="0" w:afterAutospacing="0" w:line="480" w:lineRule="atLeast"/>
        <w:ind w:firstLine="480" w:firstLineChars="20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本项目系统安装调试并经验收合格后，应对采购方的相关人员提供关于系统应用时技术和操作方面的培训。相关培训费用应包含在投标总价中。</w:t>
      </w:r>
    </w:p>
    <w:p>
      <w:pPr>
        <w:pStyle w:val="16"/>
        <w:numPr>
          <w:ilvl w:val="0"/>
          <w:numId w:val="4"/>
        </w:numPr>
        <w:spacing w:before="0" w:beforeAutospacing="0" w:after="0" w:afterAutospacing="0" w:line="480" w:lineRule="atLeast"/>
        <w:ind w:firstLine="480" w:firstLineChars="20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由于本项目与诊疗无关，必须支持国产化操作系统、数据库及前端国产化工作站，暂时未能实现的，后续政策要求时不再另行收费，并在投标文件中出具承诺函。</w:t>
      </w:r>
    </w:p>
    <w:p>
      <w:pPr>
        <w:pStyle w:val="13"/>
        <w:widowControl w:val="0"/>
        <w:numPr>
          <w:ilvl w:val="0"/>
          <w:numId w:val="3"/>
        </w:numPr>
        <w:overflowPunct w:val="0"/>
        <w:autoSpaceDE w:val="0"/>
        <w:autoSpaceDN w:val="0"/>
        <w:adjustRightInd w:val="0"/>
        <w:ind w:left="0" w:leftChars="0" w:firstLine="0" w:firstLineChars="0"/>
        <w:jc w:val="both"/>
        <w:textAlignment w:val="baseline"/>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调研说明</w:t>
      </w:r>
    </w:p>
    <w:p>
      <w:pPr>
        <w:shd w:val="solid" w:color="FFFFFF" w:fill="auto"/>
        <w:autoSpaceDN w:val="0"/>
        <w:spacing w:line="560" w:lineRule="exact"/>
        <w:ind w:firstLine="640" w:firstLineChars="200"/>
        <w:jc w:val="both"/>
        <w:rPr>
          <w:rFonts w:hint="eastAsia" w:ascii="仿宋_GB2312" w:hAnsi="仿宋_GB2312" w:eastAsia="仿宋_GB2312" w:cs="仿宋_GB2312"/>
          <w:b w:val="0"/>
          <w:bCs/>
          <w:sz w:val="32"/>
          <w:szCs w:val="32"/>
          <w:shd w:val="clear" w:color="auto" w:fill="FFFFFF"/>
          <w:lang w:eastAsia="zh-CN"/>
        </w:rPr>
      </w:pPr>
      <w:r>
        <w:rPr>
          <w:rFonts w:hint="eastAsia" w:ascii="仿宋_GB2312" w:hAnsi="仿宋_GB2312" w:eastAsia="仿宋_GB2312" w:cs="仿宋_GB2312"/>
          <w:b w:val="0"/>
          <w:bCs/>
          <w:sz w:val="32"/>
          <w:szCs w:val="32"/>
          <w:shd w:val="clear" w:color="auto" w:fill="FFFFFF"/>
          <w:lang w:val="en-US" w:eastAsia="zh-CN"/>
        </w:rPr>
        <w:t>报名参加本次</w:t>
      </w:r>
      <w:r>
        <w:rPr>
          <w:rFonts w:hint="eastAsia" w:ascii="仿宋_GB2312" w:hAnsi="仿宋_GB2312" w:eastAsia="仿宋_GB2312" w:cs="仿宋_GB2312"/>
          <w:b w:val="0"/>
          <w:bCs/>
          <w:sz w:val="32"/>
          <w:szCs w:val="32"/>
          <w:shd w:val="clear" w:color="auto" w:fill="FFFFFF"/>
        </w:rPr>
        <w:t>调研</w:t>
      </w:r>
      <w:r>
        <w:rPr>
          <w:rFonts w:hint="eastAsia" w:ascii="仿宋_GB2312" w:hAnsi="仿宋_GB2312" w:eastAsia="仿宋_GB2312" w:cs="仿宋_GB2312"/>
          <w:b w:val="0"/>
          <w:bCs/>
          <w:sz w:val="32"/>
          <w:szCs w:val="32"/>
          <w:shd w:val="clear" w:color="auto" w:fill="FFFFFF"/>
          <w:lang w:val="en-US" w:eastAsia="zh-CN"/>
        </w:rPr>
        <w:t>的供应商、厂家需</w:t>
      </w:r>
      <w:r>
        <w:rPr>
          <w:rFonts w:hint="eastAsia" w:ascii="仿宋_GB2312" w:hAnsi="仿宋_GB2312" w:eastAsia="仿宋_GB2312" w:cs="仿宋_GB2312"/>
          <w:b w:val="0"/>
          <w:bCs/>
          <w:sz w:val="32"/>
          <w:szCs w:val="32"/>
          <w:shd w:val="clear" w:color="auto" w:fill="FFFFFF"/>
        </w:rPr>
        <w:t>提供如下相关资料</w:t>
      </w:r>
      <w:r>
        <w:rPr>
          <w:rFonts w:hint="eastAsia" w:ascii="仿宋_GB2312" w:hAnsi="仿宋_GB2312" w:eastAsia="仿宋_GB2312" w:cs="仿宋_GB2312"/>
          <w:b w:val="0"/>
          <w:bCs/>
          <w:sz w:val="32"/>
          <w:szCs w:val="32"/>
          <w:shd w:val="clear" w:color="auto" w:fill="FFFFFF"/>
          <w:lang w:eastAsia="zh-CN"/>
        </w:rPr>
        <w:t>。</w:t>
      </w:r>
    </w:p>
    <w:p>
      <w:pPr>
        <w:widowControl/>
        <w:numPr>
          <w:numId w:val="0"/>
        </w:numPr>
        <w:wordWrap/>
        <w:snapToGrid/>
        <w:spacing w:before="0" w:after="0" w:line="315" w:lineRule="atLeast"/>
        <w:ind w:left="0" w:leftChars="0" w:right="0" w:firstLine="640" w:firstLineChars="200"/>
        <w:jc w:val="both"/>
        <w:outlineLvl w:val="9"/>
        <w:rPr>
          <w:rFonts w:hint="eastAsia" w:ascii="仿宋_GB2312" w:hAnsi="仿宋_GB2312" w:eastAsia="仿宋_GB2312" w:cs="仿宋_GB2312"/>
          <w:color w:val="000000"/>
          <w:kern w:val="0"/>
          <w:sz w:val="32"/>
          <w:szCs w:val="32"/>
          <w:highlight w:val="none"/>
          <w:lang w:eastAsia="zh-CN"/>
        </w:rPr>
      </w:pPr>
      <w:r>
        <w:rPr>
          <w:rFonts w:hint="eastAsia" w:ascii="仿宋_GB2312" w:hAnsi="仿宋_GB2312" w:eastAsia="仿宋_GB2312" w:cs="仿宋_GB2312"/>
          <w:color w:val="000000"/>
          <w:kern w:val="0"/>
          <w:sz w:val="32"/>
          <w:szCs w:val="32"/>
          <w:highlight w:val="none"/>
          <w:lang w:val="en-US" w:eastAsia="zh-CN"/>
        </w:rPr>
        <w:t>1、</w:t>
      </w:r>
      <w:r>
        <w:rPr>
          <w:rFonts w:hint="eastAsia" w:ascii="仿宋_GB2312" w:hAnsi="仿宋_GB2312" w:eastAsia="仿宋_GB2312" w:cs="仿宋_GB2312"/>
          <w:color w:val="000000"/>
          <w:kern w:val="0"/>
          <w:sz w:val="32"/>
          <w:szCs w:val="32"/>
          <w:highlight w:val="none"/>
        </w:rPr>
        <w:t>报名请携带加盖公章的项目文件回执单、营业执照复印件、公司简介</w:t>
      </w:r>
      <w:r>
        <w:rPr>
          <w:rFonts w:hint="eastAsia" w:ascii="仿宋_GB2312" w:hAnsi="仿宋_GB2312" w:eastAsia="仿宋_GB2312" w:cs="仿宋_GB2312"/>
          <w:color w:val="000000"/>
          <w:kern w:val="0"/>
          <w:sz w:val="32"/>
          <w:szCs w:val="32"/>
          <w:highlight w:val="none"/>
          <w:lang w:eastAsia="zh-CN"/>
        </w:rPr>
        <w:t>（</w:t>
      </w:r>
      <w:r>
        <w:rPr>
          <w:rFonts w:hint="eastAsia" w:ascii="仿宋_GB2312" w:hAnsi="仿宋_GB2312" w:eastAsia="仿宋_GB2312" w:cs="仿宋_GB2312"/>
          <w:b w:val="0"/>
          <w:bCs/>
          <w:sz w:val="32"/>
          <w:szCs w:val="32"/>
          <w:shd w:val="clear" w:color="auto" w:fill="FFFFFF"/>
        </w:rPr>
        <w:t>提供设备彩页、相关三证等</w:t>
      </w:r>
      <w:r>
        <w:rPr>
          <w:rFonts w:hint="eastAsia" w:ascii="仿宋_GB2312" w:hAnsi="仿宋_GB2312" w:eastAsia="仿宋_GB2312" w:cs="仿宋_GB2312"/>
          <w:b w:val="0"/>
          <w:bCs/>
          <w:sz w:val="32"/>
          <w:szCs w:val="32"/>
          <w:shd w:val="clear" w:color="auto" w:fill="FFFFFF"/>
          <w:lang w:eastAsia="zh-CN"/>
        </w:rPr>
        <w:t>）</w:t>
      </w:r>
      <w:r>
        <w:rPr>
          <w:rFonts w:hint="eastAsia" w:ascii="仿宋_GB2312" w:hAnsi="仿宋_GB2312" w:eastAsia="仿宋_GB2312" w:cs="仿宋_GB2312"/>
          <w:color w:val="000000"/>
          <w:kern w:val="0"/>
          <w:sz w:val="32"/>
          <w:szCs w:val="32"/>
          <w:highlight w:val="none"/>
          <w:lang w:eastAsia="zh-CN"/>
        </w:rPr>
        <w:t>。</w:t>
      </w:r>
    </w:p>
    <w:p>
      <w:pPr>
        <w:widowControl/>
        <w:shd w:val="clear" w:color="auto" w:fill="FFFFFF"/>
        <w:wordWrap/>
        <w:snapToGrid/>
        <w:spacing w:before="0" w:after="0" w:line="500" w:lineRule="atLeast"/>
        <w:ind w:left="0" w:leftChars="0" w:right="0" w:firstLine="640" w:firstLineChars="200"/>
        <w:jc w:val="both"/>
        <w:outlineLvl w:val="9"/>
        <w:rPr>
          <w:rFonts w:hint="eastAsia" w:ascii="仿宋_GB2312" w:hAnsi="仿宋_GB2312" w:eastAsia="仿宋_GB2312" w:cs="仿宋_GB2312"/>
          <w:color w:val="000000"/>
          <w:spacing w:val="-8"/>
          <w:kern w:val="0"/>
          <w:sz w:val="32"/>
          <w:szCs w:val="32"/>
          <w:shd w:val="clear" w:color="auto" w:fill="FFFFFF"/>
        </w:rPr>
      </w:pPr>
      <w:r>
        <w:rPr>
          <w:rFonts w:hint="eastAsia" w:ascii="仿宋_GB2312" w:hAnsi="仿宋_GB2312" w:eastAsia="仿宋_GB2312" w:cs="仿宋_GB2312"/>
          <w:color w:val="000000"/>
          <w:spacing w:val="-8"/>
          <w:kern w:val="0"/>
          <w:sz w:val="32"/>
          <w:szCs w:val="32"/>
          <w:shd w:val="clear" w:color="auto" w:fill="FFFFFF"/>
        </w:rPr>
        <w:t>2、参与项目调研供应商代表的个人授权函（需加盖供应商公章）和身份证复印件。</w:t>
      </w:r>
    </w:p>
    <w:p>
      <w:pPr>
        <w:widowControl/>
        <w:shd w:val="clear" w:color="auto" w:fill="FFFFFF"/>
        <w:wordWrap/>
        <w:snapToGrid/>
        <w:spacing w:before="0" w:after="0" w:line="500" w:lineRule="atLeast"/>
        <w:ind w:left="0" w:leftChars="0" w:right="0" w:firstLine="640" w:firstLineChars="200"/>
        <w:jc w:val="both"/>
        <w:outlineLvl w:val="9"/>
        <w:rPr>
          <w:rFonts w:hint="eastAsia" w:ascii="仿宋_GB2312" w:hAnsi="仿宋_GB2312" w:eastAsia="仿宋_GB2312" w:cs="仿宋_GB2312"/>
          <w:color w:val="000000"/>
          <w:spacing w:val="-8"/>
          <w:kern w:val="0"/>
          <w:sz w:val="32"/>
          <w:szCs w:val="32"/>
          <w:shd w:val="clear" w:color="auto" w:fill="FFFFFF"/>
        </w:rPr>
      </w:pPr>
      <w:r>
        <w:rPr>
          <w:rFonts w:hint="eastAsia" w:ascii="仿宋_GB2312" w:hAnsi="仿宋_GB2312" w:eastAsia="仿宋_GB2312" w:cs="仿宋_GB2312"/>
          <w:color w:val="000000"/>
          <w:spacing w:val="-8"/>
          <w:kern w:val="0"/>
          <w:sz w:val="32"/>
          <w:szCs w:val="32"/>
          <w:shd w:val="clear" w:color="auto" w:fill="FFFFFF"/>
        </w:rPr>
        <w:t>3、分别提供“信用中国”网站（www.creditchina.gov.cn）、“中国政府采购网”网站（http://www.ccgp.gov.cn/search/cr/）信用记录查询截图，无不良记录并加盖公章（截图查询日期必须在该公告日期内）。</w:t>
      </w:r>
    </w:p>
    <w:p>
      <w:pPr>
        <w:pStyle w:val="13"/>
        <w:numPr>
          <w:ilvl w:val="0"/>
          <w:numId w:val="0"/>
        </w:numPr>
        <w:wordWrap/>
        <w:snapToGrid/>
        <w:spacing w:before="0" w:after="0"/>
        <w:ind w:left="0" w:leftChars="0" w:right="0" w:firstLine="640" w:firstLineChars="200"/>
        <w:jc w:val="both"/>
        <w:outlineLvl w:val="9"/>
        <w:rPr>
          <w:rFonts w:hint="eastAsia" w:ascii="仿宋_GB2312" w:hAnsi="仿宋_GB2312" w:eastAsia="仿宋_GB2312" w:cs="仿宋_GB2312"/>
          <w:color w:val="000000"/>
          <w:spacing w:val="-8"/>
          <w:kern w:val="0"/>
          <w:sz w:val="32"/>
          <w:szCs w:val="32"/>
          <w:shd w:val="clear" w:color="auto" w:fill="FFFFFF"/>
          <w:lang w:val="en-US" w:eastAsia="zh-CN"/>
        </w:rPr>
      </w:pPr>
      <w:r>
        <w:rPr>
          <w:rFonts w:hint="eastAsia" w:ascii="仿宋_GB2312" w:hAnsi="仿宋_GB2312" w:eastAsia="仿宋_GB2312" w:cs="仿宋_GB2312"/>
          <w:color w:val="000000"/>
          <w:spacing w:val="-8"/>
          <w:kern w:val="0"/>
          <w:sz w:val="32"/>
          <w:szCs w:val="32"/>
          <w:shd w:val="clear" w:color="auto" w:fill="FFFFFF"/>
        </w:rPr>
        <w:t>4、</w:t>
      </w:r>
      <w:r>
        <w:rPr>
          <w:rFonts w:hint="eastAsia" w:ascii="仿宋_GB2312" w:hAnsi="仿宋_GB2312" w:eastAsia="仿宋_GB2312" w:cs="仿宋_GB2312"/>
          <w:color w:val="000000"/>
          <w:spacing w:val="-8"/>
          <w:kern w:val="0"/>
          <w:sz w:val="32"/>
          <w:szCs w:val="32"/>
          <w:shd w:val="clear" w:color="auto" w:fill="FFFFFF"/>
          <w:lang w:val="en-US" w:eastAsia="zh-CN"/>
        </w:rPr>
        <w:t>提供业绩清单及近3年省内同类项目中标书</w:t>
      </w:r>
    </w:p>
    <w:p>
      <w:pPr>
        <w:pStyle w:val="13"/>
        <w:numPr>
          <w:ilvl w:val="0"/>
          <w:numId w:val="0"/>
        </w:numPr>
        <w:wordWrap/>
        <w:snapToGrid/>
        <w:spacing w:before="0" w:after="0"/>
        <w:ind w:left="0" w:leftChars="0" w:right="0" w:firstLine="640" w:firstLineChars="200"/>
        <w:jc w:val="both"/>
        <w:outlineLvl w:val="9"/>
        <w:rPr>
          <w:rFonts w:hint="eastAsia" w:ascii="仿宋_GB2312" w:hAnsi="仿宋_GB2312" w:eastAsia="仿宋_GB2312" w:cs="仿宋_GB2312"/>
          <w:color w:val="000000"/>
          <w:spacing w:val="-8"/>
          <w:kern w:val="0"/>
          <w:sz w:val="32"/>
          <w:szCs w:val="32"/>
          <w:shd w:val="clear" w:color="auto" w:fill="FFFFFF"/>
          <w:lang w:val="en-US" w:eastAsia="zh-CN"/>
        </w:rPr>
      </w:pPr>
      <w:r>
        <w:rPr>
          <w:rFonts w:hint="eastAsia" w:ascii="仿宋_GB2312" w:hAnsi="仿宋_GB2312" w:eastAsia="仿宋_GB2312" w:cs="仿宋_GB2312"/>
          <w:color w:val="000000"/>
          <w:spacing w:val="-8"/>
          <w:kern w:val="0"/>
          <w:sz w:val="32"/>
          <w:szCs w:val="32"/>
          <w:shd w:val="clear" w:color="auto" w:fill="FFFFFF"/>
          <w:lang w:val="en-US" w:eastAsia="zh-CN"/>
        </w:rPr>
        <w:t>5、本调研会的报价仅做为本项目公开招标的预算限价；不做参与投标的限制条件；</w:t>
      </w:r>
    </w:p>
    <w:p>
      <w:pPr>
        <w:pStyle w:val="13"/>
        <w:numPr>
          <w:ilvl w:val="0"/>
          <w:numId w:val="0"/>
        </w:numPr>
        <w:wordWrap/>
        <w:snapToGrid/>
        <w:spacing w:before="0" w:after="0"/>
        <w:ind w:left="0" w:leftChars="0" w:right="0" w:firstLine="640" w:firstLineChars="200"/>
        <w:jc w:val="both"/>
        <w:outlineLvl w:val="9"/>
        <w:rPr>
          <w:rFonts w:hint="eastAsia" w:ascii="仿宋_GB2312" w:hAnsi="仿宋_GB2312" w:eastAsia="仿宋_GB2312" w:cs="仿宋_GB2312"/>
          <w:color w:val="000000"/>
          <w:spacing w:val="-8"/>
          <w:kern w:val="0"/>
          <w:sz w:val="32"/>
          <w:szCs w:val="32"/>
          <w:shd w:val="clear" w:color="auto" w:fill="FFFFFF"/>
          <w:lang w:val="en-US" w:eastAsia="zh-CN"/>
        </w:rPr>
      </w:pPr>
      <w:r>
        <w:rPr>
          <w:rFonts w:hint="eastAsia" w:ascii="仿宋_GB2312" w:hAnsi="仿宋_GB2312" w:eastAsia="仿宋_GB2312" w:cs="仿宋_GB2312"/>
          <w:color w:val="000000"/>
          <w:spacing w:val="-8"/>
          <w:kern w:val="0"/>
          <w:sz w:val="32"/>
          <w:szCs w:val="32"/>
          <w:shd w:val="clear" w:color="auto" w:fill="FFFFFF"/>
          <w:lang w:val="en-US" w:eastAsia="zh-CN"/>
        </w:rPr>
        <w:t>6、上述各参数将做为本项目招标的主要参数，不代表本项目公开招标的最终参数；</w:t>
      </w:r>
    </w:p>
    <w:p>
      <w:pPr>
        <w:pStyle w:val="13"/>
        <w:numPr>
          <w:ilvl w:val="0"/>
          <w:numId w:val="0"/>
        </w:numPr>
        <w:wordWrap/>
        <w:snapToGrid/>
        <w:spacing w:before="0" w:after="0"/>
        <w:ind w:left="0" w:leftChars="0" w:right="0" w:firstLine="640" w:firstLineChars="200"/>
        <w:jc w:val="both"/>
        <w:outlineLvl w:val="9"/>
        <w:rPr>
          <w:rFonts w:hint="eastAsia" w:ascii="仿宋_GB2312" w:hAnsi="仿宋_GB2312" w:eastAsia="仿宋_GB2312" w:cs="仿宋_GB2312"/>
          <w:color w:val="000000"/>
          <w:spacing w:val="-8"/>
          <w:kern w:val="0"/>
          <w:sz w:val="32"/>
          <w:szCs w:val="32"/>
          <w:shd w:val="clear" w:color="auto" w:fill="FFFFFF"/>
          <w:lang w:val="en-US" w:eastAsia="zh-CN"/>
        </w:rPr>
      </w:pPr>
      <w:r>
        <w:rPr>
          <w:rFonts w:hint="eastAsia" w:ascii="仿宋_GB2312" w:hAnsi="仿宋_GB2312" w:eastAsia="仿宋_GB2312" w:cs="仿宋_GB2312"/>
          <w:color w:val="000000"/>
          <w:spacing w:val="-8"/>
          <w:kern w:val="0"/>
          <w:sz w:val="32"/>
          <w:szCs w:val="32"/>
          <w:shd w:val="clear" w:color="auto" w:fill="FFFFFF"/>
          <w:lang w:val="en-US" w:eastAsia="zh-CN"/>
        </w:rPr>
        <w:t>7、参加调研会的公司应准备PPT材料（含方案介绍、服务及集成能力、应用案例、报价等）、技术参数等材料，每公司讲解时间30分钟（含答疑10分钟）；同时上述材料须交予院方留档（发送邮件到wlb@fjzlhospital.com，并提供U盘留档）。</w:t>
      </w:r>
    </w:p>
    <w:p>
      <w:pPr>
        <w:pStyle w:val="13"/>
        <w:numPr>
          <w:ilvl w:val="0"/>
          <w:numId w:val="0"/>
        </w:numPr>
        <w:ind w:left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br w:type="page"/>
      </w:r>
    </w:p>
    <w:p>
      <w:pPr>
        <w:shd w:val="solid" w:color="FFFFFF" w:fill="auto"/>
        <w:autoSpaceDN w:val="0"/>
        <w:spacing w:line="420" w:lineRule="atLeast"/>
        <w:jc w:val="center"/>
        <w:rPr>
          <w:rFonts w:hint="eastAsia" w:ascii="仿宋_GB2312" w:hAnsi="仿宋_GB2312" w:eastAsia="仿宋_GB2312" w:cs="仿宋_GB2312"/>
          <w:b/>
          <w:bCs w:val="0"/>
          <w:color w:val="000000"/>
          <w:sz w:val="32"/>
          <w:szCs w:val="32"/>
          <w:shd w:val="clear" w:color="auto" w:fill="FFFFFF"/>
        </w:rPr>
      </w:pPr>
    </w:p>
    <w:p>
      <w:pPr>
        <w:shd w:val="solid" w:color="FFFFFF" w:fill="auto"/>
        <w:autoSpaceDN w:val="0"/>
        <w:spacing w:line="420" w:lineRule="atLeast"/>
        <w:jc w:val="center"/>
        <w:rPr>
          <w:rFonts w:hint="eastAsia" w:ascii="仿宋_GB2312" w:hAnsi="仿宋_GB2312" w:eastAsia="仿宋_GB2312" w:cs="仿宋_GB2312"/>
          <w:b/>
          <w:bCs w:val="0"/>
          <w:sz w:val="32"/>
          <w:szCs w:val="32"/>
          <w:shd w:val="clear" w:color="auto" w:fill="FFFFFF"/>
        </w:rPr>
      </w:pPr>
      <w:r>
        <w:rPr>
          <w:rFonts w:hint="eastAsia" w:ascii="仿宋_GB2312" w:hAnsi="仿宋_GB2312" w:eastAsia="仿宋_GB2312" w:cs="仿宋_GB2312"/>
          <w:b/>
          <w:bCs w:val="0"/>
          <w:color w:val="000000"/>
          <w:sz w:val="32"/>
          <w:szCs w:val="32"/>
          <w:shd w:val="clear" w:color="auto" w:fill="FFFFFF"/>
        </w:rPr>
        <w:t>项目文件回执单</w:t>
      </w:r>
    </w:p>
    <w:p>
      <w:pPr>
        <w:shd w:val="solid" w:color="FFFFFF" w:fill="auto"/>
        <w:autoSpaceDN w:val="0"/>
        <w:spacing w:line="420" w:lineRule="atLeast"/>
        <w:ind w:firstLine="640" w:firstLineChars="200"/>
        <w:jc w:val="both"/>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shd w:val="clear" w:color="auto" w:fill="FFFFFF"/>
        </w:rPr>
        <w:t>请有意向参与的公司在项目公示期内携带回执单至福建省肿瘤医院</w:t>
      </w:r>
      <w:r>
        <w:rPr>
          <w:rFonts w:hint="eastAsia" w:ascii="仿宋_GB2312" w:hAnsi="仿宋_GB2312" w:eastAsia="仿宋_GB2312" w:cs="仿宋_GB2312"/>
          <w:b w:val="0"/>
          <w:bCs/>
          <w:sz w:val="32"/>
          <w:szCs w:val="32"/>
          <w:shd w:val="clear" w:color="auto" w:fill="FFFFFF"/>
          <w:lang w:val="en-US" w:eastAsia="zh-CN"/>
        </w:rPr>
        <w:t>网络技术中心</w:t>
      </w:r>
      <w:r>
        <w:rPr>
          <w:rFonts w:hint="eastAsia" w:ascii="仿宋_GB2312" w:hAnsi="仿宋_GB2312" w:eastAsia="仿宋_GB2312" w:cs="仿宋_GB2312"/>
          <w:b w:val="0"/>
          <w:bCs/>
          <w:sz w:val="32"/>
          <w:szCs w:val="32"/>
          <w:shd w:val="clear" w:color="auto" w:fill="FFFFFF"/>
        </w:rPr>
        <w:t>报名。</w:t>
      </w:r>
    </w:p>
    <w:tbl>
      <w:tblPr>
        <w:tblW w:w="8154" w:type="dxa"/>
        <w:tblInd w:w="358"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
      <w:tblGrid>
        <w:gridCol w:w="1140"/>
        <w:gridCol w:w="2651"/>
        <w:gridCol w:w="2115"/>
        <w:gridCol w:w="2248"/>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Ex>
        <w:trPr>
          <w:trHeight w:val="504" w:hRule="exact"/>
        </w:trPr>
        <w:tc>
          <w:tcPr>
            <w:tcW w:w="1140" w:type="dxa"/>
            <w:tcBorders>
              <w:top w:val="single" w:color="000000" w:sz="8" w:space="0"/>
              <w:left w:val="single" w:color="000000" w:sz="8" w:space="0"/>
              <w:bottom w:val="single" w:color="000000" w:sz="8" w:space="0"/>
              <w:right w:val="single" w:color="000000" w:sz="8" w:space="0"/>
            </w:tcBorders>
            <w:shd w:val="solid" w:color="FFFFFF" w:fill="auto"/>
            <w:tcMar>
              <w:top w:w="0" w:type="dxa"/>
              <w:left w:w="108" w:type="dxa"/>
              <w:bottom w:w="0" w:type="dxa"/>
              <w:right w:w="108" w:type="dxa"/>
            </w:tcMar>
            <w:vAlign w:val="center"/>
          </w:tcPr>
          <w:p>
            <w:pPr>
              <w:shd w:val="solid" w:color="FFFFFF" w:fill="auto"/>
              <w:autoSpaceDN w:val="0"/>
              <w:spacing w:line="420" w:lineRule="atLeast"/>
              <w:jc w:val="center"/>
              <w:rPr>
                <w:rFonts w:hint="eastAsia" w:ascii="仿宋_GB2312" w:hAnsi="仿宋_GB2312" w:eastAsia="仿宋_GB2312" w:cs="仿宋_GB2312"/>
                <w:b w:val="0"/>
                <w:bCs/>
                <w:sz w:val="28"/>
                <w:szCs w:val="28"/>
                <w:shd w:val="clear" w:color="auto" w:fill="FFFFFF"/>
              </w:rPr>
            </w:pPr>
            <w:r>
              <w:rPr>
                <w:rFonts w:hint="eastAsia" w:ascii="仿宋_GB2312" w:hAnsi="仿宋_GB2312" w:eastAsia="仿宋_GB2312" w:cs="仿宋_GB2312"/>
                <w:b w:val="0"/>
                <w:bCs/>
                <w:sz w:val="28"/>
                <w:szCs w:val="28"/>
                <w:shd w:val="clear" w:color="auto" w:fill="FFFFFF"/>
              </w:rPr>
              <w:t>序号</w:t>
            </w:r>
          </w:p>
        </w:tc>
        <w:tc>
          <w:tcPr>
            <w:tcW w:w="2651" w:type="dxa"/>
            <w:tcBorders>
              <w:top w:val="single" w:color="000000" w:sz="8" w:space="0"/>
              <w:left w:val="nil"/>
              <w:bottom w:val="single" w:color="000000" w:sz="8" w:space="0"/>
              <w:right w:val="single" w:color="000000" w:sz="8" w:space="0"/>
            </w:tcBorders>
            <w:shd w:val="solid" w:color="FFFFFF" w:fill="auto"/>
            <w:tcMar>
              <w:top w:w="0" w:type="dxa"/>
              <w:left w:w="108" w:type="dxa"/>
              <w:bottom w:w="0" w:type="dxa"/>
              <w:right w:w="108" w:type="dxa"/>
            </w:tcMar>
            <w:vAlign w:val="center"/>
          </w:tcPr>
          <w:p>
            <w:pPr>
              <w:shd w:val="solid" w:color="FFFFFF" w:fill="auto"/>
              <w:autoSpaceDN w:val="0"/>
              <w:spacing w:line="420" w:lineRule="atLeast"/>
              <w:jc w:val="center"/>
              <w:rPr>
                <w:rFonts w:hint="eastAsia" w:ascii="仿宋_GB2312" w:hAnsi="仿宋_GB2312" w:eastAsia="仿宋_GB2312" w:cs="仿宋_GB2312"/>
                <w:b w:val="0"/>
                <w:bCs/>
                <w:sz w:val="28"/>
                <w:szCs w:val="28"/>
                <w:shd w:val="clear" w:color="auto" w:fill="FFFFFF"/>
              </w:rPr>
            </w:pPr>
            <w:r>
              <w:rPr>
                <w:rFonts w:hint="eastAsia" w:ascii="仿宋_GB2312" w:hAnsi="仿宋_GB2312" w:eastAsia="仿宋_GB2312" w:cs="仿宋_GB2312"/>
                <w:b w:val="0"/>
                <w:bCs/>
                <w:sz w:val="28"/>
                <w:szCs w:val="28"/>
                <w:shd w:val="clear" w:color="auto" w:fill="FFFFFF"/>
                <w:lang w:val="en-US" w:eastAsia="zh-CN"/>
              </w:rPr>
              <w:t>项目</w:t>
            </w:r>
            <w:r>
              <w:rPr>
                <w:rFonts w:hint="eastAsia" w:ascii="仿宋_GB2312" w:hAnsi="仿宋_GB2312" w:eastAsia="仿宋_GB2312" w:cs="仿宋_GB2312"/>
                <w:b w:val="0"/>
                <w:bCs/>
                <w:sz w:val="28"/>
                <w:szCs w:val="28"/>
                <w:shd w:val="clear" w:color="auto" w:fill="FFFFFF"/>
              </w:rPr>
              <w:t>名称</w:t>
            </w:r>
          </w:p>
        </w:tc>
        <w:tc>
          <w:tcPr>
            <w:tcW w:w="2115" w:type="dxa"/>
            <w:tcBorders>
              <w:top w:val="single" w:color="000000" w:sz="8" w:space="0"/>
              <w:left w:val="nil"/>
              <w:bottom w:val="single" w:color="000000" w:sz="8" w:space="0"/>
              <w:right w:val="single" w:color="000000" w:sz="8" w:space="0"/>
            </w:tcBorders>
            <w:shd w:val="solid" w:color="FFFFFF" w:fill="auto"/>
            <w:tcMar>
              <w:top w:w="0" w:type="dxa"/>
              <w:left w:w="108" w:type="dxa"/>
              <w:bottom w:w="0" w:type="dxa"/>
              <w:right w:w="108" w:type="dxa"/>
            </w:tcMar>
            <w:vAlign w:val="center"/>
          </w:tcPr>
          <w:p>
            <w:pPr>
              <w:shd w:val="solid" w:color="FFFFFF" w:fill="auto"/>
              <w:autoSpaceDN w:val="0"/>
              <w:spacing w:line="420" w:lineRule="atLeast"/>
              <w:jc w:val="center"/>
              <w:rPr>
                <w:rFonts w:hint="eastAsia" w:ascii="仿宋_GB2312" w:hAnsi="仿宋_GB2312" w:eastAsia="仿宋_GB2312" w:cs="仿宋_GB2312"/>
                <w:b w:val="0"/>
                <w:bCs/>
                <w:sz w:val="28"/>
                <w:szCs w:val="28"/>
                <w:shd w:val="clear" w:color="auto" w:fill="FFFFFF"/>
              </w:rPr>
            </w:pPr>
            <w:r>
              <w:rPr>
                <w:rFonts w:hint="eastAsia" w:ascii="仿宋_GB2312" w:hAnsi="仿宋_GB2312" w:eastAsia="仿宋_GB2312" w:cs="仿宋_GB2312"/>
                <w:b w:val="0"/>
                <w:bCs/>
                <w:sz w:val="28"/>
                <w:szCs w:val="28"/>
                <w:shd w:val="clear" w:color="auto" w:fill="FFFFFF"/>
              </w:rPr>
              <w:t>数量</w:t>
            </w:r>
          </w:p>
        </w:tc>
        <w:tc>
          <w:tcPr>
            <w:tcW w:w="2248" w:type="dxa"/>
            <w:tcBorders>
              <w:top w:val="single" w:color="000000" w:sz="8" w:space="0"/>
              <w:left w:val="nil"/>
              <w:bottom w:val="single" w:color="000000" w:sz="8" w:space="0"/>
              <w:right w:val="single" w:color="000000" w:sz="8" w:space="0"/>
            </w:tcBorders>
            <w:shd w:val="solid" w:color="FFFFFF" w:fill="auto"/>
            <w:tcMar>
              <w:top w:w="0" w:type="dxa"/>
              <w:left w:w="108" w:type="dxa"/>
              <w:bottom w:w="0" w:type="dxa"/>
              <w:right w:w="108" w:type="dxa"/>
            </w:tcMar>
            <w:vAlign w:val="center"/>
          </w:tcPr>
          <w:p>
            <w:pPr>
              <w:shd w:val="solid" w:color="FFFFFF" w:fill="auto"/>
              <w:autoSpaceDN w:val="0"/>
              <w:spacing w:line="420" w:lineRule="atLeast"/>
              <w:jc w:val="center"/>
              <w:rPr>
                <w:rFonts w:hint="eastAsia" w:ascii="仿宋_GB2312" w:hAnsi="仿宋_GB2312" w:eastAsia="仿宋_GB2312" w:cs="仿宋_GB2312"/>
                <w:b w:val="0"/>
                <w:bCs/>
                <w:sz w:val="28"/>
                <w:szCs w:val="28"/>
                <w:shd w:val="clear" w:color="auto" w:fill="FFFFFF"/>
              </w:rPr>
            </w:pPr>
            <w:r>
              <w:rPr>
                <w:rFonts w:hint="eastAsia" w:ascii="仿宋_GB2312" w:hAnsi="仿宋_GB2312" w:eastAsia="仿宋_GB2312" w:cs="仿宋_GB2312"/>
                <w:b w:val="0"/>
                <w:bCs/>
                <w:sz w:val="28"/>
                <w:szCs w:val="28"/>
                <w:shd w:val="clear" w:color="auto" w:fill="FFFFFF"/>
              </w:rPr>
              <w:t>品牌及型号</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Ex>
        <w:trPr>
          <w:trHeight w:val="454" w:hRule="exact"/>
        </w:trPr>
        <w:tc>
          <w:tcPr>
            <w:tcW w:w="1140" w:type="dxa"/>
            <w:tcBorders>
              <w:top w:val="nil"/>
              <w:left w:val="single" w:color="000000" w:sz="8" w:space="0"/>
              <w:bottom w:val="single" w:color="000000" w:sz="8" w:space="0"/>
              <w:right w:val="single" w:color="000000" w:sz="8" w:space="0"/>
            </w:tcBorders>
            <w:shd w:val="solid" w:color="FFFFFF" w:fill="auto"/>
            <w:tcMar>
              <w:top w:w="0" w:type="dxa"/>
              <w:left w:w="108" w:type="dxa"/>
              <w:bottom w:w="0" w:type="dxa"/>
              <w:right w:w="108" w:type="dxa"/>
            </w:tcMar>
            <w:vAlign w:val="center"/>
          </w:tcPr>
          <w:p>
            <w:pPr>
              <w:shd w:val="solid" w:color="FFFFFF" w:fill="auto"/>
              <w:autoSpaceDN w:val="0"/>
              <w:spacing w:line="420" w:lineRule="atLeast"/>
              <w:jc w:val="center"/>
              <w:rPr>
                <w:rFonts w:hint="eastAsia" w:ascii="仿宋_GB2312" w:hAnsi="仿宋_GB2312" w:eastAsia="仿宋_GB2312" w:cs="仿宋_GB2312"/>
                <w:b w:val="0"/>
                <w:bCs/>
                <w:sz w:val="28"/>
                <w:szCs w:val="28"/>
                <w:shd w:val="clear" w:color="auto" w:fill="FFFFFF"/>
              </w:rPr>
            </w:pPr>
            <w:r>
              <w:rPr>
                <w:rFonts w:hint="eastAsia" w:ascii="仿宋_GB2312" w:hAnsi="仿宋_GB2312" w:eastAsia="仿宋_GB2312" w:cs="仿宋_GB2312"/>
                <w:b w:val="0"/>
                <w:bCs/>
                <w:sz w:val="28"/>
                <w:szCs w:val="28"/>
                <w:shd w:val="clear" w:color="auto" w:fill="FFFFFF"/>
              </w:rPr>
              <w:t>1</w:t>
            </w:r>
          </w:p>
        </w:tc>
        <w:tc>
          <w:tcPr>
            <w:tcW w:w="2651" w:type="dxa"/>
            <w:tcBorders>
              <w:top w:val="nil"/>
              <w:left w:val="nil"/>
              <w:bottom w:val="single" w:color="000000" w:sz="8" w:space="0"/>
              <w:right w:val="single" w:color="000000" w:sz="8" w:space="0"/>
            </w:tcBorders>
            <w:shd w:val="solid" w:color="FFFFFF" w:fill="auto"/>
            <w:tcMar>
              <w:top w:w="0" w:type="dxa"/>
              <w:left w:w="108" w:type="dxa"/>
              <w:bottom w:w="0" w:type="dxa"/>
              <w:right w:w="108" w:type="dxa"/>
            </w:tcMar>
            <w:vAlign w:val="center"/>
          </w:tcPr>
          <w:p>
            <w:pPr>
              <w:shd w:val="solid" w:color="FFFFFF" w:fill="auto"/>
              <w:autoSpaceDN w:val="0"/>
              <w:spacing w:line="420" w:lineRule="atLeast"/>
              <w:jc w:val="both"/>
              <w:rPr>
                <w:rFonts w:hint="eastAsia" w:ascii="仿宋_GB2312" w:hAnsi="仿宋_GB2312" w:eastAsia="仿宋_GB2312" w:cs="仿宋_GB2312"/>
                <w:b w:val="0"/>
                <w:bCs/>
                <w:sz w:val="28"/>
                <w:szCs w:val="28"/>
                <w:shd w:val="clear" w:color="auto" w:fill="FFFFFF"/>
              </w:rPr>
            </w:pPr>
            <w:r>
              <w:rPr>
                <w:rFonts w:hint="eastAsia" w:ascii="仿宋_GB2312" w:hAnsi="仿宋_GB2312" w:eastAsia="仿宋_GB2312" w:cs="仿宋_GB2312"/>
                <w:b w:val="0"/>
                <w:bCs/>
                <w:sz w:val="28"/>
                <w:szCs w:val="28"/>
                <w:shd w:val="clear" w:color="auto" w:fill="FFFFFF"/>
              </w:rPr>
              <w:t xml:space="preserve"> </w:t>
            </w:r>
          </w:p>
        </w:tc>
        <w:tc>
          <w:tcPr>
            <w:tcW w:w="2115" w:type="dxa"/>
            <w:tcBorders>
              <w:top w:val="nil"/>
              <w:left w:val="nil"/>
              <w:bottom w:val="single" w:color="000000" w:sz="8" w:space="0"/>
              <w:right w:val="single" w:color="000000" w:sz="8" w:space="0"/>
            </w:tcBorders>
            <w:shd w:val="solid" w:color="FFFFFF" w:fill="auto"/>
            <w:tcMar>
              <w:top w:w="0" w:type="dxa"/>
              <w:left w:w="108" w:type="dxa"/>
              <w:bottom w:w="0" w:type="dxa"/>
              <w:right w:w="108" w:type="dxa"/>
            </w:tcMar>
            <w:vAlign w:val="center"/>
          </w:tcPr>
          <w:p>
            <w:pPr>
              <w:shd w:val="solid" w:color="FFFFFF" w:fill="auto"/>
              <w:autoSpaceDN w:val="0"/>
              <w:spacing w:line="420" w:lineRule="atLeast"/>
              <w:jc w:val="both"/>
              <w:rPr>
                <w:rFonts w:hint="eastAsia" w:ascii="仿宋_GB2312" w:hAnsi="仿宋_GB2312" w:eastAsia="仿宋_GB2312" w:cs="仿宋_GB2312"/>
                <w:b w:val="0"/>
                <w:bCs/>
                <w:sz w:val="28"/>
                <w:szCs w:val="28"/>
                <w:shd w:val="clear" w:color="auto" w:fill="FFFFFF"/>
              </w:rPr>
            </w:pPr>
            <w:r>
              <w:rPr>
                <w:rFonts w:hint="eastAsia" w:ascii="仿宋_GB2312" w:hAnsi="仿宋_GB2312" w:eastAsia="仿宋_GB2312" w:cs="仿宋_GB2312"/>
                <w:b w:val="0"/>
                <w:bCs/>
                <w:sz w:val="28"/>
                <w:szCs w:val="28"/>
                <w:shd w:val="clear" w:color="auto" w:fill="FFFFFF"/>
              </w:rPr>
              <w:t xml:space="preserve"> </w:t>
            </w:r>
          </w:p>
        </w:tc>
        <w:tc>
          <w:tcPr>
            <w:tcW w:w="2248" w:type="dxa"/>
            <w:tcBorders>
              <w:top w:val="nil"/>
              <w:left w:val="nil"/>
              <w:bottom w:val="single" w:color="000000" w:sz="8" w:space="0"/>
              <w:right w:val="single" w:color="000000" w:sz="8" w:space="0"/>
            </w:tcBorders>
            <w:shd w:val="solid" w:color="FFFFFF" w:fill="auto"/>
            <w:tcMar>
              <w:top w:w="0" w:type="dxa"/>
              <w:left w:w="108" w:type="dxa"/>
              <w:bottom w:w="0" w:type="dxa"/>
              <w:right w:w="108" w:type="dxa"/>
            </w:tcMar>
            <w:vAlign w:val="center"/>
          </w:tcPr>
          <w:p>
            <w:pPr>
              <w:shd w:val="solid" w:color="FFFFFF" w:fill="auto"/>
              <w:autoSpaceDN w:val="0"/>
              <w:spacing w:line="420" w:lineRule="atLeast"/>
              <w:jc w:val="both"/>
              <w:rPr>
                <w:rFonts w:hint="eastAsia" w:ascii="仿宋_GB2312" w:hAnsi="仿宋_GB2312" w:eastAsia="仿宋_GB2312" w:cs="仿宋_GB2312"/>
                <w:b w:val="0"/>
                <w:bCs/>
                <w:sz w:val="28"/>
                <w:szCs w:val="28"/>
                <w:shd w:val="clear" w:color="auto" w:fill="FFFFFF"/>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Ex>
        <w:trPr>
          <w:trHeight w:val="454" w:hRule="exact"/>
        </w:trPr>
        <w:tc>
          <w:tcPr>
            <w:tcW w:w="1140" w:type="dxa"/>
            <w:tcBorders>
              <w:top w:val="nil"/>
              <w:left w:val="single" w:color="000000" w:sz="8" w:space="0"/>
              <w:bottom w:val="single" w:color="000000" w:sz="8" w:space="0"/>
              <w:right w:val="single" w:color="000000" w:sz="8" w:space="0"/>
            </w:tcBorders>
            <w:shd w:val="solid" w:color="FFFFFF" w:fill="auto"/>
            <w:tcMar>
              <w:top w:w="0" w:type="dxa"/>
              <w:left w:w="108" w:type="dxa"/>
              <w:bottom w:w="0" w:type="dxa"/>
              <w:right w:w="108" w:type="dxa"/>
            </w:tcMar>
            <w:vAlign w:val="center"/>
          </w:tcPr>
          <w:p>
            <w:pPr>
              <w:shd w:val="solid" w:color="FFFFFF" w:fill="auto"/>
              <w:autoSpaceDN w:val="0"/>
              <w:spacing w:line="420" w:lineRule="atLeast"/>
              <w:jc w:val="center"/>
              <w:rPr>
                <w:rFonts w:hint="eastAsia" w:ascii="仿宋_GB2312" w:hAnsi="仿宋_GB2312" w:eastAsia="仿宋_GB2312" w:cs="仿宋_GB2312"/>
                <w:b w:val="0"/>
                <w:bCs/>
                <w:sz w:val="28"/>
                <w:szCs w:val="28"/>
                <w:shd w:val="clear" w:color="auto" w:fill="FFFFFF"/>
              </w:rPr>
            </w:pPr>
            <w:r>
              <w:rPr>
                <w:rFonts w:hint="eastAsia" w:ascii="仿宋_GB2312" w:hAnsi="仿宋_GB2312" w:eastAsia="仿宋_GB2312" w:cs="仿宋_GB2312"/>
                <w:b w:val="0"/>
                <w:bCs/>
                <w:sz w:val="28"/>
                <w:szCs w:val="28"/>
                <w:shd w:val="clear" w:color="auto" w:fill="FFFFFF"/>
              </w:rPr>
              <w:t>2</w:t>
            </w:r>
          </w:p>
        </w:tc>
        <w:tc>
          <w:tcPr>
            <w:tcW w:w="2651" w:type="dxa"/>
            <w:tcBorders>
              <w:top w:val="nil"/>
              <w:left w:val="nil"/>
              <w:bottom w:val="single" w:color="000000" w:sz="8" w:space="0"/>
              <w:right w:val="single" w:color="000000" w:sz="8" w:space="0"/>
            </w:tcBorders>
            <w:shd w:val="solid" w:color="FFFFFF" w:fill="auto"/>
            <w:tcMar>
              <w:top w:w="0" w:type="dxa"/>
              <w:left w:w="108" w:type="dxa"/>
              <w:bottom w:w="0" w:type="dxa"/>
              <w:right w:w="108" w:type="dxa"/>
            </w:tcMar>
            <w:vAlign w:val="center"/>
          </w:tcPr>
          <w:p>
            <w:pPr>
              <w:shd w:val="solid" w:color="FFFFFF" w:fill="auto"/>
              <w:autoSpaceDN w:val="0"/>
              <w:spacing w:line="420" w:lineRule="atLeast"/>
              <w:jc w:val="both"/>
              <w:rPr>
                <w:rFonts w:hint="eastAsia" w:ascii="仿宋_GB2312" w:hAnsi="仿宋_GB2312" w:eastAsia="仿宋_GB2312" w:cs="仿宋_GB2312"/>
                <w:b w:val="0"/>
                <w:bCs/>
                <w:sz w:val="28"/>
                <w:szCs w:val="28"/>
                <w:shd w:val="clear" w:color="auto" w:fill="FFFFFF"/>
              </w:rPr>
            </w:pPr>
            <w:r>
              <w:rPr>
                <w:rFonts w:hint="eastAsia" w:ascii="仿宋_GB2312" w:hAnsi="仿宋_GB2312" w:eastAsia="仿宋_GB2312" w:cs="仿宋_GB2312"/>
                <w:b w:val="0"/>
                <w:bCs/>
                <w:sz w:val="28"/>
                <w:szCs w:val="28"/>
                <w:shd w:val="clear" w:color="auto" w:fill="FFFFFF"/>
              </w:rPr>
              <w:t xml:space="preserve"> </w:t>
            </w:r>
          </w:p>
        </w:tc>
        <w:tc>
          <w:tcPr>
            <w:tcW w:w="2115" w:type="dxa"/>
            <w:tcBorders>
              <w:top w:val="nil"/>
              <w:left w:val="nil"/>
              <w:bottom w:val="single" w:color="000000" w:sz="8" w:space="0"/>
              <w:right w:val="single" w:color="000000" w:sz="8" w:space="0"/>
            </w:tcBorders>
            <w:shd w:val="solid" w:color="FFFFFF" w:fill="auto"/>
            <w:tcMar>
              <w:top w:w="0" w:type="dxa"/>
              <w:left w:w="108" w:type="dxa"/>
              <w:bottom w:w="0" w:type="dxa"/>
              <w:right w:w="108" w:type="dxa"/>
            </w:tcMar>
            <w:vAlign w:val="center"/>
          </w:tcPr>
          <w:p>
            <w:pPr>
              <w:shd w:val="solid" w:color="FFFFFF" w:fill="auto"/>
              <w:autoSpaceDN w:val="0"/>
              <w:spacing w:line="420" w:lineRule="atLeast"/>
              <w:jc w:val="both"/>
              <w:rPr>
                <w:rFonts w:hint="eastAsia" w:ascii="仿宋_GB2312" w:hAnsi="仿宋_GB2312" w:eastAsia="仿宋_GB2312" w:cs="仿宋_GB2312"/>
                <w:b w:val="0"/>
                <w:bCs/>
                <w:sz w:val="28"/>
                <w:szCs w:val="28"/>
                <w:shd w:val="clear" w:color="auto" w:fill="FFFFFF"/>
              </w:rPr>
            </w:pPr>
            <w:r>
              <w:rPr>
                <w:rFonts w:hint="eastAsia" w:ascii="仿宋_GB2312" w:hAnsi="仿宋_GB2312" w:eastAsia="仿宋_GB2312" w:cs="仿宋_GB2312"/>
                <w:b w:val="0"/>
                <w:bCs/>
                <w:sz w:val="28"/>
                <w:szCs w:val="28"/>
                <w:shd w:val="clear" w:color="auto" w:fill="FFFFFF"/>
              </w:rPr>
              <w:t xml:space="preserve"> </w:t>
            </w:r>
          </w:p>
        </w:tc>
        <w:tc>
          <w:tcPr>
            <w:tcW w:w="2248" w:type="dxa"/>
            <w:tcBorders>
              <w:top w:val="nil"/>
              <w:left w:val="nil"/>
              <w:bottom w:val="single" w:color="000000" w:sz="8" w:space="0"/>
              <w:right w:val="single" w:color="000000" w:sz="8" w:space="0"/>
            </w:tcBorders>
            <w:shd w:val="solid" w:color="FFFFFF" w:fill="auto"/>
            <w:tcMar>
              <w:top w:w="0" w:type="dxa"/>
              <w:left w:w="108" w:type="dxa"/>
              <w:bottom w:w="0" w:type="dxa"/>
              <w:right w:w="108" w:type="dxa"/>
            </w:tcMar>
            <w:vAlign w:val="center"/>
          </w:tcPr>
          <w:p>
            <w:pPr>
              <w:shd w:val="solid" w:color="FFFFFF" w:fill="auto"/>
              <w:autoSpaceDN w:val="0"/>
              <w:spacing w:line="420" w:lineRule="atLeast"/>
              <w:jc w:val="both"/>
              <w:rPr>
                <w:rFonts w:hint="eastAsia" w:ascii="仿宋_GB2312" w:hAnsi="仿宋_GB2312" w:eastAsia="仿宋_GB2312" w:cs="仿宋_GB2312"/>
                <w:b w:val="0"/>
                <w:bCs/>
                <w:sz w:val="28"/>
                <w:szCs w:val="28"/>
                <w:shd w:val="clear" w:color="auto" w:fill="FFFFFF"/>
              </w:rPr>
            </w:pPr>
          </w:p>
        </w:tc>
      </w:tr>
    </w:tbl>
    <w:p>
      <w:pPr>
        <w:shd w:val="solid" w:color="FFFFFF" w:fill="auto"/>
        <w:autoSpaceDN w:val="0"/>
        <w:spacing w:line="420" w:lineRule="atLeast"/>
        <w:jc w:val="both"/>
        <w:rPr>
          <w:rFonts w:hint="eastAsia" w:ascii="仿宋_GB2312" w:hAnsi="仿宋_GB2312" w:eastAsia="仿宋_GB2312" w:cs="仿宋_GB2312"/>
          <w:b w:val="0"/>
          <w:bCs/>
          <w:sz w:val="32"/>
          <w:szCs w:val="32"/>
          <w:shd w:val="clear" w:color="auto" w:fill="FFFFFF"/>
        </w:rPr>
      </w:pPr>
    </w:p>
    <w:p>
      <w:pPr>
        <w:shd w:val="solid" w:color="FFFFFF" w:fill="auto"/>
        <w:autoSpaceDN w:val="0"/>
        <w:spacing w:line="500" w:lineRule="exact"/>
        <w:jc w:val="both"/>
        <w:rPr>
          <w:rFonts w:hint="eastAsia" w:ascii="仿宋_GB2312" w:hAnsi="仿宋_GB2312" w:eastAsia="仿宋_GB2312" w:cs="仿宋_GB2312"/>
          <w:b w:val="0"/>
          <w:bCs/>
          <w:sz w:val="32"/>
          <w:szCs w:val="32"/>
          <w:shd w:val="clear" w:color="auto" w:fill="FFFFFF"/>
        </w:rPr>
      </w:pPr>
    </w:p>
    <w:p>
      <w:pPr>
        <w:shd w:val="solid" w:color="FFFFFF" w:fill="auto"/>
        <w:autoSpaceDN w:val="0"/>
        <w:spacing w:line="500" w:lineRule="exact"/>
        <w:jc w:val="both"/>
        <w:rPr>
          <w:rFonts w:hint="eastAsia" w:ascii="仿宋_GB2312" w:hAnsi="仿宋_GB2312" w:eastAsia="仿宋_GB2312" w:cs="仿宋_GB2312"/>
          <w:b w:val="0"/>
          <w:bCs/>
          <w:sz w:val="32"/>
          <w:szCs w:val="32"/>
          <w:shd w:val="clear" w:color="auto" w:fill="FFFFFF"/>
        </w:rPr>
      </w:pPr>
      <w:r>
        <w:rPr>
          <w:rFonts w:hint="eastAsia" w:ascii="仿宋_GB2312" w:hAnsi="仿宋_GB2312" w:eastAsia="仿宋_GB2312" w:cs="仿宋_GB2312"/>
          <w:b w:val="0"/>
          <w:bCs/>
          <w:sz w:val="32"/>
          <w:szCs w:val="32"/>
          <w:shd w:val="clear" w:color="auto" w:fill="FFFFFF"/>
        </w:rPr>
        <w:t>公司名称：</w:t>
      </w:r>
    </w:p>
    <w:p>
      <w:pPr>
        <w:shd w:val="solid" w:color="FFFFFF" w:fill="auto"/>
        <w:autoSpaceDN w:val="0"/>
        <w:spacing w:line="500" w:lineRule="exact"/>
        <w:jc w:val="both"/>
        <w:rPr>
          <w:rFonts w:hint="eastAsia" w:ascii="仿宋_GB2312" w:hAnsi="仿宋_GB2312" w:eastAsia="仿宋_GB2312" w:cs="仿宋_GB2312"/>
          <w:b w:val="0"/>
          <w:bCs/>
          <w:sz w:val="32"/>
          <w:szCs w:val="32"/>
          <w:shd w:val="clear" w:color="auto" w:fill="FFFFFF"/>
        </w:rPr>
      </w:pPr>
      <w:r>
        <w:rPr>
          <w:rFonts w:hint="eastAsia" w:ascii="仿宋_GB2312" w:hAnsi="仿宋_GB2312" w:eastAsia="仿宋_GB2312" w:cs="仿宋_GB2312"/>
          <w:b w:val="0"/>
          <w:bCs/>
          <w:sz w:val="32"/>
          <w:szCs w:val="32"/>
          <w:shd w:val="clear" w:color="auto" w:fill="FFFFFF"/>
        </w:rPr>
        <w:t xml:space="preserve">联系人：　 </w:t>
      </w:r>
    </w:p>
    <w:p>
      <w:pPr>
        <w:shd w:val="solid" w:color="FFFFFF" w:fill="auto"/>
        <w:autoSpaceDN w:val="0"/>
        <w:spacing w:line="500" w:lineRule="exact"/>
        <w:jc w:val="both"/>
        <w:rPr>
          <w:rFonts w:hint="eastAsia" w:ascii="仿宋_GB2312" w:hAnsi="仿宋_GB2312" w:eastAsia="仿宋_GB2312" w:cs="仿宋_GB2312"/>
          <w:b w:val="0"/>
          <w:bCs/>
          <w:sz w:val="32"/>
          <w:szCs w:val="32"/>
          <w:shd w:val="clear" w:color="auto" w:fill="FFFFFF"/>
        </w:rPr>
      </w:pPr>
      <w:r>
        <w:rPr>
          <w:rFonts w:hint="eastAsia" w:ascii="仿宋_GB2312" w:hAnsi="仿宋_GB2312" w:eastAsia="仿宋_GB2312" w:cs="仿宋_GB2312"/>
          <w:b w:val="0"/>
          <w:bCs/>
          <w:sz w:val="32"/>
          <w:szCs w:val="32"/>
          <w:shd w:val="clear" w:color="auto" w:fill="FFFFFF"/>
        </w:rPr>
        <w:t>联系电话：</w:t>
      </w:r>
    </w:p>
    <w:p>
      <w:pPr>
        <w:shd w:val="solid" w:color="FFFFFF" w:fill="auto"/>
        <w:autoSpaceDN w:val="0"/>
        <w:spacing w:line="500" w:lineRule="exact"/>
        <w:jc w:val="both"/>
        <w:rPr>
          <w:rFonts w:hint="eastAsia" w:ascii="仿宋_GB2312" w:hAnsi="仿宋_GB2312" w:eastAsia="仿宋_GB2312" w:cs="仿宋_GB2312"/>
          <w:b w:val="0"/>
          <w:bCs/>
          <w:sz w:val="32"/>
          <w:szCs w:val="32"/>
          <w:shd w:val="clear" w:color="auto" w:fill="FFFFFF"/>
        </w:rPr>
      </w:pPr>
      <w:r>
        <w:rPr>
          <w:rFonts w:hint="eastAsia" w:ascii="仿宋_GB2312" w:hAnsi="仿宋_GB2312" w:eastAsia="仿宋_GB2312" w:cs="仿宋_GB2312"/>
          <w:b w:val="0"/>
          <w:bCs/>
          <w:sz w:val="32"/>
          <w:szCs w:val="32"/>
          <w:shd w:val="clear" w:color="auto" w:fill="FFFFFF"/>
        </w:rPr>
        <w:t>公司盖章：</w:t>
      </w:r>
    </w:p>
    <w:p>
      <w:pPr>
        <w:shd w:val="solid" w:color="FFFFFF" w:fill="auto"/>
        <w:autoSpaceDN w:val="0"/>
        <w:spacing w:line="500" w:lineRule="exact"/>
        <w:jc w:val="both"/>
        <w:rPr>
          <w:rFonts w:hint="eastAsia" w:ascii="仿宋_GB2312" w:hAnsi="仿宋_GB2312" w:eastAsia="仿宋_GB2312" w:cs="仿宋_GB2312"/>
          <w:b w:val="0"/>
          <w:bCs/>
          <w:sz w:val="32"/>
          <w:szCs w:val="32"/>
          <w:shd w:val="clear" w:color="auto" w:fill="FFFFFF"/>
        </w:rPr>
      </w:pPr>
    </w:p>
    <w:p>
      <w:pPr>
        <w:pStyle w:val="13"/>
        <w:numPr>
          <w:ilvl w:val="0"/>
          <w:numId w:val="0"/>
        </w:numPr>
        <w:ind w:leftChars="0"/>
        <w:rPr>
          <w:rFonts w:hint="eastAsia" w:ascii="仿宋_GB2312" w:hAnsi="仿宋_GB2312" w:eastAsia="仿宋_GB2312" w:cs="仿宋_GB2312"/>
          <w:b w:val="0"/>
          <w:bCs/>
          <w:sz w:val="32"/>
          <w:szCs w:val="32"/>
          <w:shd w:val="clear" w:color="auto" w:fill="FFFFFF"/>
        </w:rPr>
      </w:pPr>
    </w:p>
    <w:p>
      <w:pPr>
        <w:pStyle w:val="13"/>
        <w:numPr>
          <w:ilvl w:val="0"/>
          <w:numId w:val="0"/>
        </w:numPr>
        <w:ind w:leftChars="0"/>
        <w:jc w:val="right"/>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福建省肿瘤医院</w:t>
      </w:r>
    </w:p>
    <w:p>
      <w:pPr>
        <w:pStyle w:val="13"/>
        <w:numPr>
          <w:ilvl w:val="0"/>
          <w:numId w:val="0"/>
        </w:numPr>
        <w:ind w:leftChars="0"/>
        <w:jc w:val="right"/>
        <w:rPr>
          <w:rFonts w:hint="eastAsia"/>
        </w:rPr>
      </w:pPr>
      <w:r>
        <w:rPr>
          <w:rFonts w:hint="eastAsia" w:ascii="仿宋_GB2312" w:hAnsi="仿宋_GB2312" w:cs="仿宋_GB2312"/>
          <w:sz w:val="32"/>
          <w:szCs w:val="32"/>
          <w:lang w:val="en-US" w:eastAsia="zh-CN"/>
        </w:rPr>
        <w:t>年  月  日</w:t>
      </w:r>
    </w:p>
    <w:bookmarkEnd w:id="0"/>
    <w:sectPr>
      <w:footerReference r:id="rId4" w:type="default"/>
      <w:pgSz w:w="12240" w:h="15840"/>
      <w:pgMar w:top="1134" w:right="1587" w:bottom="1134" w:left="1587" w:header="720" w:footer="720" w:gutter="0"/>
      <w:cols w:space="720" w:num="1"/>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Calibri">
    <w:panose1 w:val="020F0502020204030204"/>
    <w:charset w:val="00"/>
    <w:family w:val="auto"/>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8"/>
    </w:pPr>
    <w:r>
      <w:rPr>
        <w:rFonts w:ascii="Calibri" w:hAnsi="Calibri" w:eastAsia="宋体" w:cs="Times New Roman"/>
        <w:kern w:val="2"/>
        <w:sz w:val="18"/>
        <w:szCs w:val="18"/>
        <w:lang w:val="en-US" w:eastAsia="zh-CN" w:bidi="ar-SA"/>
      </w:rPr>
      <w:pict>
        <v:rect id="Quad Arrow 1025" o:spid="_x0000_s1025" style="position:absolute;left:0;margin-top:0pt;height:12.8pt;width:5.35pt;mso-position-horizontal:center;mso-position-horizontal-relative:margin;mso-wrap-style:none;rotation:0f;z-index:251658240;" o:ole="f" fillcolor="#FFFFFF" filled="f" o:preferrelative="t" stroked="f" coordsize="21600,21600">
          <v:fill on="f" color2="#FFFFFF" focus="0%"/>
          <v:imagedata gain="65536f" blacklevel="0f" gamma="0"/>
          <o:lock v:ext="edit" position="f" selection="f" grouping="f" rotation="f" cropping="f" text="f" aspectratio="f"/>
          <v:textbox inset="0.00pt,0.00pt,0.00pt,0.00pt"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p>
            </w:txbxContent>
          </v:textbox>
        </v:rect>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280533256">
    <w:nsid w:val="4C536308"/>
    <w:multiLevelType w:val="multilevel"/>
    <w:tmpl w:val="4C536308"/>
    <w:lvl w:ilvl="0" w:tentative="1">
      <w:start w:val="1"/>
      <w:numFmt w:val="decimal"/>
      <w:suff w:val="nothing"/>
      <w:lvlText w:val="%1"/>
      <w:lvlJc w:val="left"/>
      <w:pPr>
        <w:ind w:left="440" w:hanging="440"/>
      </w:pPr>
      <w:rPr>
        <w:rFonts w:hint="eastAsia"/>
      </w:rPr>
    </w:lvl>
    <w:lvl w:ilvl="1" w:tentative="1">
      <w:start w:val="1"/>
      <w:numFmt w:val="lowerLetter"/>
      <w:lvlText w:val="%2)"/>
      <w:lvlJc w:val="left"/>
      <w:pPr>
        <w:ind w:left="880" w:hanging="440"/>
      </w:pPr>
    </w:lvl>
    <w:lvl w:ilvl="2" w:tentative="1">
      <w:start w:val="1"/>
      <w:numFmt w:val="lowerRoman"/>
      <w:lvlText w:val="%3."/>
      <w:lvlJc w:val="right"/>
      <w:pPr>
        <w:ind w:left="1320" w:hanging="440"/>
      </w:pPr>
    </w:lvl>
    <w:lvl w:ilvl="3" w:tentative="1">
      <w:start w:val="1"/>
      <w:numFmt w:val="decimal"/>
      <w:lvlText w:val="%4."/>
      <w:lvlJc w:val="left"/>
      <w:pPr>
        <w:ind w:left="1760" w:hanging="440"/>
      </w:pPr>
    </w:lvl>
    <w:lvl w:ilvl="4" w:tentative="1">
      <w:start w:val="1"/>
      <w:numFmt w:val="lowerLetter"/>
      <w:lvlText w:val="%5)"/>
      <w:lvlJc w:val="left"/>
      <w:pPr>
        <w:ind w:left="2200" w:hanging="440"/>
      </w:pPr>
    </w:lvl>
    <w:lvl w:ilvl="5" w:tentative="1">
      <w:start w:val="1"/>
      <w:numFmt w:val="lowerRoman"/>
      <w:lvlText w:val="%6."/>
      <w:lvlJc w:val="right"/>
      <w:pPr>
        <w:ind w:left="2640" w:hanging="440"/>
      </w:pPr>
    </w:lvl>
    <w:lvl w:ilvl="6" w:tentative="1">
      <w:start w:val="1"/>
      <w:numFmt w:val="decimal"/>
      <w:lvlText w:val="%7."/>
      <w:lvlJc w:val="left"/>
      <w:pPr>
        <w:ind w:left="3080" w:hanging="440"/>
      </w:pPr>
    </w:lvl>
    <w:lvl w:ilvl="7" w:tentative="1">
      <w:start w:val="1"/>
      <w:numFmt w:val="lowerLetter"/>
      <w:lvlText w:val="%8)"/>
      <w:lvlJc w:val="left"/>
      <w:pPr>
        <w:ind w:left="3520" w:hanging="440"/>
      </w:pPr>
    </w:lvl>
    <w:lvl w:ilvl="8" w:tentative="1">
      <w:start w:val="1"/>
      <w:numFmt w:val="lowerRoman"/>
      <w:lvlText w:val="%9."/>
      <w:lvlJc w:val="right"/>
      <w:pPr>
        <w:ind w:left="3960" w:hanging="440"/>
      </w:pPr>
    </w:lvl>
  </w:abstractNum>
  <w:abstractNum w:abstractNumId="348412725">
    <w:nsid w:val="14C45B35"/>
    <w:multiLevelType w:val="multilevel"/>
    <w:tmpl w:val="14C45B35"/>
    <w:lvl w:ilvl="0" w:tentative="1">
      <w:start w:val="1"/>
      <w:numFmt w:val="decimal"/>
      <w:pStyle w:val="13"/>
      <w:suff w:val="nothing"/>
      <w:lvlText w:val="%1、"/>
      <w:lvlJc w:val="left"/>
      <w:pPr>
        <w:ind w:left="0" w:firstLine="0"/>
      </w:pPr>
      <w:rPr>
        <w:rFonts w:hint="eastAsia"/>
      </w:rPr>
    </w:lvl>
    <w:lvl w:ilvl="1" w:tentative="1">
      <w:start w:val="1"/>
      <w:numFmt w:val="lowerLetter"/>
      <w:lvlText w:val="%2)"/>
      <w:lvlJc w:val="left"/>
      <w:pPr>
        <w:ind w:left="880" w:hanging="440"/>
      </w:pPr>
    </w:lvl>
    <w:lvl w:ilvl="2" w:tentative="1">
      <w:start w:val="1"/>
      <w:numFmt w:val="lowerRoman"/>
      <w:lvlText w:val="%3."/>
      <w:lvlJc w:val="right"/>
      <w:pPr>
        <w:ind w:left="1320" w:hanging="440"/>
      </w:pPr>
    </w:lvl>
    <w:lvl w:ilvl="3" w:tentative="1">
      <w:start w:val="1"/>
      <w:numFmt w:val="decimal"/>
      <w:lvlText w:val="%4."/>
      <w:lvlJc w:val="left"/>
      <w:pPr>
        <w:ind w:left="1760" w:hanging="440"/>
      </w:pPr>
    </w:lvl>
    <w:lvl w:ilvl="4" w:tentative="1">
      <w:start w:val="1"/>
      <w:numFmt w:val="lowerLetter"/>
      <w:lvlText w:val="%5)"/>
      <w:lvlJc w:val="left"/>
      <w:pPr>
        <w:ind w:left="2200" w:hanging="440"/>
      </w:pPr>
    </w:lvl>
    <w:lvl w:ilvl="5" w:tentative="1">
      <w:start w:val="1"/>
      <w:numFmt w:val="lowerRoman"/>
      <w:lvlText w:val="%6."/>
      <w:lvlJc w:val="right"/>
      <w:pPr>
        <w:ind w:left="2640" w:hanging="440"/>
      </w:pPr>
    </w:lvl>
    <w:lvl w:ilvl="6" w:tentative="1">
      <w:start w:val="1"/>
      <w:numFmt w:val="decimal"/>
      <w:lvlText w:val="%7."/>
      <w:lvlJc w:val="left"/>
      <w:pPr>
        <w:ind w:left="3080" w:hanging="440"/>
      </w:pPr>
    </w:lvl>
    <w:lvl w:ilvl="7" w:tentative="1">
      <w:start w:val="1"/>
      <w:numFmt w:val="lowerLetter"/>
      <w:lvlText w:val="%8)"/>
      <w:lvlJc w:val="left"/>
      <w:pPr>
        <w:ind w:left="3520" w:hanging="440"/>
      </w:pPr>
    </w:lvl>
    <w:lvl w:ilvl="8" w:tentative="1">
      <w:start w:val="1"/>
      <w:numFmt w:val="lowerRoman"/>
      <w:lvlText w:val="%9."/>
      <w:lvlJc w:val="right"/>
      <w:pPr>
        <w:ind w:left="3960" w:hanging="440"/>
      </w:pPr>
    </w:lvl>
  </w:abstractNum>
  <w:abstractNum w:abstractNumId="1675063653">
    <w:nsid w:val="63D77165"/>
    <w:multiLevelType w:val="singleLevel"/>
    <w:tmpl w:val="63D77165"/>
    <w:lvl w:ilvl="0" w:tentative="1">
      <w:start w:val="2"/>
      <w:numFmt w:val="decimal"/>
      <w:suff w:val="nothing"/>
      <w:lvlText w:val="%1、"/>
      <w:lvlJc w:val="left"/>
    </w:lvl>
  </w:abstractNum>
  <w:abstractNum w:abstractNumId="1398085122">
    <w:nsid w:val="53551602"/>
    <w:multiLevelType w:val="singleLevel"/>
    <w:tmpl w:val="53551602"/>
    <w:lvl w:ilvl="0" w:tentative="1">
      <w:start w:val="3"/>
      <w:numFmt w:val="chineseCounting"/>
      <w:suff w:val="nothing"/>
      <w:lvlText w:val="%1、"/>
      <w:lvlJc w:val="left"/>
      <w:rPr>
        <w:rFonts w:hint="eastAsia"/>
      </w:rPr>
    </w:lvl>
  </w:abstractNum>
  <w:num w:numId="1">
    <w:abstractNumId w:val="348412725"/>
  </w:num>
  <w:num w:numId="2">
    <w:abstractNumId w:val="1280533256"/>
  </w:num>
  <w:num w:numId="3">
    <w:abstractNumId w:val="1398085122"/>
  </w:num>
  <w:num w:numId="4">
    <w:abstractNumId w:val="167506365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adjustLineHeightInTable/>
    <w:useFELayout/>
    <w:useNormalStyleForList/>
    <w:doNotUseIndentAsNumberingTabStop/>
    <w:allowSpaceOfSameStyleInTable/>
    <w:doNotSuppressIndentation/>
    <w:doNotAutofitConstrainedTables/>
    <w:autofitToFirstFixedWidthCell/>
    <w:displayHangulFixedWidth/>
    <w:doNotVertAlignCellWithSp/>
    <w:doNotBreakConstrainedForcedTable/>
    <w:doNotVertAlignInTxbx/>
    <w:useAnsiKerningPairs/>
    <w:cachedColBalance/>
  </w:compat>
  <w:docVars>
    <w:docVar w:name="commondata" w:val="eyJoZGlkIjoiNDU1MGY4ZmQ0MDhlMDljODc0MjNlNWJjOTEzOWFkOTcifQ=="/>
  </w:docVar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semiHidden="0" w:name="annotation subject"/>
    <w:lsdException w:unhideWhenUsed="0" w:uiPriority="0" w:semiHidden="0" w:name="Balloon Text"/>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paragraph" w:styleId="2">
    <w:name w:val="heading 1"/>
    <w:basedOn w:val="1"/>
    <w:next w:val="1"/>
    <w:qFormat/>
    <w:uiPriority w:val="0"/>
    <w:pPr>
      <w:keepNext/>
      <w:keepLines/>
      <w:spacing w:line="576" w:lineRule="auto"/>
      <w:outlineLvl w:val="0"/>
    </w:pPr>
    <w:rPr>
      <w:b/>
      <w:kern w:val="44"/>
      <w:sz w:val="44"/>
    </w:rPr>
  </w:style>
  <w:style w:type="paragraph" w:styleId="3">
    <w:name w:val="heading 2"/>
    <w:basedOn w:val="1"/>
    <w:next w:val="1"/>
    <w:unhideWhenUsed/>
    <w:qFormat/>
    <w:uiPriority w:val="9"/>
    <w:pPr>
      <w:keepNext/>
      <w:keepLines/>
      <w:snapToGrid w:val="0"/>
      <w:spacing w:line="300" w:lineRule="auto"/>
      <w:ind w:firstLine="200" w:firstLineChars="200"/>
      <w:outlineLvl w:val="1"/>
    </w:pPr>
    <w:rPr>
      <w:rFonts w:ascii="Arial" w:hAnsi="Arial"/>
      <w:b/>
      <w:bCs/>
      <w:szCs w:val="32"/>
    </w:rPr>
  </w:style>
  <w:style w:type="character" w:default="1" w:styleId="10">
    <w:name w:val="Default Paragraph Font"/>
    <w:semiHidden/>
    <w:unhideWhenUsed/>
    <w:uiPriority w:val="1"/>
  </w:style>
  <w:style w:type="paragraph" w:styleId="4">
    <w:name w:val="annotation subject"/>
    <w:basedOn w:val="5"/>
    <w:next w:val="5"/>
    <w:link w:val="19"/>
    <w:uiPriority w:val="0"/>
    <w:rPr>
      <w:b/>
      <w:bCs/>
    </w:rPr>
  </w:style>
  <w:style w:type="paragraph" w:styleId="5">
    <w:name w:val="annotation text"/>
    <w:basedOn w:val="1"/>
    <w:link w:val="18"/>
    <w:uiPriority w:val="0"/>
    <w:pPr>
      <w:jc w:val="left"/>
    </w:pPr>
  </w:style>
  <w:style w:type="paragraph" w:styleId="6">
    <w:name w:val="Body Text"/>
    <w:basedOn w:val="1"/>
    <w:next w:val="7"/>
    <w:unhideWhenUsed/>
    <w:qFormat/>
    <w:uiPriority w:val="99"/>
    <w:rPr>
      <w:rFonts w:ascii="仿宋_GB2312" w:eastAsia="仿宋_GB2312"/>
      <w:sz w:val="32"/>
    </w:rPr>
  </w:style>
  <w:style w:type="paragraph" w:customStyle="1" w:styleId="7">
    <w:name w:val="引用1"/>
    <w:basedOn w:val="1"/>
    <w:next w:val="1"/>
    <w:qFormat/>
    <w:uiPriority w:val="29"/>
    <w:pPr>
      <w:spacing w:beforeLines="50" w:afterLines="50" w:line="360" w:lineRule="auto"/>
    </w:pPr>
    <w:rPr>
      <w:i/>
      <w:iCs/>
      <w:color w:val="000000"/>
      <w:lang w:val="zh-CN"/>
    </w:rPr>
  </w:style>
  <w:style w:type="paragraph" w:styleId="8">
    <w:name w:val="footer"/>
    <w:basedOn w:val="1"/>
    <w:qFormat/>
    <w:uiPriority w:val="99"/>
    <w:pPr>
      <w:tabs>
        <w:tab w:val="center" w:pos="4153"/>
        <w:tab w:val="right" w:pos="8306"/>
      </w:tabs>
      <w:snapToGrid w:val="0"/>
      <w:jc w:val="left"/>
    </w:pPr>
    <w:rPr>
      <w:sz w:val="18"/>
      <w:szCs w:val="18"/>
    </w:rPr>
  </w:style>
  <w:style w:type="paragraph" w:styleId="9">
    <w:name w:val="Normal (Web)"/>
    <w:basedOn w:val="1"/>
    <w:qFormat/>
    <w:uiPriority w:val="0"/>
    <w:pPr>
      <w:spacing w:line="336" w:lineRule="auto"/>
      <w:jc w:val="left"/>
    </w:pPr>
    <w:rPr>
      <w:rFonts w:ascii="宋体" w:hAnsi="宋体"/>
      <w:kern w:val="0"/>
      <w:sz w:val="24"/>
    </w:rPr>
  </w:style>
  <w:style w:type="character" w:styleId="11">
    <w:name w:val="Strong"/>
    <w:qFormat/>
    <w:uiPriority w:val="0"/>
    <w:rPr>
      <w:b/>
    </w:rPr>
  </w:style>
  <w:style w:type="character" w:styleId="12">
    <w:name w:val="annotation reference"/>
    <w:basedOn w:val="10"/>
    <w:uiPriority w:val="0"/>
    <w:rPr>
      <w:sz w:val="21"/>
      <w:szCs w:val="21"/>
    </w:rPr>
  </w:style>
  <w:style w:type="paragraph" w:customStyle="1" w:styleId="13">
    <w:name w:val="Fließtext"/>
    <w:basedOn w:val="1"/>
    <w:qFormat/>
    <w:uiPriority w:val="0"/>
    <w:pPr>
      <w:numPr>
        <w:ilvl w:val="0"/>
        <w:numId w:val="1"/>
      </w:numPr>
      <w:overflowPunct w:val="0"/>
      <w:autoSpaceDE w:val="0"/>
      <w:autoSpaceDN w:val="0"/>
      <w:adjustRightInd w:val="0"/>
      <w:textAlignment w:val="baseline"/>
    </w:pPr>
    <w:rPr>
      <w:rFonts w:ascii="仿宋_GB2312" w:hAnsi="仿宋_GB2312" w:eastAsia="仿宋_GB2312" w:cs="仿宋_GB2312"/>
      <w:kern w:val="0"/>
      <w:sz w:val="32"/>
      <w:szCs w:val="32"/>
    </w:rPr>
  </w:style>
  <w:style w:type="paragraph" w:customStyle="1" w:styleId="14">
    <w:name w:val="xl35"/>
    <w:basedOn w:val="1"/>
    <w:qFormat/>
    <w:uiPriority w:val="0"/>
    <w:pPr>
      <w:pBdr>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sz w:val="24"/>
    </w:rPr>
  </w:style>
  <w:style w:type="paragraph" w:customStyle="1" w:styleId="15">
    <w:name w:val="列表段落1"/>
    <w:basedOn w:val="1"/>
    <w:qFormat/>
    <w:uiPriority w:val="34"/>
    <w:pPr>
      <w:ind w:firstLine="420" w:firstLineChars="200"/>
    </w:pPr>
  </w:style>
  <w:style w:type="paragraph" w:customStyle="1" w:styleId="16">
    <w:name w:val="p0"/>
    <w:basedOn w:val="1"/>
    <w:qFormat/>
    <w:uiPriority w:val="0"/>
    <w:pPr>
      <w:widowControl/>
      <w:spacing w:before="100" w:beforeAutospacing="1" w:after="100" w:afterAutospacing="1"/>
      <w:jc w:val="left"/>
    </w:pPr>
    <w:rPr>
      <w:rFonts w:ascii="宋体" w:hAnsi="宋体" w:cs="宋体"/>
      <w:kern w:val="0"/>
      <w:sz w:val="24"/>
    </w:rPr>
  </w:style>
  <w:style w:type="paragraph" w:customStyle="1" w:styleId="17">
    <w:name w:val="List Paragraph"/>
    <w:basedOn w:val="1"/>
    <w:qFormat/>
    <w:uiPriority w:val="34"/>
    <w:pPr>
      <w:widowControl/>
      <w:spacing w:line="360" w:lineRule="auto"/>
      <w:ind w:firstLine="420" w:firstLineChars="200"/>
      <w:jc w:val="left"/>
    </w:pPr>
    <w:rPr>
      <w:rFonts w:ascii="Times New Roman" w:hAnsi="Times New Roman" w:cs="黑体"/>
      <w:sz w:val="24"/>
    </w:rPr>
  </w:style>
  <w:style w:type="character" w:customStyle="1" w:styleId="18">
    <w:name w:val="批注文字 字符"/>
    <w:basedOn w:val="10"/>
    <w:link w:val="5"/>
    <w:uiPriority w:val="0"/>
    <w:rPr>
      <w:rFonts w:ascii="Calibri" w:hAnsi="Calibri" w:cs="黑体"/>
      <w:kern w:val="2"/>
      <w:sz w:val="21"/>
      <w:szCs w:val="24"/>
    </w:rPr>
  </w:style>
  <w:style w:type="character" w:customStyle="1" w:styleId="19">
    <w:name w:val="批注主题 字符"/>
    <w:basedOn w:val="18"/>
    <w:link w:val="4"/>
    <w:uiPriority w:val="0"/>
    <w:rPr>
      <w:rFonts w:ascii="Calibri" w:hAnsi="Calibri" w:cs="黑体"/>
      <w:b/>
      <w:bCs/>
      <w:kern w:val="2"/>
      <w:sz w:val="21"/>
      <w:szCs w:val="24"/>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footer" Target="footer1.xml"/><Relationship Id="rId5" Type="http://schemas.openxmlformats.org/officeDocument/2006/relationships/theme" Target="theme/theme1.xml"/><Relationship Id="rId6" Type="http://schemas.openxmlformats.org/officeDocument/2006/relationships/customXml" Target="../customXml/item1.xml"/><Relationship Id="rId7" Type="http://schemas.openxmlformats.org/officeDocument/2006/relationships/numbering" Target="numbering.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471</Words>
  <Characters>2690</Characters>
  <Lines>22</Lines>
  <Paragraphs>6</Paragraphs>
  <ScaleCrop>false</ScaleCrop>
  <LinksUpToDate>false</LinksUpToDate>
  <CharactersWithSpaces>0</CharactersWithSpaces>
  <Application>WPS Office 专业版_8.1.0.0_{F1E327BC-269C-435d-A152-05C5408002CA}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2023-05-30T06:42:00Z</dcterms:created>
  <dc:creator>Admin</dc:creator>
  <cp:lastModifiedBy>Admin</cp:lastModifiedBy>
  <cp:lastPrinted>2023-06-20T07:45:00Z</cp:lastPrinted>
  <dcterms:modified xsi:type="dcterms:W3CDTF">2024-12-02T07:12:39Z</dcterms:modified>
  <dc:title>设备科：</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2052-8.1.0.0</vt:lpwstr>
  </property>
  <property fmtid="{D5CDD505-2E9C-101B-9397-08002B2CF9AE}" pid="3" name="ICV">
    <vt:lpwstr>2151DB4C28FD43D283EAAED6AC29DD08_13</vt:lpwstr>
  </property>
</Properties>
</file>