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hint="eastAsia" w:ascii="仿宋_GB2312" w:hAnsi="仿宋_GB2312" w:eastAsia="方正小标宋简体" w:cs="仿宋_GB2312"/>
          <w:b w:val="0"/>
          <w:kern w:val="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福建省肿瘤医院采购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</w:rPr>
        <w:t>调研公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告</w:t>
      </w:r>
    </w:p>
    <w:p>
      <w:pPr>
        <w:widowControl/>
        <w:shd w:val="clear" w:color="auto" w:fill="FFFFFF"/>
        <w:wordWrap/>
        <w:adjustRightInd w:val="0"/>
        <w:snapToGrid w:val="0"/>
        <w:spacing w:beforeLines="50" w:line="59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第一部分 须知前附表</w:t>
      </w:r>
    </w:p>
    <w:tbl>
      <w:tblPr>
        <w:tblpPr w:leftFromText="180" w:rightFromText="180" w:vertAnchor="text" w:horzAnchor="page" w:tblpX="1852" w:tblpY="337"/>
        <w:tblOverlap w:val="never"/>
        <w:tblW w:w="87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福建省肿瘤登记直报数据分析系统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line="5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调研报名时间：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2024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至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(节假日除外)8：00-12：00或14：00-17：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(北京时间）</w:t>
            </w:r>
          </w:p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调研会时间：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 w:color="auto"/>
                <w:lang w:val="en-US" w:eastAsia="zh-CN"/>
              </w:rPr>
              <w:t xml:space="preserve"> 2024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9:00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文件正本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份,副本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份胶装并密封加盖投标人公章。文件未胶装将视为无效。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文件递交处：福建省肿瘤医院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网络技术中心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上述时间、地点如有变动，以单位届时通知为准。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采购报名、采购调研等采购过程中有任何异议，可联系我院监督科室。电话：83660063-8407；83660063-8467。</w:t>
            </w:r>
          </w:p>
        </w:tc>
      </w:tr>
    </w:tbl>
    <w:p>
      <w:pPr>
        <w:widowControl/>
        <w:shd w:val="clear" w:color="auto" w:fill="FFFFFF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地　址： 福建省福州市福马路420号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36" w:lineRule="auto"/>
        <w:ind w:left="1260" w:leftChars="0" w:firstLine="420" w:firstLineChars="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福建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省肿瘤医院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科研楼四楼网络技术中心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邮　编： 350014　 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报名联系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电话： 0591-83660063-8822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 xml:space="preserve">联系人：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金 工</w:t>
      </w:r>
    </w:p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widowControl/>
        <w:shd w:val="clear" w:color="auto" w:fill="FFFFFF"/>
        <w:wordWrap/>
        <w:adjustRightInd w:val="0"/>
        <w:snapToGrid w:val="0"/>
        <w:spacing w:line="240" w:lineRule="auto"/>
        <w:ind w:firstLine="42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第二部分 具体要求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采购内容</w:t>
      </w:r>
    </w:p>
    <w:tbl>
      <w:tblPr>
        <w:tblpPr w:leftFromText="180" w:rightFromText="180" w:vertAnchor="text" w:horzAnchor="page" w:tblpX="1562" w:tblpY="283"/>
        <w:tblOverlap w:val="never"/>
        <w:tblW w:w="9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3475"/>
        <w:gridCol w:w="1293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97" w:type="dxa"/>
            <w:vAlign w:val="center"/>
          </w:tcPr>
          <w:p>
            <w:pPr>
              <w:widowControl/>
              <w:wordWrap/>
              <w:adjustRightInd/>
              <w:snapToGrid w:val="0"/>
              <w:spacing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合同包</w:t>
            </w:r>
          </w:p>
        </w:tc>
        <w:tc>
          <w:tcPr>
            <w:tcW w:w="3475" w:type="dxa"/>
            <w:vAlign w:val="center"/>
          </w:tcPr>
          <w:p>
            <w:pPr>
              <w:widowControl/>
              <w:wordWrap/>
              <w:adjustRightInd/>
              <w:snapToGrid w:val="0"/>
              <w:spacing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wordWrap/>
              <w:adjustRightInd/>
              <w:snapToGrid w:val="0"/>
              <w:spacing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wordWrap/>
              <w:adjustRightInd/>
              <w:snapToGrid w:val="0"/>
              <w:spacing w:afterLine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预算（万元）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697" w:type="dxa"/>
            <w:vAlign w:val="center"/>
          </w:tcPr>
          <w:p>
            <w:pPr>
              <w:widowControl/>
              <w:wordWrap/>
              <w:adjustRightInd/>
              <w:snapToGrid w:val="0"/>
              <w:spacing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一）</w:t>
            </w:r>
          </w:p>
        </w:tc>
        <w:tc>
          <w:tcPr>
            <w:tcW w:w="3475" w:type="dxa"/>
            <w:vAlign w:val="center"/>
          </w:tcPr>
          <w:p>
            <w:pPr>
              <w:widowControl/>
              <w:numPr>
                <w:numId w:val="0"/>
              </w:numPr>
              <w:wordWrap/>
              <w:adjustRightInd/>
              <w:snapToGrid w:val="0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福建省肿瘤登记直报数据分析系统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wordWrap/>
              <w:autoSpaceDN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tabs>
                <w:tab w:val="left" w:pos="356"/>
              </w:tabs>
              <w:wordWrap/>
              <w:autoSpaceDN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</w:tr>
    </w:tbl>
    <w:p>
      <w:pPr>
        <w:keepNext/>
        <w:widowControl/>
        <w:numPr>
          <w:numId w:val="0"/>
        </w:numPr>
        <w:shd w:val="clear" w:color="auto" w:fill="FFFFFF"/>
        <w:autoSpaceDE w:val="0"/>
        <w:spacing w:before="120" w:after="120"/>
        <w:ind w:leftChars="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技术功能及服务要求</w:t>
      </w:r>
    </w:p>
    <w:p>
      <w:pPr>
        <w:pStyle w:val="10"/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1、合同包（一）</w:t>
      </w:r>
    </w:p>
    <w:tbl>
      <w:tblPr>
        <w:tblW w:w="8914" w:type="dxa"/>
        <w:jc w:val="center"/>
        <w:tblInd w:w="5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181"/>
        <w:gridCol w:w="5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wordWrap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81" w:type="dxa"/>
            <w:vAlign w:val="center"/>
          </w:tcPr>
          <w:p>
            <w:pPr>
              <w:widowControl w:val="0"/>
              <w:wordWrap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5983" w:type="dxa"/>
            <w:vAlign w:val="center"/>
          </w:tcPr>
          <w:p>
            <w:pPr>
              <w:widowControl w:val="0"/>
              <w:wordWrap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exac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8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接口对接</w:t>
            </w:r>
          </w:p>
        </w:tc>
        <w:tc>
          <w:tcPr>
            <w:tcW w:w="598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福建省肿瘤登记信息直报平台增加对接中国肿瘤登记对接平台功能，根据中国肿瘤登记对接平台要求进行对接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8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肿瘤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直报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数据分析平台基础功能</w:t>
            </w:r>
          </w:p>
        </w:tc>
        <w:tc>
          <w:tcPr>
            <w:tcW w:w="598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页面、菜单、权限、登录、退出、日志等基础功能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8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直报平台数据同步及清洗</w:t>
            </w:r>
          </w:p>
        </w:tc>
        <w:tc>
          <w:tcPr>
            <w:tcW w:w="598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从直报平台抽取数据同步到肿瘤数据分析平台，并对数据进行相应的处理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8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病例首诊分布分析</w:t>
            </w:r>
          </w:p>
        </w:tc>
        <w:tc>
          <w:tcPr>
            <w:tcW w:w="598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根据报告的新发病例，查询首诊单位，按患者和病种进行统计分布情况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比较不同首诊单位的病例数量及占比，识别高发地区或医院。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exac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8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多原发癌查询分析</w:t>
            </w:r>
          </w:p>
        </w:tc>
        <w:tc>
          <w:tcPr>
            <w:tcW w:w="598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提供查询功能，根据第一发病癌症查询患者的第一发病癌及其他癌症发病信息。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支持导出功能，导出时需包含癌症病理等相关信息。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采用多维度筛选条件，提升查询精准度，并通过可视化工具展示不同原发癌的分布情况。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exac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8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病例组合筛查及分析</w:t>
            </w:r>
          </w:p>
        </w:tc>
        <w:tc>
          <w:tcPr>
            <w:tcW w:w="598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提供自定义查询条件，支持复杂条件组合筛选。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支持批量分析功能，快速获取大规模病例数据的统计信息。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查询结果可导出，便于分享和存档。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exac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8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病例数据匹配</w:t>
            </w:r>
          </w:p>
        </w:tc>
        <w:tc>
          <w:tcPr>
            <w:tcW w:w="5983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根据导入的身份证信息进行病例数据匹配，采用智能算法提升匹配准确性。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在匹配过程中进行数据质量检测，标记潜在问题数据，确保匹配结果的可靠性。</w:t>
            </w:r>
          </w:p>
          <w:p>
            <w:pPr>
              <w:widowControl w:val="0"/>
              <w:wordWrap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可根据自定义字段进行导出所需的病例信息。</w:t>
            </w:r>
          </w:p>
        </w:tc>
      </w:tr>
    </w:tbl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其他要求</w:t>
      </w:r>
    </w:p>
    <w:p>
      <w:pPr>
        <w:pStyle w:val="13"/>
        <w:numPr>
          <w:numId w:val="0"/>
        </w:numPr>
        <w:spacing w:before="0" w:beforeAutospacing="0" w:after="0" w:afterAutospacing="0" w:line="480" w:lineRule="atLeas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1、应结合我院实际医疗及管理需要，对系统进行客户化修改，包括但不限于结合医院实际管理需求；同时不得使用主管部门禁止使用的操作系统及数据库。</w:t>
      </w:r>
    </w:p>
    <w:p>
      <w:pPr>
        <w:pStyle w:val="13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国家《医院信息系统功能规范》第十二条以及国家信息化建设审计要求，至少必须提供数据字典、数据结构与流程、操作使用手册、系统维护手册。必须提供完整的总体设计报告、需求分析说明书、概要设计说明书、详细设计说明书、数据字典、数据结构与流程、测试报告、操作使用手册、系统维护手册。</w:t>
      </w:r>
    </w:p>
    <w:p>
      <w:pPr>
        <w:pStyle w:val="13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据具备各数据表基础数据项的完整性，诸如：数据的创建人、创建时间、最后修改人、最后修改时间等；具备应用系统数据修改痕迹管理，各项核心业务的数据修改必须以日志形式保存，数据修改日志至少必须有“数据基础信息”、“修改前数据”、“修改后数据”、“修改人”、“修改时间”五个部分核心数据项组成；具备应用系统可以手动设置本地日志的保存目录，并自动必须定期清除。</w:t>
      </w:r>
    </w:p>
    <w:p>
      <w:pPr>
        <w:pStyle w:val="13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本项目为交钥匙工程，本项目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与各业务系统及设备的数据接口由中标人自行负责。本项目涉及院内现有各业务系统接口的，采购人不再向中标人支付接口费用。</w:t>
      </w:r>
    </w:p>
    <w:p>
      <w:pPr>
        <w:pStyle w:val="13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应提供与医院HIS，电子病历、危急值平台、报告平台、麻醉耗材、患者360（含HIS360、CDR360）等系统无缝集成接口，符合电子病历6级、医院的互联互通5级、智慧医院4级的建设要求，上述各评级不涉及本系统的功能可以按本次招标内容为准。</w:t>
      </w:r>
    </w:p>
    <w:p>
      <w:pPr>
        <w:pStyle w:val="13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备与集成平台通过统一的数据接口，实现浏览各检查报告具备通过系统集成平台按照国家、院内、院级数据集标准进行数据交换。具备多模式下数据交换接口的切换管理，诸如：集成平台出现故障时，可切换成应用系统服务接口模式或数据表模式，集成平台恢复时，可重新切换成集成平台。</w:t>
      </w:r>
    </w:p>
    <w:p>
      <w:pPr>
        <w:pStyle w:val="13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年内免费实施政策性国家、省市各平台的数据接口、数据上传等服务及免费实施国密改造、信创国产化，包括但不限于：福建省卫健委居民健康综合服务平台、福建省检查检验结果互联互通互认平台、福建省卫健委多码融合项目等，产生相应指标，推送至医疗平台接口中（涉及其他系统，应与其他系统配合实施）。</w:t>
      </w:r>
    </w:p>
    <w:p>
      <w:pPr>
        <w:pStyle w:val="13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所有的工作流程节点（诸如：工作环节名称、患者ID、操作人、操作时间等）必须发送至全院工作流程管理平台进行接收、存储；本项目所涉及的影像文件（照片、图像等），则必须与全院统一影像数据中台实现交互，全部由全院统一影像数据中台进行管理（接收、存储、调阅等），原则上本项目服务器及应用系统不保存所涉及的影像文件（照片、图像等）；各具体接口技术方案待实施时由采购人提供。</w:t>
      </w:r>
    </w:p>
    <w:p>
      <w:pPr>
        <w:pStyle w:val="13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本项目系统需符合《信息安全技术网络安全等级保护基本要求》GB/T22239-2019（三级）要求（下文简称：三级等保2.0），并在三级等保2.0评审中协助完成本系统评审工作。</w:t>
      </w:r>
    </w:p>
    <w:p>
      <w:pPr>
        <w:pStyle w:val="13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与医院现有CA数字签名功能实现对接，满足医院各法规需要。</w:t>
      </w:r>
    </w:p>
    <w:p>
      <w:pPr>
        <w:pStyle w:val="13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若需接入医院APP(实现院外移动端查询)，则中标人应提供H5接口，并支付相应接口费用（不超过3万元），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是否需接入医院APP以项目验收时采购人需求为准。</w:t>
      </w:r>
    </w:p>
    <w:p>
      <w:pPr>
        <w:pStyle w:val="13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在本项目系统软件使用及维保有效期内，本项目软件在每个使用科室使用的终端数量不受限制，数据不得加密，不得使用加密狗、打印加密、功能加密等任何软件使用约束。</w:t>
      </w:r>
    </w:p>
    <w:p>
      <w:pPr>
        <w:pStyle w:val="13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本项目软件部分按总价进行报价，不能以安装工作站数量进行报价。</w:t>
      </w:r>
    </w:p>
    <w:p>
      <w:pPr>
        <w:pStyle w:val="13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本项目系统需完成旧系统中的历史数据导入，旧系统中非自动产生的数据（如手工输入值等），在新系统中可不体现或以默认值体现。若有涉及接口费用，由中标方负责，采购人不再向中标人支付接口费用。</w:t>
      </w:r>
    </w:p>
    <w:p>
      <w:pPr>
        <w:pStyle w:val="13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本项目软件版面色彩、风格等应按医院要求设计制作；软件标题只能出现医院logo及系统名称，不能出现公司名称，公司名称允许在帮助（help）的关于（about）中出现。具体版面另行通知。</w:t>
      </w:r>
    </w:p>
    <w:p>
      <w:pPr>
        <w:pStyle w:val="13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本项目系统安装调试并经验收合格后，应对采购方的相关人员提供关于系统应用时技术和操作方面的培训。相关培训费用应包含在投标总价中。</w:t>
      </w:r>
    </w:p>
    <w:p>
      <w:pPr>
        <w:pStyle w:val="13"/>
        <w:numPr>
          <w:ilvl w:val="0"/>
          <w:numId w:val="2"/>
        </w:numPr>
        <w:spacing w:before="0" w:beforeAutospacing="0" w:after="0" w:afterAutospacing="0" w:line="48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由于本项目与诊疗无关，必须支持国产化操作系统、数据库及前端国产化工作站，暂时未能实现的，后续政策要求时不再另行收费，并在投标文件中出具承诺函。</w:t>
      </w:r>
    </w:p>
    <w:p>
      <w:pPr>
        <w:pStyle w:val="1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调研说明</w:t>
      </w:r>
    </w:p>
    <w:p>
      <w:pPr>
        <w:shd w:val="solid" w:color="FFFFFF" w:fill="auto"/>
        <w:autoSpaceDN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报名参加本次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调研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的供应商、厂家需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提供如下相关资料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numPr>
          <w:numId w:val="0"/>
        </w:numPr>
        <w:wordWrap/>
        <w:snapToGrid/>
        <w:spacing w:before="0" w:after="0" w:line="315" w:lineRule="atLeas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报名请携带加盖公章的项目文件回执单、营业执照复印件、公司简介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提供设备彩页、相关三证等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shd w:val="clear" w:color="auto" w:fill="FFFFFF"/>
        <w:wordWrap/>
        <w:snapToGrid/>
        <w:spacing w:before="0" w:after="0" w:line="500" w:lineRule="atLeast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2、参与项目调研供应商代表的个人授权函（需加盖供应商公章）和身份证复印件。</w:t>
      </w:r>
    </w:p>
    <w:p>
      <w:pPr>
        <w:widowControl/>
        <w:shd w:val="clear" w:color="auto" w:fill="FFFFFF"/>
        <w:wordWrap/>
        <w:snapToGrid/>
        <w:spacing w:before="0" w:after="0" w:line="500" w:lineRule="atLeast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4、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提供业绩清单及近3年省内同类项目中标书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5、本调研会的报价仅做为本项目公开招标的预算限价；不做参与投标的限制条件；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6、上述各参数将做为本项目招标的主要参数，不代表本项目公开招标的最终参数；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7、参加调研会的公司应准备PPT材料（含方案介绍、服务及集成能力、应用案例、报价等）、技术参数等材料，每公司讲解时间30分钟（含答疑10分钟）；同时上述材料须交予院方留档（发送邮件到wlb@fjzlhospital.com，并提供U盘留档）。</w:t>
      </w:r>
    </w:p>
    <w:p>
      <w:pPr>
        <w:pStyle w:val="10"/>
        <w:numPr>
          <w:numId w:val="0"/>
        </w:numPr>
        <w:wordWrap/>
        <w:snapToGrid/>
        <w:spacing w:before="0" w:after="0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hd w:val="solid" w:color="FFFFFF" w:fill="auto"/>
        <w:autoSpaceDN w:val="0"/>
        <w:spacing w:line="420" w:lineRule="atLeast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420" w:lineRule="atLeast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  <w:t>项目文件回执单</w:t>
      </w:r>
    </w:p>
    <w:p>
      <w:pPr>
        <w:shd w:val="solid" w:color="FFFFFF" w:fill="auto"/>
        <w:autoSpaceDN w:val="0"/>
        <w:spacing w:line="420" w:lineRule="atLeas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请有意向参与的公司在项目公示期内携带回执单至福建省肿瘤医院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网络技术中心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报名。</w:t>
      </w:r>
    </w:p>
    <w:tbl>
      <w:tblPr>
        <w:tblW w:w="8154" w:type="dxa"/>
        <w:tblInd w:w="3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651"/>
        <w:gridCol w:w="2115"/>
        <w:gridCol w:w="22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品牌及型号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hd w:val="solid" w:color="FFFFFF" w:fill="auto"/>
              <w:wordWrap/>
              <w:autoSpaceDN w:val="0"/>
              <w:adjustRightInd/>
              <w:snapToGrid w:val="0"/>
              <w:spacing w:line="4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hd w:val="solid" w:color="FFFFFF" w:fill="auto"/>
              <w:wordWrap/>
              <w:autoSpaceDN w:val="0"/>
              <w:adjustRightInd/>
              <w:snapToGrid w:val="0"/>
              <w:spacing w:line="4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hd w:val="solid" w:color="FFFFFF" w:fill="auto"/>
              <w:wordWrap/>
              <w:autoSpaceDN w:val="0"/>
              <w:adjustRightInd/>
              <w:snapToGrid w:val="0"/>
              <w:spacing w:line="4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hd w:val="solid" w:color="FFFFFF" w:fill="auto"/>
              <w:wordWrap/>
              <w:autoSpaceDN w:val="0"/>
              <w:adjustRightInd/>
              <w:snapToGrid w:val="0"/>
              <w:spacing w:line="4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hd w:val="solid" w:color="FFFFFF" w:fill="auto"/>
              <w:wordWrap/>
              <w:autoSpaceDN w:val="0"/>
              <w:adjustRightInd/>
              <w:snapToGrid w:val="0"/>
              <w:spacing w:line="4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hd w:val="solid" w:color="FFFFFF" w:fill="auto"/>
              <w:wordWrap/>
              <w:autoSpaceDN w:val="0"/>
              <w:adjustRightInd/>
              <w:snapToGrid w:val="0"/>
              <w:spacing w:line="4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hd w:val="solid" w:color="FFFFFF" w:fill="auto"/>
              <w:wordWrap/>
              <w:autoSpaceDN w:val="0"/>
              <w:adjustRightInd/>
              <w:snapToGrid w:val="0"/>
              <w:spacing w:line="4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hd w:val="solid" w:color="FFFFFF" w:fill="auto"/>
              <w:wordWrap/>
              <w:autoSpaceDN w:val="0"/>
              <w:adjustRightInd/>
              <w:snapToGrid w:val="0"/>
              <w:spacing w:line="4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420" w:lineRule="atLeas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公司名称：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 xml:space="preserve">联系人：　 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联系电话：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公司盖章：</w:t>
      </w:r>
    </w:p>
    <w:p>
      <w:pPr>
        <w:shd w:val="solid" w:color="FFFFFF" w:fill="auto"/>
        <w:autoSpaceDN w:val="0"/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0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1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福建省肿瘤医院</w:t>
      </w:r>
    </w:p>
    <w:p>
      <w:pPr>
        <w:pStyle w:val="1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   年  月  日</w:t>
      </w:r>
    </w:p>
    <w:bookmarkEnd w:id="0"/>
    <w:sectPr>
      <w:footerReference r:id="rId4" w:type="default"/>
      <w:pgSz w:w="12240" w:h="15840"/>
      <w:pgMar w:top="1134" w:right="1587" w:bottom="1134" w:left="1587" w:header="720" w:footer="720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Quad Arrow 1025" o:spid="_x0000_s1025" style="position:absolute;left:0;margin-top:0pt;height:12.8pt;width:5.3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98085122">
    <w:nsid w:val="53551602"/>
    <w:multiLevelType w:val="singleLevel"/>
    <w:tmpl w:val="53551602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675063653">
    <w:nsid w:val="63D77165"/>
    <w:multiLevelType w:val="singleLevel"/>
    <w:tmpl w:val="63D77165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398085122"/>
  </w:num>
  <w:num w:numId="2">
    <w:abstractNumId w:val="16750636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WYwOWNhMWIwMTM5Y2VhMTQwZDE5YzA3MTI0ODg5N2E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paragraph" w:styleId="4">
    <w:name w:val="Body Text"/>
    <w:basedOn w:val="1"/>
    <w:next w:val="5"/>
    <w:unhideWhenUsed/>
    <w:qFormat/>
    <w:uiPriority w:val="99"/>
    <w:rPr>
      <w:rFonts w:ascii="仿宋_GB2312" w:eastAsia="仿宋_GB2312"/>
      <w:sz w:val="32"/>
    </w:rPr>
  </w:style>
  <w:style w:type="paragraph" w:customStyle="1" w:styleId="5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character" w:styleId="9">
    <w:name w:val="Strong"/>
    <w:qFormat/>
    <w:uiPriority w:val="0"/>
    <w:rPr>
      <w:b/>
    </w:rPr>
  </w:style>
  <w:style w:type="paragraph" w:customStyle="1" w:styleId="10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customStyle="1" w:styleId="11">
    <w:name w:val="xl3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2379</Words>
  <Characters>2574</Characters>
  <Lines>0</Lines>
  <Paragraphs>0</Paragraphs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2023-05-30T06:42:00Z</dcterms:created>
  <dc:creator>Admin</dc:creator>
  <cp:lastModifiedBy>Admin</cp:lastModifiedBy>
  <cp:lastPrinted>2023-06-20T07:45:00Z</cp:lastPrinted>
  <dcterms:modified xsi:type="dcterms:W3CDTF">2024-12-03T05:45:07Z</dcterms:modified>
  <dc:title>设备科：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CF02CCD1830C4651AEA1948F358E3864_13</vt:lpwstr>
  </property>
</Properties>
</file>