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snapToGrid/>
        <w:spacing w:after="0" w:line="480" w:lineRule="atLeast"/>
        <w:jc w:val="center"/>
        <w:rPr>
          <w:rFonts w:hint="eastAsia" w:ascii="宋体" w:hAnsi="宋体" w:eastAsia="宋体" w:cs="宋体"/>
          <w:b/>
          <w:bCs/>
          <w:color w:val="404040"/>
          <w:sz w:val="32"/>
          <w:szCs w:val="32"/>
        </w:rPr>
      </w:pPr>
      <w:r>
        <w:rPr>
          <w:rFonts w:hint="eastAsia" w:ascii="宋体" w:hAnsi="宋体" w:eastAsia="宋体" w:cs="宋体"/>
          <w:b/>
          <w:bCs/>
          <w:color w:val="404040"/>
          <w:sz w:val="32"/>
          <w:szCs w:val="32"/>
        </w:rPr>
        <w:t>福建省肿瘤医院配电房年检服务项目招标文件</w:t>
      </w:r>
    </w:p>
    <w:p>
      <w:pPr>
        <w:adjustRightInd/>
        <w:snapToGrid/>
        <w:spacing w:before="150" w:after="0" w:line="480" w:lineRule="atLeast"/>
        <w:jc w:val="both"/>
        <w:rPr>
          <w:rFonts w:hint="eastAsia" w:ascii="方正仿宋简体" w:hAnsi="宋体" w:eastAsia="方正仿宋简体" w:cs="宋体"/>
          <w:color w:val="404040"/>
          <w:sz w:val="28"/>
          <w:szCs w:val="28"/>
        </w:rPr>
      </w:pPr>
      <w:r>
        <w:rPr>
          <w:rFonts w:hint="eastAsia" w:ascii="黑体" w:hAnsi="黑体" w:eastAsia="黑体" w:cs="宋体"/>
          <w:b/>
          <w:bCs/>
          <w:color w:val="404040"/>
          <w:sz w:val="26"/>
        </w:rPr>
        <w:t>一、招标项目概况和范围</w:t>
      </w:r>
    </w:p>
    <w:p>
      <w:pPr>
        <w:adjustRightInd/>
        <w:snapToGrid/>
        <w:spacing w:after="0" w:line="480" w:lineRule="atLeast"/>
        <w:ind w:firstLine="520" w:firstLineChars="200"/>
        <w:rPr>
          <w:rFonts w:hint="eastAsia" w:ascii="宋体" w:hAnsi="宋体" w:eastAsia="宋体" w:cs="宋体"/>
          <w:color w:val="FF0000"/>
          <w:sz w:val="26"/>
          <w:szCs w:val="26"/>
        </w:rPr>
      </w:pPr>
      <w:r>
        <w:rPr>
          <w:rFonts w:hint="eastAsia" w:ascii="宋体" w:hAnsi="宋体" w:eastAsia="宋体" w:cs="宋体"/>
          <w:color w:val="404040"/>
          <w:sz w:val="26"/>
          <w:szCs w:val="26"/>
        </w:rPr>
        <w:t>1、项目名称：福建省肿瘤医院配电房年检服务</w:t>
      </w:r>
    </w:p>
    <w:p>
      <w:pPr>
        <w:adjustRightInd/>
        <w:snapToGrid/>
        <w:spacing w:before="150" w:after="0" w:line="480" w:lineRule="atLeast"/>
        <w:ind w:firstLine="480"/>
        <w:jc w:val="both"/>
        <w:rPr>
          <w:rFonts w:hint="eastAsia" w:ascii="方正仿宋简体" w:hAnsi="宋体" w:eastAsia="方正仿宋简体" w:cs="宋体"/>
          <w:color w:val="404040"/>
          <w:sz w:val="28"/>
          <w:szCs w:val="28"/>
        </w:rPr>
      </w:pPr>
      <w:r>
        <w:rPr>
          <w:rFonts w:hint="eastAsia" w:ascii="宋体" w:hAnsi="宋体" w:eastAsia="宋体" w:cs="宋体"/>
          <w:color w:val="404040"/>
          <w:sz w:val="26"/>
          <w:szCs w:val="26"/>
        </w:rPr>
        <w:t>2、服务地点：福马路420号。</w:t>
      </w:r>
    </w:p>
    <w:p>
      <w:pPr>
        <w:adjustRightInd/>
        <w:snapToGrid/>
        <w:spacing w:before="150" w:after="0" w:line="480" w:lineRule="atLeast"/>
        <w:ind w:firstLine="480"/>
        <w:jc w:val="both"/>
        <w:rPr>
          <w:rFonts w:hint="eastAsia" w:ascii="方正仿宋简体" w:hAnsi="宋体" w:eastAsia="方正仿宋简体" w:cs="宋体"/>
          <w:color w:val="404040"/>
          <w:sz w:val="28"/>
          <w:szCs w:val="28"/>
        </w:rPr>
      </w:pPr>
      <w:r>
        <w:rPr>
          <w:rFonts w:hint="eastAsia" w:ascii="宋体" w:hAnsi="宋体" w:eastAsia="宋体" w:cs="宋体"/>
          <w:color w:val="404040"/>
          <w:sz w:val="26"/>
          <w:szCs w:val="26"/>
        </w:rPr>
        <w:t>3、招标范围和内容：见附件。</w:t>
      </w:r>
    </w:p>
    <w:p>
      <w:pPr>
        <w:pStyle w:val="27"/>
        <w:adjustRightInd/>
        <w:snapToGrid/>
        <w:spacing w:before="150" w:after="0" w:line="480" w:lineRule="atLeast"/>
        <w:jc w:val="both"/>
        <w:rPr>
          <w:rFonts w:hint="eastAsia" w:ascii="宋体" w:hAnsi="宋体" w:eastAsia="宋体" w:cs="宋体"/>
          <w:color w:val="404040"/>
          <w:sz w:val="26"/>
          <w:szCs w:val="26"/>
        </w:rPr>
      </w:pPr>
      <w:r>
        <w:rPr>
          <w:rFonts w:hint="eastAsia" w:ascii="宋体" w:hAnsi="宋体" w:eastAsia="宋体" w:cs="宋体"/>
          <w:color w:val="404040"/>
          <w:sz w:val="26"/>
          <w:szCs w:val="26"/>
        </w:rPr>
        <w:t>4、质量要求：符合国家标准。</w:t>
      </w:r>
    </w:p>
    <w:p>
      <w:pPr>
        <w:pStyle w:val="25"/>
        <w:rPr>
          <w:rFonts w:hint="eastAsia" w:ascii="宋体" w:hAnsi="宋体" w:eastAsia="宋体" w:cs="宋体"/>
          <w:color w:val="404040"/>
          <w:sz w:val="26"/>
          <w:szCs w:val="26"/>
          <w:lang w:val="en-US" w:eastAsia="zh-CN"/>
        </w:rPr>
      </w:pPr>
    </w:p>
    <w:p>
      <w:pPr>
        <w:pStyle w:val="25"/>
        <w:ind w:left="0" w:leftChars="0" w:firstLine="520" w:firstLineChars="200"/>
        <w:rPr>
          <w:rFonts w:hint="default" w:eastAsia="宋体"/>
          <w:lang w:val="en-US" w:eastAsia="zh-CN"/>
        </w:rPr>
      </w:pPr>
      <w:r>
        <w:rPr>
          <w:rFonts w:hint="eastAsia" w:ascii="宋体" w:hAnsi="宋体" w:eastAsia="宋体" w:cs="宋体"/>
          <w:color w:val="404040"/>
          <w:sz w:val="26"/>
          <w:szCs w:val="26"/>
          <w:lang w:val="en-US" w:eastAsia="zh-CN"/>
        </w:rPr>
        <w:t>5、服务期：3年。</w:t>
      </w:r>
    </w:p>
    <w:p>
      <w:pPr>
        <w:adjustRightInd/>
        <w:snapToGrid/>
        <w:spacing w:before="150" w:after="0" w:line="480" w:lineRule="atLeast"/>
        <w:ind w:firstLine="520" w:firstLineChars="200"/>
        <w:jc w:val="both"/>
        <w:rPr>
          <w:rFonts w:hint="eastAsia" w:ascii="宋体" w:hAnsi="宋体" w:eastAsia="宋体" w:cs="宋体"/>
          <w:color w:val="404040"/>
          <w:sz w:val="26"/>
          <w:szCs w:val="26"/>
        </w:rPr>
      </w:pPr>
      <w:r>
        <w:rPr>
          <w:rFonts w:hint="eastAsia" w:ascii="宋体" w:hAnsi="宋体" w:eastAsia="宋体" w:cs="宋体"/>
          <w:color w:val="404040"/>
          <w:sz w:val="26"/>
          <w:szCs w:val="26"/>
          <w:lang w:val="en-US" w:eastAsia="zh-CN"/>
        </w:rPr>
        <w:t>6</w:t>
      </w:r>
      <w:r>
        <w:rPr>
          <w:rFonts w:hint="eastAsia" w:ascii="宋体" w:hAnsi="宋体" w:eastAsia="宋体" w:cs="宋体"/>
          <w:color w:val="404040"/>
          <w:sz w:val="26"/>
          <w:szCs w:val="26"/>
        </w:rPr>
        <w:t>、预算价：28.65</w:t>
      </w:r>
      <w:r>
        <w:rPr>
          <w:rFonts w:hint="eastAsia" w:ascii="宋体" w:hAnsi="宋体" w:eastAsia="宋体" w:cs="宋体"/>
          <w:b/>
          <w:bCs/>
          <w:color w:val="404040"/>
          <w:sz w:val="26"/>
          <w:szCs w:val="26"/>
        </w:rPr>
        <w:t>万</w:t>
      </w:r>
    </w:p>
    <w:p>
      <w:pPr>
        <w:adjustRightInd/>
        <w:snapToGrid/>
        <w:spacing w:before="150" w:after="0" w:line="480" w:lineRule="atLeast"/>
        <w:jc w:val="both"/>
        <w:rPr>
          <w:rFonts w:hint="eastAsia" w:ascii="方正仿宋简体" w:hAnsi="宋体" w:eastAsia="方正仿宋简体" w:cs="宋体"/>
          <w:color w:val="404040"/>
          <w:sz w:val="28"/>
          <w:szCs w:val="28"/>
        </w:rPr>
      </w:pPr>
      <w:r>
        <w:rPr>
          <w:rFonts w:hint="eastAsia" w:ascii="黑体" w:hAnsi="黑体" w:eastAsia="黑体" w:cs="宋体"/>
          <w:b/>
          <w:bCs/>
          <w:color w:val="404040"/>
          <w:sz w:val="26"/>
        </w:rPr>
        <w:t>二、投标人资格要求及审查办法</w:t>
      </w:r>
      <w:bookmarkStart w:id="5" w:name="_GoBack"/>
      <w:bookmarkEnd w:id="5"/>
    </w:p>
    <w:p>
      <w:pPr>
        <w:pStyle w:val="25"/>
        <w:numPr>
          <w:ilvl w:val="0"/>
          <w:numId w:val="1"/>
        </w:numPr>
        <w:tabs>
          <w:tab w:val="left" w:pos="420"/>
        </w:tabs>
        <w:adjustRightInd/>
        <w:snapToGrid/>
        <w:spacing w:before="150" w:after="0" w:line="480" w:lineRule="atLeast"/>
        <w:jc w:val="both"/>
        <w:rPr>
          <w:rFonts w:hint="eastAsia" w:ascii="宋体" w:hAnsi="宋体" w:eastAsia="宋体" w:cs="宋体"/>
          <w:color w:val="404040"/>
          <w:sz w:val="26"/>
          <w:szCs w:val="26"/>
        </w:rPr>
      </w:pPr>
      <w:r>
        <w:rPr>
          <w:rFonts w:hint="eastAsia" w:ascii="宋体" w:hAnsi="宋体" w:eastAsia="宋体" w:cs="宋体"/>
          <w:color w:val="404040"/>
          <w:sz w:val="26"/>
          <w:szCs w:val="26"/>
        </w:rPr>
        <w:t>满足《中华人民共和国政府采购法》第二十二条规定。</w:t>
      </w:r>
    </w:p>
    <w:p>
      <w:pPr>
        <w:pStyle w:val="25"/>
        <w:numPr>
          <w:ilvl w:val="0"/>
          <w:numId w:val="1"/>
        </w:numPr>
        <w:tabs>
          <w:tab w:val="left" w:pos="420"/>
        </w:tabs>
        <w:adjustRightInd/>
        <w:snapToGrid/>
        <w:spacing w:before="150" w:after="0" w:line="480" w:lineRule="atLeast"/>
        <w:jc w:val="both"/>
        <w:rPr>
          <w:rFonts w:hint="eastAsia" w:ascii="宋体" w:hAnsi="宋体" w:eastAsia="宋体" w:cs="宋体"/>
          <w:color w:val="404040"/>
          <w:sz w:val="26"/>
          <w:szCs w:val="26"/>
        </w:rPr>
      </w:pPr>
      <w:r>
        <w:rPr>
          <w:rFonts w:hint="eastAsia" w:ascii="宋体" w:hAnsi="宋体" w:eastAsia="宋体" w:cs="宋体"/>
          <w:color w:val="404040"/>
          <w:sz w:val="26"/>
          <w:szCs w:val="26"/>
        </w:rPr>
        <w:t>落实政府采购政策需满足的资格要求。</w:t>
      </w:r>
    </w:p>
    <w:p>
      <w:pPr>
        <w:pStyle w:val="25"/>
        <w:numPr>
          <w:ilvl w:val="0"/>
          <w:numId w:val="1"/>
        </w:numPr>
        <w:tabs>
          <w:tab w:val="left" w:pos="420"/>
        </w:tabs>
        <w:adjustRightInd/>
        <w:snapToGrid/>
        <w:spacing w:before="150" w:after="0" w:line="480" w:lineRule="atLeast"/>
        <w:jc w:val="both"/>
        <w:rPr>
          <w:rFonts w:hint="eastAsia" w:ascii="宋体" w:hAnsi="宋体" w:eastAsia="宋体" w:cs="宋体"/>
          <w:color w:val="404040"/>
          <w:sz w:val="26"/>
          <w:szCs w:val="26"/>
        </w:rPr>
      </w:pPr>
      <w:r>
        <w:rPr>
          <w:rFonts w:hint="eastAsia" w:ascii="宋体" w:hAnsi="宋体" w:eastAsia="宋体" w:cs="宋体"/>
          <w:color w:val="404040"/>
          <w:sz w:val="26"/>
          <w:szCs w:val="26"/>
        </w:rPr>
        <w:t>委托代表人资格证明书（附法人及委托人身份证）。</w:t>
      </w:r>
    </w:p>
    <w:p>
      <w:pPr>
        <w:pStyle w:val="25"/>
        <w:numPr>
          <w:ilvl w:val="0"/>
          <w:numId w:val="1"/>
        </w:numPr>
        <w:tabs>
          <w:tab w:val="left" w:pos="420"/>
        </w:tabs>
        <w:adjustRightInd/>
        <w:snapToGrid/>
        <w:spacing w:before="150" w:after="0" w:line="480" w:lineRule="atLeast"/>
        <w:jc w:val="both"/>
        <w:rPr>
          <w:rFonts w:hint="eastAsia" w:ascii="宋体" w:hAnsi="宋体" w:eastAsia="宋体" w:cs="宋体"/>
          <w:color w:val="404040"/>
          <w:sz w:val="26"/>
          <w:szCs w:val="26"/>
        </w:rPr>
      </w:pPr>
      <w:r>
        <w:rPr>
          <w:rFonts w:hint="eastAsia" w:ascii="宋体" w:hAnsi="宋体" w:eastAsia="宋体" w:cs="宋体"/>
          <w:color w:val="404040"/>
          <w:sz w:val="26"/>
          <w:szCs w:val="26"/>
        </w:rPr>
        <w:t>参加本次活动前三年内，在经营活动中没有重大违法违规记录的承诺。</w:t>
      </w:r>
    </w:p>
    <w:p>
      <w:pPr>
        <w:pStyle w:val="25"/>
        <w:numPr>
          <w:ilvl w:val="0"/>
          <w:numId w:val="1"/>
        </w:numPr>
        <w:tabs>
          <w:tab w:val="left" w:pos="420"/>
        </w:tabs>
        <w:adjustRightInd/>
        <w:snapToGrid/>
        <w:spacing w:before="150" w:after="0" w:line="480" w:lineRule="atLeast"/>
        <w:jc w:val="both"/>
        <w:rPr>
          <w:rFonts w:hint="eastAsia" w:ascii="宋体" w:hAnsi="宋体" w:eastAsia="宋体" w:cs="宋体"/>
          <w:color w:val="404040"/>
          <w:sz w:val="26"/>
          <w:szCs w:val="26"/>
        </w:rPr>
      </w:pPr>
      <w:r>
        <w:rPr>
          <w:rFonts w:hint="eastAsia" w:ascii="宋体" w:hAnsi="宋体" w:eastAsia="宋体" w:cs="宋体"/>
          <w:color w:val="404040"/>
          <w:sz w:val="26"/>
          <w:szCs w:val="26"/>
          <w:lang w:val="en-US" w:eastAsia="zh-CN"/>
        </w:rPr>
        <w:t>投标人</w:t>
      </w:r>
      <w:r>
        <w:rPr>
          <w:rFonts w:hint="eastAsia" w:ascii="宋体" w:hAnsi="宋体" w:eastAsia="宋体" w:cs="宋体"/>
          <w:color w:val="404040"/>
          <w:sz w:val="26"/>
          <w:szCs w:val="26"/>
        </w:rPr>
        <w:t>具备</w:t>
      </w:r>
      <w:r>
        <w:rPr>
          <w:rFonts w:hint="eastAsia" w:ascii="宋体" w:hAnsi="宋体" w:eastAsia="宋体" w:cs="宋体"/>
          <w:color w:val="404040"/>
          <w:sz w:val="26"/>
          <w:szCs w:val="26"/>
          <w:lang w:eastAsia="zh-CN"/>
        </w:rPr>
        <w:t>承装（修、试）电力设施</w:t>
      </w:r>
      <w:r>
        <w:rPr>
          <w:rFonts w:hint="eastAsia" w:ascii="宋体" w:hAnsi="宋体" w:eastAsia="宋体" w:cs="宋体"/>
          <w:color w:val="404040"/>
          <w:sz w:val="26"/>
          <w:szCs w:val="26"/>
        </w:rPr>
        <w:t>许可证四级或以上资质，电力工程施工承包三级或输变电专业承包</w:t>
      </w:r>
      <w:r>
        <w:rPr>
          <w:rFonts w:hint="eastAsia" w:ascii="宋体" w:hAnsi="宋体" w:eastAsia="宋体" w:cs="宋体"/>
          <w:color w:val="404040"/>
          <w:sz w:val="26"/>
          <w:szCs w:val="26"/>
          <w:lang w:val="en-US" w:eastAsia="zh-CN"/>
        </w:rPr>
        <w:t>三级</w:t>
      </w:r>
      <w:r>
        <w:rPr>
          <w:rFonts w:hint="eastAsia" w:ascii="宋体" w:hAnsi="宋体" w:eastAsia="宋体" w:cs="宋体"/>
          <w:color w:val="404040"/>
          <w:sz w:val="26"/>
          <w:szCs w:val="26"/>
        </w:rPr>
        <w:t>以上资质及安全生产许可证</w:t>
      </w:r>
      <w:r>
        <w:rPr>
          <w:rFonts w:hint="eastAsia" w:ascii="宋体" w:hAnsi="宋体" w:eastAsia="宋体" w:cs="宋体"/>
          <w:color w:val="404040"/>
          <w:sz w:val="26"/>
          <w:szCs w:val="26"/>
          <w:lang w:eastAsia="zh-CN"/>
        </w:rPr>
        <w:t>。</w:t>
      </w:r>
    </w:p>
    <w:p>
      <w:pPr>
        <w:pStyle w:val="25"/>
        <w:numPr>
          <w:ilvl w:val="0"/>
          <w:numId w:val="1"/>
        </w:numPr>
        <w:tabs>
          <w:tab w:val="left" w:pos="420"/>
        </w:tabs>
        <w:adjustRightInd/>
        <w:snapToGrid/>
        <w:spacing w:before="150" w:after="0" w:line="480" w:lineRule="atLeast"/>
        <w:jc w:val="both"/>
        <w:rPr>
          <w:rFonts w:hint="eastAsia" w:ascii="宋体" w:hAnsi="宋体" w:eastAsia="宋体" w:cs="宋体"/>
          <w:color w:val="404040"/>
          <w:sz w:val="26"/>
          <w:szCs w:val="26"/>
        </w:rPr>
      </w:pPr>
      <w:r>
        <w:rPr>
          <w:rFonts w:hint="eastAsia" w:ascii="宋体" w:hAnsi="宋体" w:eastAsia="宋体" w:cs="宋体"/>
          <w:color w:val="404040"/>
          <w:sz w:val="26"/>
          <w:szCs w:val="26"/>
        </w:rPr>
        <w:t>投标人拟担任本招标项目的项目负责人须具备有效的不低于贰级机电工程专业注册建造师执业资格(或建造师临时执业资格)，并具备有效的安全生产考核合格证书(B证)</w:t>
      </w:r>
      <w:r>
        <w:rPr>
          <w:rFonts w:hint="eastAsia" w:ascii="宋体" w:hAnsi="宋体" w:eastAsia="宋体" w:cs="宋体"/>
          <w:color w:val="404040"/>
          <w:sz w:val="26"/>
          <w:szCs w:val="26"/>
          <w:lang w:eastAsia="zh-CN"/>
        </w:rPr>
        <w:t>、</w:t>
      </w:r>
      <w:r>
        <w:rPr>
          <w:rFonts w:hint="eastAsia" w:ascii="宋体" w:hAnsi="宋体" w:eastAsia="宋体" w:cs="宋体"/>
          <w:color w:val="404040"/>
          <w:sz w:val="26"/>
          <w:szCs w:val="26"/>
          <w:lang w:val="en-US" w:eastAsia="zh-CN"/>
        </w:rPr>
        <w:t>福建省应急管理厅颁发的电工证</w:t>
      </w:r>
      <w:r>
        <w:rPr>
          <w:rFonts w:hint="eastAsia" w:ascii="宋体" w:hAnsi="宋体" w:eastAsia="宋体" w:cs="宋体"/>
          <w:color w:val="404040"/>
          <w:sz w:val="26"/>
          <w:szCs w:val="26"/>
        </w:rPr>
        <w:t>。</w:t>
      </w:r>
    </w:p>
    <w:p>
      <w:pPr>
        <w:pStyle w:val="25"/>
        <w:numPr>
          <w:ilvl w:val="0"/>
          <w:numId w:val="1"/>
        </w:numPr>
        <w:tabs>
          <w:tab w:val="left" w:pos="420"/>
        </w:tabs>
        <w:adjustRightInd/>
        <w:snapToGrid/>
        <w:spacing w:before="150" w:after="0" w:line="480" w:lineRule="atLeast"/>
        <w:jc w:val="both"/>
        <w:rPr>
          <w:rFonts w:hint="eastAsia" w:ascii="宋体" w:hAnsi="宋体" w:eastAsia="宋体" w:cs="宋体"/>
          <w:color w:val="404040"/>
          <w:sz w:val="26"/>
          <w:szCs w:val="26"/>
        </w:rPr>
      </w:pPr>
      <w:r>
        <w:rPr>
          <w:rFonts w:hint="eastAsia" w:ascii="宋体" w:hAnsi="宋体" w:eastAsia="宋体" w:cs="宋体"/>
          <w:color w:val="404040"/>
          <w:sz w:val="26"/>
          <w:szCs w:val="26"/>
        </w:rPr>
        <w:t>资格审查采用方式：资格后审。</w:t>
      </w:r>
    </w:p>
    <w:p>
      <w:pPr>
        <w:pStyle w:val="25"/>
        <w:numPr>
          <w:ilvl w:val="0"/>
          <w:numId w:val="1"/>
        </w:numPr>
        <w:tabs>
          <w:tab w:val="left" w:pos="420"/>
        </w:tabs>
        <w:adjustRightInd/>
        <w:snapToGrid/>
        <w:spacing w:before="150" w:after="0" w:line="480" w:lineRule="atLeast"/>
        <w:jc w:val="both"/>
        <w:rPr>
          <w:rFonts w:hint="eastAsia" w:ascii="宋体" w:hAnsi="宋体" w:eastAsia="宋体" w:cs="宋体"/>
          <w:color w:val="404040"/>
          <w:sz w:val="26"/>
          <w:szCs w:val="26"/>
        </w:rPr>
      </w:pPr>
      <w:r>
        <w:rPr>
          <w:rFonts w:hint="eastAsia" w:ascii="宋体" w:hAnsi="宋体" w:eastAsia="宋体" w:cs="宋体"/>
          <w:color w:val="404040"/>
          <w:sz w:val="26"/>
          <w:szCs w:val="26"/>
        </w:rPr>
        <w:t>本招标项目不接受联合体投标，不接受备选投标方案，不允许分包。</w:t>
      </w:r>
    </w:p>
    <w:p>
      <w:pPr>
        <w:pStyle w:val="25"/>
        <w:numPr>
          <w:ilvl w:val="0"/>
          <w:numId w:val="1"/>
        </w:numPr>
        <w:tabs>
          <w:tab w:val="left" w:pos="420"/>
        </w:tabs>
        <w:adjustRightInd/>
        <w:snapToGrid/>
        <w:spacing w:before="150" w:after="0" w:line="480" w:lineRule="atLeast"/>
        <w:jc w:val="both"/>
        <w:rPr>
          <w:rFonts w:hint="eastAsia" w:ascii="宋体" w:hAnsi="宋体" w:eastAsia="宋体" w:cs="宋体"/>
          <w:color w:val="404040"/>
          <w:sz w:val="26"/>
          <w:szCs w:val="26"/>
        </w:rPr>
      </w:pPr>
      <w:r>
        <w:rPr>
          <w:rFonts w:hint="eastAsia" w:ascii="宋体" w:hAnsi="宋体" w:eastAsia="宋体" w:cs="宋体"/>
          <w:color w:val="404040"/>
          <w:sz w:val="26"/>
          <w:szCs w:val="26"/>
        </w:rPr>
        <w:t>投标人应通过“信用中国（</w:t>
      </w:r>
      <w:r>
        <w:rPr>
          <w:rFonts w:hint="eastAsia"/>
        </w:rPr>
        <w:fldChar w:fldCharType="begin"/>
      </w:r>
      <w:r>
        <w:instrText xml:space="preserve"> HYPERLINK "http://www.creditchina.gov.cn/" </w:instrText>
      </w:r>
      <w:r>
        <w:rPr>
          <w:rFonts w:hint="eastAsia"/>
        </w:rPr>
        <w:fldChar w:fldCharType="separate"/>
      </w:r>
      <w:r>
        <w:rPr>
          <w:rFonts w:hint="eastAsia"/>
          <w:color w:val="404040"/>
        </w:rPr>
        <w:t>www.creditchina.gov.cn</w:t>
      </w:r>
      <w:r>
        <w:rPr>
          <w:rFonts w:hint="eastAsia"/>
          <w:color w:val="404040"/>
        </w:rPr>
        <w:fldChar w:fldCharType="end"/>
      </w:r>
      <w:r>
        <w:rPr>
          <w:rFonts w:hint="eastAsia" w:ascii="宋体" w:hAnsi="宋体" w:eastAsia="宋体" w:cs="宋体"/>
          <w:color w:val="404040"/>
          <w:sz w:val="26"/>
          <w:szCs w:val="26"/>
        </w:rPr>
        <w:t>)”、“中国政府采购网(</w:t>
      </w:r>
      <w:r>
        <w:fldChar w:fldCharType="begin"/>
      </w:r>
      <w:r>
        <w:instrText xml:space="preserve"> HYPERLINK "http://www.ccgp.gov.cn" </w:instrText>
      </w:r>
      <w:r>
        <w:fldChar w:fldCharType="separate"/>
      </w:r>
      <w:r>
        <w:rPr>
          <w:rFonts w:hint="eastAsia"/>
          <w:color w:val="404040"/>
        </w:rPr>
        <w:t>www.ccgp.gov.cn</w:t>
      </w:r>
      <w:r>
        <w:rPr>
          <w:rFonts w:hint="eastAsia"/>
          <w:color w:val="404040"/>
        </w:rPr>
        <w:fldChar w:fldCharType="end"/>
      </w:r>
      <w:r>
        <w:rPr>
          <w:rFonts w:hint="eastAsia" w:ascii="宋体" w:hAnsi="宋体" w:eastAsia="宋体" w:cs="宋体"/>
          <w:color w:val="404040"/>
          <w:sz w:val="26"/>
          <w:szCs w:val="26"/>
        </w:rPr>
        <w:t>)”查询并打印相应的信用记录。</w:t>
      </w:r>
    </w:p>
    <w:p>
      <w:pPr>
        <w:pStyle w:val="25"/>
        <w:numPr>
          <w:ilvl w:val="0"/>
          <w:numId w:val="1"/>
        </w:numPr>
        <w:tabs>
          <w:tab w:val="left" w:pos="420"/>
        </w:tabs>
        <w:adjustRightInd/>
        <w:snapToGrid/>
        <w:spacing w:before="150" w:after="0" w:line="480" w:lineRule="atLeast"/>
        <w:jc w:val="both"/>
        <w:rPr>
          <w:rFonts w:hint="eastAsia" w:ascii="宋体" w:hAnsi="宋体" w:eastAsia="宋体" w:cs="宋体"/>
          <w:color w:val="404040"/>
          <w:sz w:val="26"/>
          <w:szCs w:val="26"/>
        </w:rPr>
      </w:pPr>
      <w:r>
        <w:rPr>
          <w:rFonts w:hint="eastAsia" w:ascii="宋体" w:hAnsi="宋体" w:eastAsia="宋体" w:cs="宋体"/>
          <w:color w:val="404040"/>
          <w:sz w:val="26"/>
          <w:szCs w:val="26"/>
        </w:rPr>
        <w:t>投标人应对投标文件资料的真实性负责，招标人在授予合同之前有权对其投标文件资料进行核实，如发现所提交的资料不真实，招标人将视其为以弄虚作假方式骗取中标，其中标无效，若给招标人造成损失的，应依法承担赔偿责任，并列入医院供应商黑名单，院方有权在今后采购活动中拒绝接受其投标材料。</w:t>
      </w:r>
    </w:p>
    <w:p>
      <w:pPr>
        <w:adjustRightInd/>
        <w:snapToGrid/>
        <w:spacing w:before="150" w:after="0" w:line="480" w:lineRule="atLeast"/>
        <w:ind w:left="284" w:firstLine="520" w:firstLineChars="200"/>
        <w:jc w:val="both"/>
        <w:rPr>
          <w:rFonts w:hint="eastAsia" w:ascii="宋体" w:hAnsi="宋体" w:eastAsia="宋体" w:cs="宋体"/>
          <w:color w:val="404040"/>
          <w:sz w:val="26"/>
          <w:szCs w:val="26"/>
        </w:rPr>
      </w:pPr>
      <w:r>
        <w:rPr>
          <w:rFonts w:hint="eastAsia" w:ascii="宋体" w:hAnsi="宋体" w:eastAsia="宋体" w:cs="宋体"/>
          <w:color w:val="404040"/>
          <w:sz w:val="26"/>
          <w:szCs w:val="26"/>
        </w:rPr>
        <w:t>上述提供材料均须加盖公章。</w:t>
      </w:r>
    </w:p>
    <w:p>
      <w:pPr>
        <w:adjustRightInd/>
        <w:snapToGrid/>
        <w:spacing w:before="150" w:after="0" w:line="480" w:lineRule="atLeast"/>
        <w:ind w:firstLine="520" w:firstLineChars="200"/>
        <w:jc w:val="both"/>
        <w:rPr>
          <w:rFonts w:hint="eastAsia" w:ascii="宋体" w:hAnsi="宋体" w:eastAsia="宋体" w:cs="宋体"/>
          <w:color w:val="404040"/>
          <w:sz w:val="26"/>
          <w:szCs w:val="26"/>
        </w:rPr>
      </w:pPr>
      <w:r>
        <w:rPr>
          <w:rFonts w:hint="eastAsia" w:ascii="宋体" w:hAnsi="宋体" w:eastAsia="宋体" w:cs="宋体"/>
          <w:color w:val="404040"/>
          <w:sz w:val="26"/>
          <w:szCs w:val="26"/>
        </w:rPr>
        <w:t>备注：本项目基本资格条件采取“信用承诺制”，投标人提供资格承诺函(格式详见附件)的即可参加采购活动，在投标文件中无需再提供财务状况报告、依法缴纳税收和社会保障资金的相关证明材料。投标人可自行选择是否提供资格承诺函，若不提供资格承诺函的，应按招标文件要求提供相应的证明材料。投标人应当遵循诚实信用原则，不得作虚假承诺，投标人承诺不实的，属于提供虚假材料谋取中标、成交，应依法承担相应的法律责任。</w:t>
      </w:r>
    </w:p>
    <w:p>
      <w:pPr>
        <w:adjustRightInd/>
        <w:snapToGrid/>
        <w:spacing w:before="150" w:after="0" w:line="480" w:lineRule="atLeast"/>
        <w:jc w:val="both"/>
        <w:rPr>
          <w:rFonts w:hint="eastAsia" w:ascii="方正仿宋简体" w:hAnsi="宋体" w:eastAsia="方正仿宋简体" w:cs="宋体"/>
          <w:color w:val="404040"/>
          <w:sz w:val="28"/>
          <w:szCs w:val="28"/>
        </w:rPr>
      </w:pPr>
      <w:r>
        <w:rPr>
          <w:rFonts w:hint="eastAsia" w:ascii="黑体" w:hAnsi="黑体" w:eastAsia="黑体" w:cs="宋体"/>
          <w:b/>
          <w:bCs/>
          <w:color w:val="404040"/>
          <w:sz w:val="26"/>
        </w:rPr>
        <w:t>三、招标文件的获取</w:t>
      </w:r>
    </w:p>
    <w:p>
      <w:pPr>
        <w:adjustRightInd/>
        <w:snapToGrid/>
        <w:spacing w:before="150" w:after="0" w:line="480" w:lineRule="atLeast"/>
        <w:jc w:val="both"/>
        <w:rPr>
          <w:rFonts w:hint="eastAsia" w:ascii="宋体" w:hAnsi="宋体" w:eastAsia="宋体" w:cs="宋体"/>
          <w:color w:val="404040"/>
          <w:sz w:val="26"/>
          <w:szCs w:val="26"/>
        </w:rPr>
      </w:pPr>
      <w:r>
        <w:rPr>
          <w:rFonts w:hint="eastAsia" w:ascii="仿宋_GB2312" w:hAnsi="宋体" w:eastAsia="仿宋_GB2312" w:cs="宋体"/>
          <w:color w:val="404040"/>
          <w:sz w:val="24"/>
          <w:szCs w:val="24"/>
        </w:rPr>
        <w:t>  </w:t>
      </w:r>
      <w:r>
        <w:rPr>
          <w:rFonts w:hint="eastAsia" w:ascii="宋体" w:hAnsi="宋体" w:eastAsia="宋体" w:cs="宋体"/>
          <w:color w:val="404040"/>
          <w:sz w:val="26"/>
          <w:szCs w:val="26"/>
        </w:rPr>
        <w:t> 1、本招标项目不采用电子招投标。</w:t>
      </w:r>
    </w:p>
    <w:p>
      <w:pPr>
        <w:adjustRightInd/>
        <w:snapToGrid/>
        <w:spacing w:before="150" w:after="0" w:line="480" w:lineRule="atLeast"/>
        <w:jc w:val="both"/>
        <w:rPr>
          <w:rFonts w:hint="eastAsia" w:ascii="宋体" w:hAnsi="宋体" w:eastAsia="宋体" w:cs="宋体"/>
          <w:color w:val="404040"/>
          <w:sz w:val="26"/>
          <w:szCs w:val="26"/>
        </w:rPr>
      </w:pPr>
      <w:r>
        <w:rPr>
          <w:rFonts w:hint="eastAsia" w:ascii="宋体" w:hAnsi="宋体" w:eastAsia="宋体" w:cs="宋体"/>
          <w:color w:val="404040"/>
          <w:sz w:val="26"/>
          <w:szCs w:val="26"/>
        </w:rPr>
        <w:t>   2、</w:t>
      </w:r>
      <w:r>
        <w:rPr>
          <w:rFonts w:hint="eastAsia" w:ascii="宋体" w:hAnsi="宋体" w:eastAsia="宋体" w:cs="宋体"/>
          <w:color w:val="auto"/>
          <w:sz w:val="26"/>
          <w:szCs w:val="26"/>
          <w:highlight w:val="none"/>
        </w:rPr>
        <w:t>凡有意参加投标者，请于2025年04月</w:t>
      </w:r>
      <w:r>
        <w:rPr>
          <w:rFonts w:hint="eastAsia" w:ascii="宋体" w:hAnsi="宋体" w:eastAsia="宋体" w:cs="宋体"/>
          <w:color w:val="auto"/>
          <w:sz w:val="26"/>
          <w:szCs w:val="26"/>
          <w:highlight w:val="none"/>
          <w:lang w:val="en-US" w:eastAsia="zh-CN"/>
        </w:rPr>
        <w:t>3</w:t>
      </w:r>
      <w:r>
        <w:rPr>
          <w:rFonts w:hint="eastAsia" w:ascii="宋体" w:hAnsi="宋体" w:eastAsia="宋体" w:cs="宋体"/>
          <w:color w:val="auto"/>
          <w:sz w:val="26"/>
          <w:szCs w:val="26"/>
          <w:highlight w:val="none"/>
        </w:rPr>
        <w:t>日至2025年4月</w:t>
      </w:r>
      <w:r>
        <w:rPr>
          <w:rFonts w:hint="eastAsia" w:ascii="宋体" w:hAnsi="宋体" w:eastAsia="宋体" w:cs="宋体"/>
          <w:color w:val="auto"/>
          <w:sz w:val="26"/>
          <w:szCs w:val="26"/>
          <w:highlight w:val="none"/>
          <w:lang w:val="en-US" w:eastAsia="zh-CN"/>
        </w:rPr>
        <w:t>10</w:t>
      </w:r>
      <w:r>
        <w:rPr>
          <w:rFonts w:hint="eastAsia" w:ascii="宋体" w:hAnsi="宋体" w:eastAsia="宋体" w:cs="宋体"/>
          <w:color w:val="auto"/>
          <w:sz w:val="26"/>
          <w:szCs w:val="26"/>
          <w:highlight w:val="none"/>
        </w:rPr>
        <w:t>日(节假日除外)8：00-12：00或14：00-17：00，携带加盖公章的营业执照复印件、介绍信前往福建省肿瘤医院总务科报名。</w:t>
      </w:r>
    </w:p>
    <w:p>
      <w:pPr>
        <w:adjustRightInd/>
        <w:snapToGrid/>
        <w:spacing w:before="150" w:after="0" w:line="480" w:lineRule="atLeast"/>
        <w:jc w:val="both"/>
        <w:rPr>
          <w:rFonts w:hint="eastAsia" w:ascii="方正仿宋简体" w:hAnsi="宋体" w:eastAsia="方正仿宋简体" w:cs="宋体"/>
          <w:color w:val="404040"/>
          <w:sz w:val="28"/>
          <w:szCs w:val="28"/>
        </w:rPr>
      </w:pPr>
      <w:r>
        <w:rPr>
          <w:rFonts w:hint="eastAsia" w:ascii="宋体" w:hAnsi="宋体" w:eastAsia="宋体" w:cs="宋体"/>
          <w:color w:val="404040"/>
          <w:sz w:val="26"/>
          <w:szCs w:val="26"/>
        </w:rPr>
        <w:t>   项目联系人：陈女士</w:t>
      </w:r>
      <w:r>
        <w:rPr>
          <w:rFonts w:hint="eastAsia" w:ascii="宋体" w:hAnsi="宋体" w:eastAsia="宋体" w:cs="宋体"/>
          <w:color w:val="404040"/>
          <w:sz w:val="26"/>
        </w:rPr>
        <w:t> </w:t>
      </w:r>
      <w:r>
        <w:rPr>
          <w:rFonts w:hint="eastAsia" w:ascii="宋体" w:hAnsi="宋体" w:eastAsia="宋体" w:cs="宋体"/>
          <w:color w:val="404040"/>
          <w:sz w:val="26"/>
          <w:szCs w:val="26"/>
        </w:rPr>
        <w:t>    联系电话：0591-62752801</w:t>
      </w:r>
    </w:p>
    <w:p>
      <w:pPr>
        <w:adjustRightInd/>
        <w:snapToGrid/>
        <w:spacing w:before="150" w:after="0" w:line="480" w:lineRule="atLeast"/>
        <w:jc w:val="both"/>
        <w:rPr>
          <w:rFonts w:hint="eastAsia" w:ascii="方正仿宋简体" w:hAnsi="宋体" w:eastAsia="方正仿宋简体" w:cs="宋体"/>
          <w:color w:val="404040"/>
          <w:sz w:val="28"/>
          <w:szCs w:val="28"/>
        </w:rPr>
      </w:pPr>
      <w:r>
        <w:rPr>
          <w:rFonts w:hint="eastAsia" w:ascii="黑体" w:hAnsi="黑体" w:eastAsia="黑体" w:cs="宋体"/>
          <w:b/>
          <w:bCs/>
          <w:color w:val="404040"/>
          <w:sz w:val="26"/>
        </w:rPr>
        <w:t>四、答疑截止时间</w:t>
      </w:r>
    </w:p>
    <w:p>
      <w:pPr>
        <w:adjustRightInd/>
        <w:snapToGrid/>
        <w:spacing w:before="150" w:after="0" w:line="480" w:lineRule="atLeast"/>
        <w:ind w:firstLine="480"/>
        <w:jc w:val="both"/>
        <w:rPr>
          <w:rFonts w:hint="eastAsia" w:ascii="方正仿宋简体" w:hAnsi="宋体" w:eastAsia="方正仿宋简体" w:cs="宋体"/>
          <w:color w:val="404040"/>
          <w:sz w:val="28"/>
          <w:szCs w:val="28"/>
        </w:rPr>
      </w:pPr>
      <w:r>
        <w:rPr>
          <w:rFonts w:hint="eastAsia" w:ascii="宋体" w:hAnsi="宋体" w:eastAsia="宋体" w:cs="宋体"/>
          <w:color w:val="404040"/>
          <w:sz w:val="26"/>
          <w:szCs w:val="26"/>
        </w:rPr>
        <w:t>投标人若要求澄清招标文件，应在报名时间截止前提出，招标人将随时解答。</w:t>
      </w:r>
    </w:p>
    <w:p>
      <w:pPr>
        <w:adjustRightInd/>
        <w:snapToGrid/>
        <w:spacing w:before="150" w:after="0" w:line="480" w:lineRule="atLeast"/>
        <w:jc w:val="both"/>
        <w:rPr>
          <w:rFonts w:hint="eastAsia" w:ascii="黑体" w:hAnsi="黑体" w:eastAsia="黑体" w:cs="宋体"/>
          <w:b/>
          <w:bCs/>
          <w:color w:val="404040"/>
          <w:sz w:val="26"/>
        </w:rPr>
      </w:pPr>
    </w:p>
    <w:p>
      <w:pPr>
        <w:adjustRightInd/>
        <w:snapToGrid/>
        <w:spacing w:before="150" w:after="0" w:line="480" w:lineRule="atLeast"/>
        <w:jc w:val="both"/>
        <w:rPr>
          <w:rFonts w:hint="eastAsia" w:ascii="方正仿宋简体" w:hAnsi="宋体" w:eastAsia="方正仿宋简体" w:cs="宋体"/>
          <w:color w:val="404040"/>
          <w:sz w:val="28"/>
          <w:szCs w:val="28"/>
        </w:rPr>
      </w:pPr>
      <w:r>
        <w:rPr>
          <w:rFonts w:hint="eastAsia" w:ascii="黑体" w:hAnsi="黑体" w:eastAsia="黑体" w:cs="宋体"/>
          <w:b/>
          <w:bCs/>
          <w:color w:val="404040"/>
          <w:sz w:val="26"/>
        </w:rPr>
        <w:t>五、投标文件的要求及递交</w:t>
      </w:r>
    </w:p>
    <w:p>
      <w:pPr>
        <w:numPr>
          <w:ilvl w:val="0"/>
          <w:numId w:val="2"/>
        </w:numPr>
        <w:adjustRightInd/>
        <w:snapToGrid/>
        <w:spacing w:before="150" w:after="0" w:line="480" w:lineRule="atLeast"/>
        <w:jc w:val="both"/>
        <w:rPr>
          <w:rFonts w:hint="eastAsia" w:ascii="宋体" w:hAnsi="宋体" w:eastAsia="宋体" w:cs="宋体"/>
          <w:color w:val="404040"/>
          <w:sz w:val="26"/>
          <w:szCs w:val="26"/>
        </w:rPr>
      </w:pPr>
      <w:r>
        <w:rPr>
          <w:rFonts w:hint="eastAsia" w:ascii="宋体" w:hAnsi="宋体" w:eastAsia="宋体" w:cs="宋体"/>
          <w:color w:val="404040"/>
          <w:sz w:val="26"/>
          <w:szCs w:val="26"/>
        </w:rPr>
        <w:t>投标文件正本</w:t>
      </w:r>
      <w:r>
        <w:rPr>
          <w:rFonts w:hint="eastAsia" w:ascii="宋体" w:hAnsi="宋体" w:eastAsia="宋体" w:cs="宋体"/>
          <w:bCs/>
          <w:color w:val="404040"/>
          <w:sz w:val="26"/>
          <w:szCs w:val="26"/>
          <w:u w:val="single"/>
        </w:rPr>
        <w:t>壹</w:t>
      </w:r>
      <w:r>
        <w:rPr>
          <w:rFonts w:hint="eastAsia" w:ascii="宋体" w:hAnsi="宋体" w:eastAsia="宋体" w:cs="宋体"/>
          <w:color w:val="404040"/>
          <w:sz w:val="26"/>
          <w:szCs w:val="26"/>
        </w:rPr>
        <w:t>份</w:t>
      </w:r>
      <w:r>
        <w:rPr>
          <w:rFonts w:ascii="宋体" w:hAnsi="宋体" w:eastAsia="宋体" w:cs="宋体"/>
          <w:color w:val="404040"/>
          <w:sz w:val="26"/>
          <w:szCs w:val="26"/>
        </w:rPr>
        <w:t>,</w:t>
      </w:r>
      <w:r>
        <w:rPr>
          <w:rFonts w:hint="eastAsia" w:ascii="宋体" w:hAnsi="宋体" w:eastAsia="宋体" w:cs="宋体"/>
          <w:color w:val="404040"/>
          <w:sz w:val="26"/>
          <w:szCs w:val="26"/>
        </w:rPr>
        <w:t>副本</w:t>
      </w:r>
      <w:r>
        <w:rPr>
          <w:rFonts w:hint="eastAsia" w:ascii="宋体" w:hAnsi="宋体" w:eastAsia="宋体" w:cs="宋体"/>
          <w:bCs/>
          <w:color w:val="404040"/>
          <w:sz w:val="26"/>
          <w:szCs w:val="26"/>
          <w:u w:val="single"/>
        </w:rPr>
        <w:t>壹</w:t>
      </w:r>
      <w:r>
        <w:rPr>
          <w:rFonts w:hint="eastAsia" w:ascii="宋体" w:hAnsi="宋体" w:eastAsia="宋体" w:cs="宋体"/>
          <w:color w:val="404040"/>
          <w:sz w:val="26"/>
          <w:szCs w:val="26"/>
        </w:rPr>
        <w:t>份胶装并密封加盖投标人公章。投标文件未胶装密封将导致其投标文件被拒绝。</w:t>
      </w:r>
    </w:p>
    <w:p>
      <w:pPr>
        <w:numPr>
          <w:ilvl w:val="0"/>
          <w:numId w:val="2"/>
        </w:numPr>
        <w:adjustRightInd/>
        <w:snapToGrid/>
        <w:spacing w:before="150" w:after="0" w:line="480" w:lineRule="atLeast"/>
        <w:jc w:val="both"/>
        <w:rPr>
          <w:rFonts w:hint="eastAsia" w:ascii="宋体" w:hAnsi="宋体" w:eastAsia="宋体" w:cs="宋体"/>
          <w:color w:val="404040"/>
          <w:sz w:val="26"/>
          <w:szCs w:val="26"/>
        </w:rPr>
      </w:pPr>
      <w:r>
        <w:rPr>
          <w:rFonts w:hint="eastAsia" w:ascii="宋体" w:hAnsi="宋体" w:eastAsia="宋体" w:cs="宋体"/>
          <w:color w:val="404040"/>
          <w:sz w:val="26"/>
          <w:szCs w:val="26"/>
        </w:rPr>
        <w:t>投标文件递交的截止时间： 2025年4月</w:t>
      </w:r>
      <w:r>
        <w:rPr>
          <w:rFonts w:hint="eastAsia" w:ascii="宋体" w:hAnsi="宋体" w:eastAsia="宋体" w:cs="宋体"/>
          <w:color w:val="404040"/>
          <w:sz w:val="26"/>
          <w:szCs w:val="26"/>
          <w:lang w:val="en-US" w:eastAsia="zh-CN"/>
        </w:rPr>
        <w:t>11</w:t>
      </w:r>
      <w:r>
        <w:rPr>
          <w:rFonts w:hint="eastAsia" w:ascii="宋体" w:hAnsi="宋体" w:eastAsia="宋体" w:cs="宋体"/>
          <w:color w:val="404040"/>
          <w:sz w:val="26"/>
          <w:szCs w:val="26"/>
        </w:rPr>
        <w:t>日09：00，提交地点为福建省肿瘤医院总务科，未送达指定地点或逾期送达者拒收。</w:t>
      </w:r>
    </w:p>
    <w:p>
      <w:pPr>
        <w:adjustRightInd/>
        <w:snapToGrid/>
        <w:spacing w:before="150" w:after="0" w:line="480" w:lineRule="atLeast"/>
        <w:jc w:val="both"/>
        <w:rPr>
          <w:rFonts w:hint="eastAsia" w:ascii="方正仿宋简体" w:hAnsi="宋体" w:eastAsia="方正仿宋简体" w:cs="宋体"/>
          <w:color w:val="404040"/>
          <w:sz w:val="28"/>
          <w:szCs w:val="28"/>
        </w:rPr>
      </w:pPr>
      <w:r>
        <w:rPr>
          <w:rFonts w:hint="eastAsia" w:ascii="黑体" w:hAnsi="黑体" w:eastAsia="黑体" w:cs="宋体"/>
          <w:b/>
          <w:bCs/>
          <w:color w:val="404040"/>
          <w:sz w:val="26"/>
        </w:rPr>
        <w:t>六、开标评标时间地点</w:t>
      </w:r>
    </w:p>
    <w:p>
      <w:pPr>
        <w:numPr>
          <w:ilvl w:val="0"/>
          <w:numId w:val="3"/>
        </w:numPr>
        <w:adjustRightInd/>
        <w:snapToGrid/>
        <w:spacing w:before="150" w:after="0" w:line="480" w:lineRule="atLeast"/>
        <w:jc w:val="both"/>
        <w:rPr>
          <w:rFonts w:hint="eastAsia" w:ascii="宋体" w:hAnsi="宋体" w:eastAsia="宋体" w:cs="宋体"/>
          <w:color w:val="404040"/>
          <w:sz w:val="26"/>
          <w:szCs w:val="26"/>
        </w:rPr>
      </w:pPr>
      <w:r>
        <w:rPr>
          <w:rFonts w:hint="eastAsia" w:ascii="宋体" w:hAnsi="宋体" w:eastAsia="宋体" w:cs="宋体"/>
          <w:color w:val="404040"/>
          <w:sz w:val="26"/>
          <w:szCs w:val="26"/>
        </w:rPr>
        <w:t>开标时间：2025年4月</w:t>
      </w:r>
      <w:r>
        <w:rPr>
          <w:rFonts w:hint="eastAsia" w:ascii="宋体" w:hAnsi="宋体" w:eastAsia="宋体" w:cs="宋体"/>
          <w:color w:val="404040"/>
          <w:sz w:val="26"/>
          <w:szCs w:val="26"/>
          <w:lang w:val="en-US" w:eastAsia="zh-CN"/>
        </w:rPr>
        <w:t>11</w:t>
      </w:r>
      <w:r>
        <w:rPr>
          <w:rFonts w:hint="eastAsia" w:ascii="宋体" w:hAnsi="宋体" w:eastAsia="宋体" w:cs="宋体"/>
          <w:color w:val="404040"/>
          <w:sz w:val="26"/>
          <w:szCs w:val="26"/>
        </w:rPr>
        <w:t>日09：00</w:t>
      </w:r>
    </w:p>
    <w:p>
      <w:pPr>
        <w:numPr>
          <w:ilvl w:val="0"/>
          <w:numId w:val="3"/>
        </w:numPr>
        <w:adjustRightInd/>
        <w:snapToGrid/>
        <w:spacing w:before="150" w:after="0" w:line="480" w:lineRule="atLeast"/>
        <w:jc w:val="both"/>
        <w:rPr>
          <w:rFonts w:hint="eastAsia" w:ascii="宋体" w:hAnsi="宋体" w:eastAsia="宋体" w:cs="宋体"/>
          <w:color w:val="404040"/>
          <w:sz w:val="26"/>
          <w:szCs w:val="26"/>
        </w:rPr>
      </w:pPr>
      <w:r>
        <w:rPr>
          <w:rFonts w:hint="eastAsia" w:ascii="宋体" w:hAnsi="宋体" w:eastAsia="宋体" w:cs="宋体"/>
          <w:color w:val="404040"/>
          <w:sz w:val="26"/>
          <w:szCs w:val="26"/>
        </w:rPr>
        <w:t>评标时间：开标后即开始评标。</w:t>
      </w:r>
    </w:p>
    <w:p>
      <w:pPr>
        <w:numPr>
          <w:ilvl w:val="0"/>
          <w:numId w:val="3"/>
        </w:numPr>
        <w:adjustRightInd/>
        <w:snapToGrid/>
        <w:spacing w:before="150" w:after="0" w:line="480" w:lineRule="atLeast"/>
        <w:jc w:val="both"/>
        <w:rPr>
          <w:rFonts w:hint="eastAsia" w:ascii="宋体" w:hAnsi="宋体" w:eastAsia="宋体" w:cs="宋体"/>
          <w:color w:val="404040"/>
          <w:sz w:val="26"/>
          <w:szCs w:val="26"/>
        </w:rPr>
      </w:pPr>
      <w:r>
        <w:rPr>
          <w:rFonts w:hint="eastAsia" w:ascii="宋体" w:hAnsi="宋体" w:eastAsia="宋体" w:cs="宋体"/>
          <w:color w:val="404040"/>
          <w:sz w:val="26"/>
          <w:szCs w:val="26"/>
        </w:rPr>
        <w:t>地点：福建省肿瘤医院科研楼一楼总务科</w:t>
      </w:r>
    </w:p>
    <w:p>
      <w:pPr>
        <w:adjustRightInd/>
        <w:snapToGrid/>
        <w:spacing w:before="150" w:after="0" w:line="480" w:lineRule="atLeast"/>
        <w:ind w:firstLine="480"/>
        <w:jc w:val="both"/>
        <w:rPr>
          <w:rFonts w:hint="eastAsia" w:ascii="宋体" w:hAnsi="宋体" w:eastAsia="宋体" w:cs="宋体"/>
          <w:color w:val="404040"/>
          <w:sz w:val="26"/>
          <w:szCs w:val="26"/>
        </w:rPr>
      </w:pPr>
      <w:r>
        <w:rPr>
          <w:rFonts w:hint="eastAsia" w:ascii="宋体" w:hAnsi="宋体" w:eastAsia="宋体" w:cs="宋体"/>
          <w:color w:val="404040"/>
          <w:sz w:val="26"/>
          <w:szCs w:val="26"/>
        </w:rPr>
        <w:t>备注：</w:t>
      </w:r>
    </w:p>
    <w:p>
      <w:pPr>
        <w:numPr>
          <w:ilvl w:val="0"/>
          <w:numId w:val="4"/>
        </w:numPr>
        <w:spacing w:before="150" w:line="560" w:lineRule="exact"/>
        <w:rPr>
          <w:rFonts w:hint="eastAsia" w:ascii="宋体" w:hAnsi="宋体" w:eastAsia="宋体" w:cs="宋体"/>
          <w:color w:val="404040"/>
          <w:sz w:val="26"/>
          <w:szCs w:val="26"/>
        </w:rPr>
      </w:pPr>
      <w:r>
        <w:rPr>
          <w:rFonts w:hint="eastAsia" w:ascii="宋体" w:hAnsi="宋体" w:eastAsia="宋体" w:cs="宋体"/>
          <w:color w:val="404040"/>
          <w:sz w:val="26"/>
          <w:szCs w:val="26"/>
        </w:rPr>
        <w:t>未参加报名的潜在投标人，其投标文件将被拒绝。</w:t>
      </w:r>
    </w:p>
    <w:p>
      <w:pPr>
        <w:numPr>
          <w:ilvl w:val="0"/>
          <w:numId w:val="4"/>
        </w:numPr>
        <w:spacing w:before="150" w:line="560" w:lineRule="exact"/>
        <w:rPr>
          <w:rFonts w:hint="eastAsia" w:ascii="宋体" w:hAnsi="宋体" w:eastAsia="宋体" w:cs="宋体"/>
          <w:color w:val="404040"/>
          <w:sz w:val="26"/>
          <w:szCs w:val="26"/>
        </w:rPr>
      </w:pPr>
      <w:r>
        <w:rPr>
          <w:rFonts w:hint="eastAsia" w:ascii="宋体" w:hAnsi="宋体" w:eastAsia="宋体" w:cs="宋体"/>
          <w:color w:val="404040"/>
          <w:sz w:val="26"/>
          <w:szCs w:val="26"/>
        </w:rPr>
        <w:t>若有涉及招标文件内容更正，请各潜在投标人密切关注福建省肿瘤医院官网通知，以最新公告为准。</w:t>
      </w:r>
    </w:p>
    <w:p>
      <w:pPr>
        <w:adjustRightInd/>
        <w:snapToGrid/>
        <w:spacing w:before="150" w:after="0" w:line="480" w:lineRule="atLeast"/>
        <w:jc w:val="both"/>
        <w:rPr>
          <w:rFonts w:hint="eastAsia" w:ascii="方正仿宋简体" w:hAnsi="宋体" w:eastAsia="方正仿宋简体" w:cs="宋体"/>
          <w:color w:val="404040"/>
          <w:sz w:val="28"/>
          <w:szCs w:val="28"/>
        </w:rPr>
      </w:pPr>
      <w:r>
        <w:rPr>
          <w:rFonts w:hint="eastAsia" w:ascii="黑体" w:hAnsi="黑体" w:eastAsia="黑体" w:cs="宋体"/>
          <w:b/>
          <w:bCs/>
          <w:color w:val="404040"/>
          <w:sz w:val="26"/>
        </w:rPr>
        <w:t>八、评标原则及办法</w:t>
      </w:r>
    </w:p>
    <w:p>
      <w:pPr>
        <w:numPr>
          <w:ilvl w:val="0"/>
          <w:numId w:val="5"/>
        </w:numPr>
        <w:adjustRightInd/>
        <w:snapToGrid/>
        <w:spacing w:before="150" w:after="0" w:line="480" w:lineRule="atLeast"/>
        <w:jc w:val="both"/>
        <w:rPr>
          <w:rFonts w:hint="eastAsia" w:ascii="宋体" w:hAnsi="宋体" w:eastAsia="宋体" w:cs="宋体"/>
          <w:color w:val="404040"/>
          <w:sz w:val="26"/>
          <w:szCs w:val="26"/>
        </w:rPr>
      </w:pPr>
      <w:r>
        <w:rPr>
          <w:rFonts w:hint="eastAsia" w:ascii="宋体" w:hAnsi="宋体" w:eastAsia="宋体" w:cs="宋体"/>
          <w:color w:val="404040"/>
          <w:sz w:val="26"/>
          <w:szCs w:val="26"/>
        </w:rPr>
        <w:t>评标活动遵循公平、公正、科学和择优的原则。</w:t>
      </w:r>
    </w:p>
    <w:p>
      <w:pPr>
        <w:numPr>
          <w:ilvl w:val="0"/>
          <w:numId w:val="5"/>
        </w:numPr>
        <w:adjustRightInd/>
        <w:snapToGrid/>
        <w:spacing w:before="150" w:after="0" w:line="480" w:lineRule="atLeast"/>
        <w:jc w:val="both"/>
        <w:rPr>
          <w:rFonts w:hint="eastAsia" w:ascii="方正仿宋简体" w:hAnsi="宋体" w:eastAsia="方正仿宋简体" w:cs="宋体"/>
          <w:color w:val="404040"/>
          <w:sz w:val="28"/>
          <w:szCs w:val="28"/>
        </w:rPr>
      </w:pPr>
      <w:r>
        <w:rPr>
          <w:rFonts w:hint="eastAsia" w:ascii="宋体" w:hAnsi="宋体" w:eastAsia="宋体" w:cs="宋体"/>
          <w:color w:val="404040"/>
          <w:sz w:val="26"/>
          <w:szCs w:val="26"/>
        </w:rPr>
        <w:t>评标方法：综合评分。</w:t>
      </w:r>
    </w:p>
    <w:p>
      <w:pPr>
        <w:numPr>
          <w:ilvl w:val="0"/>
          <w:numId w:val="5"/>
        </w:numPr>
        <w:adjustRightInd/>
        <w:snapToGrid/>
        <w:spacing w:before="150" w:after="0" w:line="480" w:lineRule="atLeast"/>
        <w:jc w:val="both"/>
        <w:rPr>
          <w:rFonts w:hint="eastAsia" w:ascii="方正仿宋简体" w:hAnsi="宋体" w:eastAsia="方正仿宋简体" w:cs="宋体"/>
          <w:color w:val="404040"/>
          <w:sz w:val="28"/>
          <w:szCs w:val="28"/>
        </w:rPr>
      </w:pPr>
      <w:r>
        <w:rPr>
          <w:rFonts w:hint="eastAsia" w:ascii="宋体" w:hAnsi="宋体" w:eastAsia="宋体" w:cs="宋体"/>
          <w:color w:val="404040"/>
          <w:sz w:val="26"/>
          <w:szCs w:val="26"/>
        </w:rPr>
        <w:t>投标人之间有相互串通投标、弄虚作假等违规行为者，将作废标处理，并在我院未来的项目招标中被拒绝接受投标。</w:t>
      </w:r>
    </w:p>
    <w:p>
      <w:pPr>
        <w:adjustRightInd/>
        <w:snapToGrid/>
        <w:spacing w:before="150" w:after="0" w:line="480" w:lineRule="atLeast"/>
        <w:ind w:firstLine="480"/>
        <w:jc w:val="both"/>
        <w:rPr>
          <w:rFonts w:hint="eastAsia" w:ascii="方正仿宋简体" w:hAnsi="宋体" w:eastAsia="方正仿宋简体" w:cs="宋体"/>
          <w:color w:val="404040"/>
          <w:sz w:val="28"/>
          <w:szCs w:val="28"/>
        </w:rPr>
      </w:pPr>
    </w:p>
    <w:p>
      <w:pPr>
        <w:adjustRightInd/>
        <w:snapToGrid/>
        <w:spacing w:before="150" w:after="0" w:line="480" w:lineRule="atLeast"/>
        <w:jc w:val="both"/>
        <w:rPr>
          <w:rFonts w:hint="eastAsia" w:ascii="方正仿宋简体" w:hAnsi="宋体" w:eastAsia="方正仿宋简体" w:cs="宋体"/>
          <w:color w:val="404040"/>
          <w:sz w:val="28"/>
          <w:szCs w:val="28"/>
        </w:rPr>
      </w:pPr>
      <w:r>
        <w:rPr>
          <w:rFonts w:hint="eastAsia" w:ascii="黑体" w:hAnsi="黑体" w:eastAsia="黑体" w:cs="宋体"/>
          <w:b/>
          <w:bCs/>
          <w:color w:val="404040"/>
          <w:sz w:val="26"/>
        </w:rPr>
        <w:t>九、合同条款内容及签订</w:t>
      </w:r>
    </w:p>
    <w:p>
      <w:pPr>
        <w:adjustRightInd/>
        <w:snapToGrid/>
        <w:spacing w:before="150" w:after="0" w:line="480" w:lineRule="atLeast"/>
        <w:ind w:firstLine="480"/>
        <w:jc w:val="both"/>
        <w:rPr>
          <w:rFonts w:hint="eastAsia" w:ascii="方正仿宋简体" w:hAnsi="宋体" w:eastAsia="方正仿宋简体" w:cs="宋体"/>
          <w:color w:val="404040"/>
          <w:sz w:val="28"/>
          <w:szCs w:val="28"/>
        </w:rPr>
      </w:pPr>
      <w:r>
        <w:rPr>
          <w:rFonts w:hint="eastAsia" w:ascii="宋体" w:hAnsi="宋体" w:eastAsia="宋体" w:cs="宋体"/>
          <w:color w:val="404040"/>
          <w:sz w:val="26"/>
          <w:szCs w:val="26"/>
        </w:rPr>
        <w:t>1、合同专用条款内容依照国家规范文本，合同通用条款内容解释依照国家规范文本。</w:t>
      </w:r>
    </w:p>
    <w:p>
      <w:pPr>
        <w:adjustRightInd/>
        <w:snapToGrid/>
        <w:spacing w:before="150" w:after="0" w:line="480" w:lineRule="atLeast"/>
        <w:ind w:firstLine="480"/>
        <w:jc w:val="both"/>
        <w:rPr>
          <w:rFonts w:hint="eastAsia" w:ascii="方正仿宋简体" w:hAnsi="宋体" w:eastAsia="方正仿宋简体" w:cs="宋体"/>
          <w:color w:val="404040"/>
          <w:sz w:val="28"/>
          <w:szCs w:val="28"/>
        </w:rPr>
      </w:pPr>
      <w:r>
        <w:rPr>
          <w:rFonts w:hint="eastAsia" w:ascii="宋体" w:hAnsi="宋体" w:eastAsia="宋体" w:cs="宋体"/>
          <w:color w:val="404040"/>
          <w:sz w:val="26"/>
          <w:szCs w:val="26"/>
        </w:rPr>
        <w:t>2、合同签订：中标人在接到中标通知后3天内，应派代表与</w:t>
      </w:r>
      <w:r>
        <w:rPr>
          <w:rFonts w:hint="eastAsia" w:ascii="宋体" w:hAnsi="宋体" w:eastAsia="宋体" w:cs="宋体"/>
          <w:color w:val="404040"/>
          <w:sz w:val="26"/>
          <w:szCs w:val="26"/>
          <w:lang w:eastAsia="zh-CN"/>
        </w:rPr>
        <w:t>采购人</w:t>
      </w:r>
      <w:r>
        <w:rPr>
          <w:rFonts w:hint="eastAsia" w:ascii="宋体" w:hAnsi="宋体" w:eastAsia="宋体" w:cs="宋体"/>
          <w:color w:val="404040"/>
          <w:sz w:val="26"/>
          <w:szCs w:val="26"/>
        </w:rPr>
        <w:t>联系，商讨签订合同事宜。</w:t>
      </w:r>
    </w:p>
    <w:p>
      <w:pPr>
        <w:adjustRightInd/>
        <w:snapToGrid/>
        <w:spacing w:after="0" w:line="480" w:lineRule="atLeast"/>
        <w:jc w:val="both"/>
        <w:rPr>
          <w:rFonts w:hint="eastAsia" w:ascii="方正仿宋简体" w:hAnsi="宋体" w:eastAsia="方正仿宋简体" w:cs="宋体"/>
          <w:color w:val="404040"/>
          <w:sz w:val="28"/>
          <w:szCs w:val="28"/>
        </w:rPr>
      </w:pPr>
      <w:r>
        <w:rPr>
          <w:rFonts w:hint="eastAsia" w:ascii="黑体" w:hAnsi="黑体" w:eastAsia="黑体" w:cs="宋体"/>
          <w:b/>
          <w:bCs/>
          <w:color w:val="404040"/>
          <w:sz w:val="26"/>
        </w:rPr>
        <w:t>十、付款方式与条件</w:t>
      </w:r>
    </w:p>
    <w:p>
      <w:pPr>
        <w:adjustRightInd/>
        <w:snapToGrid/>
        <w:spacing w:after="0" w:line="480" w:lineRule="atLeast"/>
        <w:ind w:firstLine="480"/>
        <w:jc w:val="both"/>
        <w:rPr>
          <w:rFonts w:ascii="方正仿宋简体" w:hAnsi="宋体" w:eastAsia="方正仿宋简体" w:cs="宋体"/>
          <w:color w:val="auto"/>
          <w:sz w:val="28"/>
          <w:szCs w:val="28"/>
          <w:highlight w:val="none"/>
        </w:rPr>
      </w:pPr>
      <w:r>
        <w:rPr>
          <w:rFonts w:hint="eastAsia" w:ascii="宋体" w:hAnsi="宋体" w:eastAsia="宋体" w:cs="宋体"/>
          <w:color w:val="auto"/>
          <w:sz w:val="26"/>
          <w:szCs w:val="26"/>
          <w:highlight w:val="none"/>
          <w:lang w:val="en-US" w:eastAsia="zh-CN"/>
        </w:rPr>
        <w:t>服务期内，分三次支付，每次</w:t>
      </w:r>
      <w:r>
        <w:rPr>
          <w:rFonts w:hint="eastAsia" w:ascii="宋体" w:hAnsi="宋体" w:eastAsia="宋体" w:cs="宋体"/>
          <w:color w:val="auto"/>
          <w:sz w:val="26"/>
          <w:szCs w:val="26"/>
          <w:highlight w:val="none"/>
          <w:lang w:eastAsia="zh-CN"/>
        </w:rPr>
        <w:t>支付金额为合同金额的</w:t>
      </w:r>
      <w:r>
        <w:rPr>
          <w:rFonts w:hint="eastAsia" w:ascii="宋体" w:hAnsi="宋体" w:eastAsia="宋体" w:cs="宋体"/>
          <w:color w:val="auto"/>
          <w:sz w:val="26"/>
          <w:szCs w:val="26"/>
          <w:highlight w:val="none"/>
          <w:lang w:val="en-US" w:eastAsia="zh-CN"/>
        </w:rPr>
        <w:t>1/3。即每一年度年检服务完成后</w:t>
      </w:r>
      <w:r>
        <w:rPr>
          <w:rFonts w:hint="eastAsia" w:ascii="宋体" w:hAnsi="宋体" w:eastAsia="宋体" w:cs="宋体"/>
          <w:color w:val="auto"/>
          <w:sz w:val="26"/>
          <w:szCs w:val="26"/>
          <w:highlight w:val="none"/>
        </w:rPr>
        <w:t>，</w:t>
      </w:r>
      <w:r>
        <w:rPr>
          <w:rFonts w:hint="eastAsia" w:ascii="宋体" w:hAnsi="宋体" w:eastAsia="宋体" w:cs="宋体"/>
          <w:color w:val="auto"/>
          <w:sz w:val="26"/>
          <w:szCs w:val="26"/>
          <w:highlight w:val="none"/>
          <w:lang w:eastAsia="zh-CN"/>
        </w:rPr>
        <w:t>中标方出具检测报告，</w:t>
      </w:r>
      <w:r>
        <w:rPr>
          <w:rFonts w:hint="eastAsia" w:ascii="宋体" w:hAnsi="宋体" w:eastAsia="宋体" w:cs="宋体"/>
          <w:color w:val="auto"/>
          <w:sz w:val="26"/>
          <w:szCs w:val="26"/>
          <w:highlight w:val="none"/>
        </w:rPr>
        <w:t>经</w:t>
      </w:r>
      <w:r>
        <w:rPr>
          <w:rFonts w:hint="eastAsia" w:ascii="宋体" w:hAnsi="宋体" w:eastAsia="宋体" w:cs="宋体"/>
          <w:color w:val="auto"/>
          <w:sz w:val="26"/>
          <w:szCs w:val="26"/>
          <w:highlight w:val="none"/>
          <w:lang w:eastAsia="zh-CN"/>
        </w:rPr>
        <w:t>采购人</w:t>
      </w:r>
      <w:r>
        <w:rPr>
          <w:rFonts w:hint="eastAsia" w:ascii="宋体" w:hAnsi="宋体" w:eastAsia="宋体" w:cs="宋体"/>
          <w:color w:val="auto"/>
          <w:sz w:val="26"/>
          <w:szCs w:val="26"/>
          <w:highlight w:val="none"/>
        </w:rPr>
        <w:t>验收合格后，</w:t>
      </w:r>
      <w:r>
        <w:rPr>
          <w:rFonts w:hint="eastAsia" w:ascii="宋体" w:hAnsi="宋体" w:eastAsia="宋体" w:cs="宋体"/>
          <w:color w:val="auto"/>
          <w:sz w:val="26"/>
          <w:szCs w:val="26"/>
          <w:highlight w:val="none"/>
          <w:lang w:eastAsia="zh-CN"/>
        </w:rPr>
        <w:t>并收到的正规发票后，</w:t>
      </w:r>
      <w:r>
        <w:rPr>
          <w:rFonts w:hint="eastAsia" w:ascii="宋体" w:hAnsi="宋体" w:eastAsia="宋体" w:cs="宋体"/>
          <w:color w:val="auto"/>
          <w:sz w:val="26"/>
          <w:szCs w:val="26"/>
          <w:highlight w:val="none"/>
          <w:lang w:val="en-US" w:eastAsia="zh-CN"/>
        </w:rPr>
        <w:t>20个工作日内，支付年度的相应款项。具体支付方式和支付金额以合同条款为准</w:t>
      </w:r>
      <w:r>
        <w:rPr>
          <w:rFonts w:hint="eastAsia" w:ascii="宋体" w:hAnsi="宋体" w:eastAsia="宋体" w:cs="宋体"/>
          <w:color w:val="auto"/>
          <w:sz w:val="26"/>
          <w:szCs w:val="26"/>
          <w:highlight w:val="none"/>
        </w:rPr>
        <w:t>。</w:t>
      </w:r>
    </w:p>
    <w:p>
      <w:pPr>
        <w:adjustRightInd/>
        <w:snapToGrid/>
        <w:spacing w:before="150" w:after="0" w:line="480" w:lineRule="atLeast"/>
        <w:jc w:val="both"/>
        <w:rPr>
          <w:rFonts w:hint="eastAsia" w:ascii="方正仿宋简体" w:hAnsi="宋体" w:eastAsia="方正仿宋简体" w:cs="宋体"/>
          <w:color w:val="404040"/>
          <w:sz w:val="28"/>
          <w:szCs w:val="28"/>
        </w:rPr>
      </w:pPr>
      <w:r>
        <w:rPr>
          <w:rFonts w:hint="eastAsia" w:ascii="黑体" w:hAnsi="黑体" w:eastAsia="黑体" w:cs="宋体"/>
          <w:b/>
          <w:bCs/>
          <w:color w:val="404040"/>
          <w:sz w:val="26"/>
        </w:rPr>
        <w:t>十一、其他未详尽事宜</w:t>
      </w:r>
    </w:p>
    <w:p>
      <w:pPr>
        <w:adjustRightInd/>
        <w:snapToGrid/>
        <w:spacing w:before="150" w:after="0" w:line="480" w:lineRule="atLeast"/>
        <w:ind w:firstLine="480"/>
        <w:jc w:val="both"/>
        <w:rPr>
          <w:rFonts w:hint="eastAsia" w:ascii="宋体" w:hAnsi="宋体" w:eastAsia="宋体" w:cs="宋体"/>
          <w:color w:val="404040"/>
          <w:sz w:val="26"/>
          <w:szCs w:val="26"/>
        </w:rPr>
      </w:pPr>
      <w:r>
        <w:rPr>
          <w:rFonts w:hint="eastAsia" w:ascii="宋体" w:hAnsi="宋体" w:eastAsia="宋体" w:cs="宋体"/>
          <w:color w:val="404040"/>
          <w:sz w:val="26"/>
          <w:szCs w:val="26"/>
        </w:rPr>
        <w:t>依照国家政府采购有关规定。</w:t>
      </w:r>
    </w:p>
    <w:p>
      <w:pPr>
        <w:adjustRightInd/>
        <w:snapToGrid/>
        <w:spacing w:before="150" w:after="0" w:line="480" w:lineRule="atLeast"/>
        <w:ind w:firstLine="480"/>
        <w:jc w:val="both"/>
        <w:rPr>
          <w:rFonts w:hint="eastAsia" w:ascii="宋体" w:hAnsi="宋体" w:eastAsia="宋体" w:cs="宋体"/>
          <w:color w:val="404040"/>
          <w:sz w:val="26"/>
          <w:szCs w:val="26"/>
        </w:rPr>
      </w:pPr>
    </w:p>
    <w:p>
      <w:pPr>
        <w:adjustRightInd/>
        <w:snapToGrid/>
        <w:spacing w:before="150" w:after="0" w:line="480" w:lineRule="atLeast"/>
        <w:ind w:firstLine="480"/>
        <w:jc w:val="both"/>
        <w:rPr>
          <w:rFonts w:hint="eastAsia" w:ascii="宋体" w:hAnsi="宋体" w:eastAsia="宋体" w:cs="宋体"/>
          <w:color w:val="404040"/>
          <w:sz w:val="26"/>
          <w:szCs w:val="26"/>
        </w:rPr>
      </w:pPr>
    </w:p>
    <w:p>
      <w:pPr>
        <w:adjustRightInd/>
        <w:snapToGrid/>
        <w:spacing w:after="0"/>
        <w:jc w:val="right"/>
        <w:rPr>
          <w:rFonts w:hint="eastAsia" w:ascii="宋体" w:hAnsi="宋体" w:eastAsia="宋体" w:cs="宋体"/>
          <w:color w:val="404040"/>
          <w:sz w:val="26"/>
          <w:szCs w:val="26"/>
          <w:lang w:val="en-US" w:eastAsia="zh-CN"/>
        </w:rPr>
      </w:pPr>
      <w:r>
        <w:rPr>
          <w:rFonts w:hint="eastAsia" w:ascii="宋体" w:hAnsi="宋体" w:eastAsia="宋体" w:cs="宋体"/>
          <w:color w:val="404040"/>
          <w:sz w:val="26"/>
          <w:szCs w:val="26"/>
          <w:lang w:val="en-US" w:eastAsia="zh-CN"/>
        </w:rPr>
        <w:t>福建省肿瘤医院</w:t>
      </w:r>
    </w:p>
    <w:p>
      <w:pPr>
        <w:adjustRightInd/>
        <w:snapToGrid/>
        <w:spacing w:after="0"/>
        <w:jc w:val="right"/>
        <w:rPr>
          <w:rFonts w:hint="eastAsia" w:ascii="宋体" w:hAnsi="宋体" w:eastAsia="宋体" w:cs="宋体"/>
          <w:color w:val="404040"/>
          <w:sz w:val="26"/>
          <w:szCs w:val="26"/>
        </w:rPr>
      </w:pPr>
      <w:r>
        <w:rPr>
          <w:rFonts w:hint="eastAsia" w:ascii="宋体" w:hAnsi="宋体" w:eastAsia="宋体" w:cs="宋体"/>
          <w:color w:val="404040"/>
          <w:sz w:val="26"/>
          <w:szCs w:val="26"/>
          <w:lang w:val="en-US" w:eastAsia="zh-CN"/>
        </w:rPr>
        <w:t>2025年4月2日</w:t>
      </w:r>
      <w:r>
        <w:rPr>
          <w:rFonts w:hint="eastAsia" w:ascii="宋体" w:hAnsi="宋体" w:eastAsia="宋体" w:cs="宋体"/>
          <w:color w:val="404040"/>
          <w:sz w:val="26"/>
          <w:szCs w:val="26"/>
        </w:rPr>
        <w:br w:type="page"/>
      </w:r>
      <w:r>
        <w:rPr>
          <w:rFonts w:hint="eastAsia" w:ascii="宋体" w:hAnsi="宋体" w:eastAsia="宋体" w:cs="宋体"/>
          <w:color w:val="404040"/>
          <w:sz w:val="26"/>
          <w:szCs w:val="26"/>
        </w:rPr>
        <w:t>报价内容一览</w:t>
      </w:r>
    </w:p>
    <w:tbl>
      <w:tblPr>
        <w:tblW w:w="89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8"/>
        <w:gridCol w:w="1560"/>
        <w:gridCol w:w="1417"/>
        <w:gridCol w:w="1417"/>
        <w:gridCol w:w="1417"/>
        <w:gridCol w:w="1417"/>
      </w:tblGrid>
      <w:tr>
        <w:trPr>
          <w:trHeight w:val="784" w:hRule="atLeast"/>
          <w:jc w:val="center"/>
        </w:trPr>
        <w:tc>
          <w:tcPr>
            <w:tcW w:w="1718" w:type="dxa"/>
            <w:shd w:val="clear" w:color="FFFFFF" w:fill="auto"/>
            <w:vAlign w:val="center"/>
          </w:tcPr>
          <w:p>
            <w:pPr>
              <w:jc w:val="center"/>
              <w:rPr>
                <w:rFonts w:hint="eastAsia" w:ascii="宋体" w:hAnsi="宋体" w:eastAsia="宋体" w:cs="宋体"/>
                <w:color w:val="404040"/>
                <w:sz w:val="26"/>
                <w:szCs w:val="26"/>
              </w:rPr>
            </w:pPr>
            <w:r>
              <w:rPr>
                <w:rFonts w:hint="eastAsia" w:ascii="宋体" w:hAnsi="宋体" w:eastAsia="宋体" w:cs="宋体"/>
                <w:color w:val="404040"/>
                <w:sz w:val="26"/>
                <w:szCs w:val="26"/>
              </w:rPr>
              <w:t>项 目 名 称</w:t>
            </w:r>
          </w:p>
        </w:tc>
        <w:tc>
          <w:tcPr>
            <w:tcW w:w="1560" w:type="dxa"/>
            <w:shd w:val="clear" w:color="FFFFFF" w:fill="auto"/>
            <w:vAlign w:val="center"/>
          </w:tcPr>
          <w:p>
            <w:pPr>
              <w:jc w:val="center"/>
              <w:rPr>
                <w:rFonts w:hint="eastAsia" w:ascii="宋体" w:hAnsi="宋体" w:eastAsia="宋体" w:cs="宋体"/>
                <w:color w:val="404040"/>
                <w:sz w:val="26"/>
                <w:szCs w:val="26"/>
              </w:rPr>
            </w:pPr>
            <w:r>
              <w:rPr>
                <w:rFonts w:hint="eastAsia" w:ascii="宋体" w:hAnsi="宋体" w:eastAsia="宋体" w:cs="宋体"/>
                <w:color w:val="404040"/>
                <w:sz w:val="26"/>
                <w:szCs w:val="26"/>
              </w:rPr>
              <w:t>招标方式</w:t>
            </w:r>
          </w:p>
        </w:tc>
        <w:tc>
          <w:tcPr>
            <w:tcW w:w="1417" w:type="dxa"/>
            <w:shd w:val="clear" w:color="FFFFFF" w:fill="auto"/>
            <w:vAlign w:val="center"/>
          </w:tcPr>
          <w:p>
            <w:pPr>
              <w:jc w:val="center"/>
              <w:rPr>
                <w:rFonts w:hint="eastAsia" w:ascii="宋体" w:hAnsi="宋体" w:eastAsia="宋体" w:cs="宋体"/>
                <w:color w:val="404040"/>
                <w:sz w:val="26"/>
                <w:szCs w:val="26"/>
                <w:lang w:val="en-US" w:eastAsia="zh-CN"/>
              </w:rPr>
            </w:pPr>
            <w:r>
              <w:rPr>
                <w:rFonts w:hint="eastAsia" w:ascii="宋体" w:hAnsi="宋体" w:eastAsia="宋体" w:cs="宋体"/>
                <w:color w:val="404040"/>
                <w:sz w:val="26"/>
                <w:szCs w:val="26"/>
              </w:rPr>
              <w:t>控制价</w:t>
            </w:r>
            <w:r>
              <w:rPr>
                <w:rFonts w:hint="eastAsia" w:ascii="宋体" w:hAnsi="宋体" w:eastAsia="宋体" w:cs="宋体"/>
                <w:color w:val="404040"/>
                <w:sz w:val="26"/>
                <w:szCs w:val="26"/>
                <w:lang w:val="en-US" w:eastAsia="zh-CN"/>
              </w:rPr>
              <w:t>/</w:t>
            </w:r>
            <w:r>
              <w:rPr>
                <w:rFonts w:hint="eastAsia" w:ascii="宋体" w:hAnsi="宋体" w:eastAsia="宋体" w:cs="宋体"/>
                <w:color w:val="404040"/>
                <w:sz w:val="26"/>
                <w:szCs w:val="26"/>
                <w:lang w:eastAsia="zh-CN"/>
              </w:rPr>
              <w:t>（</w:t>
            </w:r>
            <w:r>
              <w:rPr>
                <w:rFonts w:hint="eastAsia" w:ascii="宋体" w:hAnsi="宋体" w:eastAsia="宋体" w:cs="宋体"/>
                <w:color w:val="404040"/>
                <w:sz w:val="26"/>
                <w:szCs w:val="26"/>
                <w:lang w:val="en-US" w:eastAsia="zh-CN"/>
              </w:rPr>
              <w:t>3年</w:t>
            </w:r>
            <w:r>
              <w:rPr>
                <w:rFonts w:hint="eastAsia" w:ascii="宋体" w:hAnsi="宋体" w:eastAsia="宋体" w:cs="宋体"/>
                <w:color w:val="404040"/>
                <w:sz w:val="26"/>
                <w:szCs w:val="26"/>
                <w:lang w:eastAsia="zh-CN"/>
              </w:rPr>
              <w:t>）</w:t>
            </w:r>
          </w:p>
        </w:tc>
        <w:tc>
          <w:tcPr>
            <w:tcW w:w="1417" w:type="dxa"/>
            <w:shd w:val="clear" w:color="FFFFFF" w:fill="auto"/>
            <w:vAlign w:val="top"/>
          </w:tcPr>
          <w:p>
            <w:pPr>
              <w:spacing w:line="500" w:lineRule="exact"/>
              <w:jc w:val="center"/>
              <w:rPr>
                <w:rFonts w:hint="eastAsia" w:ascii="宋体" w:hAnsi="宋体" w:eastAsia="宋体" w:cs="宋体"/>
                <w:color w:val="404040"/>
                <w:sz w:val="26"/>
                <w:szCs w:val="26"/>
              </w:rPr>
            </w:pPr>
            <w:r>
              <w:rPr>
                <w:rFonts w:hint="eastAsia" w:ascii="宋体" w:hAnsi="宋体" w:eastAsia="宋体" w:cs="宋体"/>
                <w:color w:val="404040"/>
                <w:sz w:val="26"/>
                <w:szCs w:val="26"/>
              </w:rPr>
              <w:t>服务期</w:t>
            </w:r>
          </w:p>
        </w:tc>
        <w:tc>
          <w:tcPr>
            <w:tcW w:w="1417" w:type="dxa"/>
            <w:shd w:val="clear" w:color="FFFFFF" w:fill="auto"/>
            <w:vAlign w:val="center"/>
          </w:tcPr>
          <w:p>
            <w:pPr>
              <w:spacing w:line="500" w:lineRule="exact"/>
              <w:jc w:val="center"/>
              <w:rPr>
                <w:rFonts w:hint="eastAsia" w:ascii="宋体" w:hAnsi="宋体" w:eastAsia="宋体" w:cs="宋体"/>
                <w:color w:val="404040"/>
                <w:sz w:val="26"/>
                <w:szCs w:val="26"/>
              </w:rPr>
            </w:pPr>
            <w:r>
              <w:rPr>
                <w:rFonts w:hint="eastAsia" w:ascii="宋体" w:hAnsi="宋体" w:eastAsia="宋体" w:cs="宋体"/>
                <w:color w:val="404040"/>
                <w:sz w:val="26"/>
                <w:szCs w:val="26"/>
              </w:rPr>
              <w:t>数量</w:t>
            </w:r>
          </w:p>
        </w:tc>
        <w:tc>
          <w:tcPr>
            <w:tcW w:w="1417" w:type="dxa"/>
            <w:shd w:val="clear" w:color="FFFFFF" w:fill="auto"/>
            <w:vAlign w:val="center"/>
          </w:tcPr>
          <w:p>
            <w:pPr>
              <w:spacing w:line="500" w:lineRule="exact"/>
              <w:jc w:val="center"/>
              <w:rPr>
                <w:rFonts w:hint="eastAsia" w:ascii="宋体" w:hAnsi="宋体" w:eastAsia="宋体" w:cs="宋体"/>
                <w:color w:val="404040"/>
                <w:sz w:val="26"/>
                <w:szCs w:val="26"/>
              </w:rPr>
            </w:pPr>
            <w:r>
              <w:rPr>
                <w:rFonts w:hint="eastAsia" w:ascii="宋体" w:hAnsi="宋体" w:eastAsia="宋体" w:cs="宋体"/>
                <w:color w:val="404040"/>
                <w:sz w:val="26"/>
                <w:szCs w:val="26"/>
              </w:rPr>
              <w:t>要求</w:t>
            </w:r>
          </w:p>
        </w:tc>
      </w:tr>
      <w:tr>
        <w:trPr>
          <w:trHeight w:val="2574" w:hRule="atLeast"/>
          <w:jc w:val="center"/>
        </w:trPr>
        <w:tc>
          <w:tcPr>
            <w:tcW w:w="1718" w:type="dxa"/>
            <w:vAlign w:val="center"/>
          </w:tcPr>
          <w:p>
            <w:pPr>
              <w:spacing w:line="360" w:lineRule="exact"/>
              <w:jc w:val="center"/>
              <w:rPr>
                <w:rFonts w:hint="eastAsia" w:ascii="宋体" w:hAnsi="宋体" w:eastAsia="宋体" w:cs="宋体"/>
                <w:color w:val="404040"/>
                <w:sz w:val="26"/>
                <w:szCs w:val="26"/>
              </w:rPr>
            </w:pPr>
            <w:r>
              <w:rPr>
                <w:rFonts w:hint="eastAsia" w:ascii="宋体" w:hAnsi="宋体" w:eastAsia="宋体" w:cs="宋体"/>
                <w:color w:val="404040"/>
                <w:sz w:val="26"/>
                <w:szCs w:val="26"/>
              </w:rPr>
              <w:t>福建省肿瘤医院配电房年检服务项目</w:t>
            </w:r>
          </w:p>
        </w:tc>
        <w:tc>
          <w:tcPr>
            <w:tcW w:w="1560" w:type="dxa"/>
            <w:vAlign w:val="center"/>
          </w:tcPr>
          <w:p>
            <w:pPr>
              <w:spacing w:line="360" w:lineRule="exact"/>
              <w:jc w:val="center"/>
              <w:rPr>
                <w:rFonts w:hint="eastAsia" w:ascii="宋体" w:hAnsi="宋体" w:eastAsia="宋体" w:cs="宋体"/>
                <w:color w:val="404040"/>
                <w:sz w:val="26"/>
                <w:szCs w:val="26"/>
              </w:rPr>
            </w:pPr>
            <w:r>
              <w:rPr>
                <w:rFonts w:hint="eastAsia" w:ascii="宋体" w:hAnsi="宋体" w:eastAsia="宋体" w:cs="宋体"/>
                <w:color w:val="404040"/>
                <w:sz w:val="26"/>
                <w:szCs w:val="26"/>
              </w:rPr>
              <w:t>综合评分</w:t>
            </w:r>
          </w:p>
        </w:tc>
        <w:tc>
          <w:tcPr>
            <w:tcW w:w="1417" w:type="dxa"/>
            <w:vAlign w:val="center"/>
          </w:tcPr>
          <w:p>
            <w:pPr>
              <w:jc w:val="center"/>
              <w:rPr>
                <w:rFonts w:hint="eastAsia" w:ascii="宋体" w:hAnsi="宋体" w:eastAsia="宋体" w:cs="宋体"/>
                <w:color w:val="404040"/>
                <w:sz w:val="26"/>
                <w:szCs w:val="26"/>
              </w:rPr>
            </w:pPr>
            <w:r>
              <w:rPr>
                <w:rFonts w:hint="eastAsia" w:ascii="宋体" w:hAnsi="宋体" w:eastAsia="宋体" w:cs="宋体"/>
                <w:b w:val="0"/>
                <w:bCs w:val="0"/>
                <w:color w:val="404040"/>
                <w:sz w:val="26"/>
                <w:szCs w:val="26"/>
              </w:rPr>
              <w:t>28.65万</w:t>
            </w:r>
          </w:p>
        </w:tc>
        <w:tc>
          <w:tcPr>
            <w:tcW w:w="1417" w:type="dxa"/>
            <w:vAlign w:val="center"/>
          </w:tcPr>
          <w:p>
            <w:pPr>
              <w:spacing w:line="500" w:lineRule="exact"/>
              <w:jc w:val="center"/>
              <w:rPr>
                <w:rFonts w:hint="eastAsia" w:ascii="宋体" w:hAnsi="宋体" w:eastAsia="宋体" w:cs="宋体"/>
                <w:color w:val="404040"/>
                <w:sz w:val="26"/>
                <w:szCs w:val="26"/>
              </w:rPr>
            </w:pPr>
            <w:r>
              <w:rPr>
                <w:rFonts w:hint="eastAsia" w:ascii="宋体" w:hAnsi="宋体" w:eastAsia="宋体" w:cs="宋体"/>
                <w:color w:val="404040"/>
                <w:sz w:val="26"/>
                <w:szCs w:val="26"/>
              </w:rPr>
              <w:t>3年</w:t>
            </w:r>
          </w:p>
        </w:tc>
        <w:tc>
          <w:tcPr>
            <w:tcW w:w="1417" w:type="dxa"/>
            <w:vAlign w:val="center"/>
          </w:tcPr>
          <w:p>
            <w:pPr>
              <w:spacing w:line="500" w:lineRule="exact"/>
              <w:jc w:val="center"/>
              <w:rPr>
                <w:rFonts w:hint="eastAsia" w:ascii="宋体" w:hAnsi="宋体" w:eastAsia="宋体" w:cs="宋体"/>
                <w:color w:val="404040"/>
                <w:sz w:val="26"/>
                <w:szCs w:val="26"/>
                <w:lang w:eastAsia="zh-CN"/>
              </w:rPr>
            </w:pPr>
            <w:r>
              <w:rPr>
                <w:rFonts w:hint="eastAsia" w:ascii="宋体" w:hAnsi="宋体" w:eastAsia="宋体" w:cs="宋体"/>
                <w:color w:val="404040"/>
                <w:sz w:val="26"/>
                <w:szCs w:val="26"/>
              </w:rPr>
              <w:t>见附件</w:t>
            </w:r>
          </w:p>
        </w:tc>
        <w:tc>
          <w:tcPr>
            <w:tcW w:w="1417" w:type="dxa"/>
            <w:vAlign w:val="center"/>
          </w:tcPr>
          <w:p>
            <w:pPr>
              <w:spacing w:line="500" w:lineRule="exact"/>
              <w:jc w:val="center"/>
              <w:rPr>
                <w:rFonts w:hint="eastAsia" w:ascii="宋体" w:hAnsi="宋体" w:eastAsia="宋体" w:cs="宋体"/>
                <w:color w:val="404040"/>
                <w:sz w:val="26"/>
                <w:szCs w:val="26"/>
                <w:lang w:eastAsia="zh-CN"/>
              </w:rPr>
            </w:pPr>
            <w:r>
              <w:rPr>
                <w:rFonts w:hint="eastAsia" w:ascii="宋体" w:hAnsi="宋体" w:eastAsia="宋体" w:cs="宋体"/>
                <w:color w:val="404040"/>
                <w:sz w:val="26"/>
                <w:szCs w:val="26"/>
              </w:rPr>
              <w:t>详见附件</w:t>
            </w:r>
          </w:p>
        </w:tc>
      </w:tr>
    </w:tbl>
    <w:p>
      <w:pPr>
        <w:spacing w:line="220" w:lineRule="atLeast"/>
        <w:rPr>
          <w:rFonts w:hint="eastAsia" w:ascii="宋体" w:hAnsi="宋体" w:eastAsia="宋体" w:cs="宋体"/>
          <w:color w:val="404040"/>
          <w:sz w:val="26"/>
          <w:szCs w:val="26"/>
        </w:rPr>
      </w:pPr>
      <w:r>
        <w:rPr>
          <w:rFonts w:hint="eastAsia" w:ascii="宋体" w:hAnsi="宋体" w:eastAsia="宋体" w:cs="宋体"/>
          <w:color w:val="404040"/>
          <w:sz w:val="26"/>
          <w:szCs w:val="26"/>
        </w:rPr>
        <w:t>备注：</w:t>
      </w:r>
    </w:p>
    <w:p>
      <w:pPr>
        <w:spacing w:line="220" w:lineRule="atLeast"/>
        <w:rPr>
          <w:rFonts w:hint="eastAsia" w:ascii="宋体" w:hAnsi="宋体" w:eastAsia="宋体" w:cs="宋体"/>
          <w:color w:val="404040"/>
          <w:sz w:val="26"/>
          <w:szCs w:val="26"/>
          <w:lang w:val="en-US" w:eastAsia="zh-CN"/>
        </w:rPr>
      </w:pPr>
      <w:r>
        <w:rPr>
          <w:rFonts w:hint="eastAsia" w:ascii="宋体" w:hAnsi="宋体" w:eastAsia="宋体" w:cs="宋体"/>
          <w:color w:val="404040"/>
          <w:sz w:val="26"/>
          <w:szCs w:val="26"/>
        </w:rPr>
        <w:t>1）</w:t>
      </w:r>
      <w:r>
        <w:rPr>
          <w:rFonts w:hint="eastAsia" w:ascii="宋体" w:hAnsi="宋体" w:eastAsia="宋体" w:cs="宋体"/>
          <w:color w:val="404040"/>
          <w:sz w:val="26"/>
          <w:szCs w:val="26"/>
          <w:lang w:eastAsia="zh-CN"/>
        </w:rPr>
        <w:t>报价：根据附件一，提供分项报价，年度服务费报价；并</w:t>
      </w:r>
      <w:r>
        <w:rPr>
          <w:rFonts w:hint="eastAsia" w:ascii="宋体" w:hAnsi="宋体" w:eastAsia="宋体" w:cs="宋体"/>
          <w:color w:val="404040"/>
          <w:sz w:val="26"/>
          <w:szCs w:val="26"/>
          <w:lang w:val="en-US" w:eastAsia="zh-CN"/>
        </w:rPr>
        <w:t>提供三年服务费总价。</w:t>
      </w:r>
    </w:p>
    <w:p>
      <w:pPr>
        <w:spacing w:line="220" w:lineRule="atLeast"/>
        <w:rPr>
          <w:rFonts w:hint="eastAsia" w:ascii="宋体" w:hAnsi="宋体" w:eastAsia="宋体" w:cs="宋体"/>
          <w:color w:val="404040"/>
          <w:sz w:val="26"/>
          <w:szCs w:val="26"/>
        </w:rPr>
      </w:pPr>
      <w:r>
        <w:rPr>
          <w:rFonts w:hint="eastAsia" w:ascii="宋体" w:hAnsi="宋体" w:eastAsia="宋体" w:cs="宋体"/>
          <w:color w:val="404040"/>
          <w:sz w:val="26"/>
          <w:szCs w:val="26"/>
          <w:lang w:val="en-US" w:eastAsia="zh-CN"/>
        </w:rPr>
        <w:t>2</w:t>
      </w:r>
      <w:r>
        <w:rPr>
          <w:rFonts w:hint="eastAsia" w:ascii="宋体" w:hAnsi="宋体" w:eastAsia="宋体" w:cs="宋体"/>
          <w:color w:val="404040"/>
          <w:sz w:val="26"/>
          <w:szCs w:val="26"/>
          <w:lang w:eastAsia="zh-CN"/>
        </w:rPr>
        <w:t>）</w:t>
      </w:r>
      <w:r>
        <w:rPr>
          <w:rFonts w:hint="eastAsia" w:ascii="宋体" w:hAnsi="宋体" w:eastAsia="宋体" w:cs="宋体"/>
          <w:color w:val="404040"/>
          <w:sz w:val="26"/>
          <w:szCs w:val="26"/>
        </w:rPr>
        <w:t>如双方对招标内容产生歧义，最终解释权为采购方。</w:t>
      </w:r>
    </w:p>
    <w:p>
      <w:pPr>
        <w:spacing w:line="220" w:lineRule="atLeast"/>
        <w:rPr>
          <w:rFonts w:hint="eastAsia" w:ascii="宋体" w:hAnsi="宋体" w:eastAsia="宋体" w:cs="宋体"/>
          <w:color w:val="404040"/>
          <w:sz w:val="26"/>
          <w:szCs w:val="26"/>
        </w:rPr>
      </w:pPr>
      <w:r>
        <w:rPr>
          <w:rFonts w:hint="eastAsia" w:ascii="宋体" w:hAnsi="宋体" w:eastAsia="宋体" w:cs="宋体"/>
          <w:color w:val="404040"/>
          <w:sz w:val="26"/>
          <w:szCs w:val="26"/>
          <w:lang w:val="en-US" w:eastAsia="zh-CN"/>
        </w:rPr>
        <w:t>3</w:t>
      </w:r>
      <w:r>
        <w:rPr>
          <w:rFonts w:hint="eastAsia" w:ascii="宋体" w:hAnsi="宋体" w:eastAsia="宋体" w:cs="宋体"/>
          <w:color w:val="404040"/>
          <w:sz w:val="26"/>
          <w:szCs w:val="26"/>
        </w:rPr>
        <w:t>）本项目</w:t>
      </w:r>
      <w:r>
        <w:rPr>
          <w:rFonts w:hint="eastAsia" w:ascii="宋体" w:hAnsi="宋体" w:eastAsia="宋体" w:cs="宋体"/>
          <w:color w:val="404040"/>
          <w:sz w:val="26"/>
          <w:szCs w:val="26"/>
          <w:lang w:eastAsia="zh-CN"/>
        </w:rPr>
        <w:t>服务</w:t>
      </w:r>
      <w:r>
        <w:rPr>
          <w:rFonts w:hint="eastAsia" w:ascii="宋体" w:hAnsi="宋体" w:eastAsia="宋体" w:cs="宋体"/>
          <w:color w:val="404040"/>
          <w:sz w:val="26"/>
          <w:szCs w:val="26"/>
        </w:rPr>
        <w:t>期为3年。</w:t>
      </w:r>
    </w:p>
    <w:p>
      <w:pPr>
        <w:pStyle w:val="13"/>
        <w:spacing w:line="360" w:lineRule="auto"/>
        <w:rPr>
          <w:rFonts w:hint="eastAsia" w:ascii="宋体" w:hAnsi="宋体" w:eastAsia="宋体" w:cs="宋体"/>
          <w:color w:val="00B050"/>
          <w:sz w:val="30"/>
          <w:szCs w:val="30"/>
        </w:rPr>
      </w:pPr>
      <w:r>
        <w:rPr>
          <w:rFonts w:hint="eastAsia" w:ascii="宋体" w:hAnsi="宋体" w:eastAsia="宋体" w:cs="宋体"/>
          <w:color w:val="404040"/>
          <w:sz w:val="26"/>
          <w:szCs w:val="26"/>
          <w:lang w:val="en-US" w:eastAsia="zh-CN"/>
        </w:rPr>
        <w:t>4</w:t>
      </w:r>
      <w:r>
        <w:rPr>
          <w:rFonts w:hint="eastAsia" w:ascii="宋体" w:hAnsi="宋体" w:eastAsia="宋体" w:cs="宋体"/>
          <w:color w:val="404040"/>
          <w:sz w:val="26"/>
          <w:szCs w:val="26"/>
        </w:rPr>
        <w:t>）报价含设备、运输、试验、验收、保险、检测报告印刷等费用。</w:t>
      </w:r>
    </w:p>
    <w:p>
      <w:pPr>
        <w:adjustRightInd/>
        <w:snapToGrid/>
        <w:spacing w:after="0"/>
        <w:rPr>
          <w:rFonts w:hint="eastAsia" w:ascii="宋体" w:hAnsi="宋体" w:eastAsia="宋体" w:cs="宋体"/>
          <w:color w:val="404040"/>
          <w:sz w:val="26"/>
          <w:szCs w:val="26"/>
        </w:rPr>
      </w:pPr>
      <w:r>
        <w:rPr>
          <w:rFonts w:hint="eastAsia" w:ascii="宋体" w:hAnsi="宋体" w:eastAsia="宋体" w:cs="宋体"/>
          <w:color w:val="404040"/>
          <w:sz w:val="26"/>
          <w:szCs w:val="26"/>
        </w:rPr>
        <w:br w:type="page"/>
      </w:r>
    </w:p>
    <w:p>
      <w:pPr>
        <w:rPr>
          <w:rFonts w:hint="eastAsia"/>
          <w:b/>
          <w:sz w:val="32"/>
          <w:szCs w:val="32"/>
        </w:rPr>
      </w:pPr>
    </w:p>
    <w:p>
      <w:pPr>
        <w:rPr>
          <w:b/>
          <w:sz w:val="32"/>
          <w:szCs w:val="32"/>
        </w:rPr>
      </w:pPr>
      <w:r>
        <w:rPr>
          <w:rFonts w:hint="eastAsia"/>
          <w:b/>
          <w:sz w:val="32"/>
          <w:szCs w:val="32"/>
        </w:rPr>
        <w:t>附件:</w:t>
      </w:r>
    </w:p>
    <w:p>
      <w:pPr>
        <w:pStyle w:val="28"/>
        <w:outlineLvl w:val="2"/>
      </w:pPr>
      <w:r>
        <w:rPr>
          <w:b/>
          <w:sz w:val="28"/>
        </w:rPr>
        <w:t>一、技术要求</w:t>
      </w:r>
    </w:p>
    <w:p>
      <w:pPr>
        <w:pStyle w:val="29"/>
        <w:ind w:firstLine="0" w:firstLineChars="0"/>
        <w:rPr>
          <w:rFonts w:hint="eastAsia" w:ascii="宋体" w:hAnsi="宋体" w:cs="宋体"/>
          <w:b/>
          <w:bCs/>
          <w:sz w:val="24"/>
          <w:lang w:val="en-US" w:bidi="en-US"/>
        </w:rPr>
      </w:pPr>
      <w:r>
        <w:rPr>
          <w:rFonts w:hint="eastAsia" w:ascii="宋体" w:hAnsi="宋体" w:cs="宋体"/>
          <w:b/>
          <w:bCs/>
          <w:sz w:val="24"/>
          <w:lang w:val="en-US" w:bidi="en-US"/>
        </w:rPr>
        <w:t>（一）设备要求</w:t>
      </w:r>
    </w:p>
    <w:p>
      <w:pPr>
        <w:pStyle w:val="29"/>
        <w:spacing w:line="360" w:lineRule="auto"/>
        <w:rPr>
          <w:rFonts w:hint="eastAsia" w:ascii="宋体" w:hAnsi="宋体" w:cs="宋体"/>
          <w:sz w:val="24"/>
          <w:lang w:bidi="en-US"/>
        </w:rPr>
      </w:pPr>
      <w:r>
        <w:rPr>
          <w:rFonts w:hint="eastAsia" w:ascii="宋体" w:hAnsi="宋体" w:cs="宋体"/>
          <w:b/>
          <w:bCs/>
          <w:sz w:val="24"/>
          <w:lang w:val="en-US" w:eastAsia="zh-CN" w:bidi="en-US"/>
        </w:rPr>
        <w:t>(评审项1)</w:t>
      </w:r>
      <w:r>
        <w:rPr>
          <w:rFonts w:hint="eastAsia" w:ascii="宋体" w:hAnsi="宋体" w:cs="宋体"/>
          <w:sz w:val="24"/>
          <w:lang w:val="en-US" w:eastAsia="zh-CN" w:bidi="en-US"/>
        </w:rPr>
        <w:t>1</w:t>
      </w:r>
      <w:r>
        <w:rPr>
          <w:rFonts w:hint="eastAsia" w:ascii="宋体" w:hAnsi="宋体" w:cs="宋体"/>
          <w:sz w:val="24"/>
          <w:lang w:val="en-US" w:bidi="en-US"/>
        </w:rPr>
        <w:t>、</w:t>
      </w:r>
      <w:r>
        <w:rPr>
          <w:rFonts w:hint="eastAsia" w:ascii="宋体" w:hAnsi="宋体" w:cs="宋体"/>
          <w:sz w:val="24"/>
          <w:lang w:bidi="en-US"/>
        </w:rPr>
        <w:t>具有直流高压发生器。</w:t>
      </w:r>
    </w:p>
    <w:p>
      <w:pPr>
        <w:pStyle w:val="29"/>
        <w:spacing w:line="360" w:lineRule="auto"/>
        <w:rPr>
          <w:rFonts w:hint="eastAsia" w:ascii="宋体" w:hAnsi="宋体" w:cs="宋体"/>
          <w:sz w:val="24"/>
          <w:lang w:bidi="en-US"/>
        </w:rPr>
      </w:pPr>
      <w:r>
        <w:rPr>
          <w:rFonts w:hint="eastAsia" w:ascii="宋体" w:hAnsi="宋体" w:cs="宋体"/>
          <w:b/>
          <w:bCs/>
          <w:sz w:val="24"/>
          <w:lang w:val="en-US" w:eastAsia="zh-CN" w:bidi="en-US"/>
        </w:rPr>
        <w:t>(评审项2)</w:t>
      </w:r>
      <w:r>
        <w:rPr>
          <w:rFonts w:hint="eastAsia" w:ascii="宋体" w:hAnsi="宋体" w:cs="宋体"/>
          <w:b w:val="0"/>
          <w:bCs w:val="0"/>
          <w:sz w:val="24"/>
          <w:lang w:val="en-US" w:eastAsia="zh-CN" w:bidi="en-US"/>
        </w:rPr>
        <w:t>2</w:t>
      </w:r>
      <w:r>
        <w:rPr>
          <w:rFonts w:hint="eastAsia" w:ascii="宋体" w:hAnsi="宋体" w:cs="宋体"/>
          <w:sz w:val="24"/>
          <w:lang w:val="en-US" w:bidi="en-US"/>
        </w:rPr>
        <w:t>、</w:t>
      </w:r>
      <w:r>
        <w:rPr>
          <w:rFonts w:hint="eastAsia" w:ascii="宋体" w:hAnsi="宋体" w:cs="宋体"/>
          <w:sz w:val="24"/>
          <w:lang w:bidi="en-US"/>
        </w:rPr>
        <w:t>具有工频耐压试验装置。</w:t>
      </w:r>
    </w:p>
    <w:p>
      <w:pPr>
        <w:pStyle w:val="29"/>
        <w:spacing w:line="360" w:lineRule="auto"/>
        <w:rPr>
          <w:rFonts w:hint="eastAsia" w:ascii="宋体" w:hAnsi="宋体" w:cs="宋体"/>
          <w:sz w:val="24"/>
          <w:lang w:bidi="en-US"/>
        </w:rPr>
      </w:pPr>
      <w:r>
        <w:rPr>
          <w:rFonts w:hint="eastAsia" w:ascii="宋体" w:hAnsi="宋体" w:cs="宋体"/>
          <w:b/>
          <w:bCs/>
          <w:sz w:val="24"/>
          <w:lang w:val="en-US" w:eastAsia="zh-CN" w:bidi="en-US"/>
        </w:rPr>
        <w:t>(评审项3)</w:t>
      </w:r>
      <w:r>
        <w:rPr>
          <w:rFonts w:hint="eastAsia" w:ascii="宋体" w:hAnsi="宋体" w:cs="宋体"/>
          <w:sz w:val="24"/>
          <w:lang w:val="en-US" w:eastAsia="zh-CN" w:bidi="en-US"/>
        </w:rPr>
        <w:t>3</w:t>
      </w:r>
      <w:r>
        <w:rPr>
          <w:rFonts w:hint="eastAsia" w:ascii="宋体" w:hAnsi="宋体" w:cs="宋体"/>
          <w:sz w:val="24"/>
          <w:lang w:val="en-US" w:bidi="en-US"/>
        </w:rPr>
        <w:t>、</w:t>
      </w:r>
      <w:r>
        <w:rPr>
          <w:rFonts w:hint="eastAsia" w:ascii="宋体" w:hAnsi="宋体" w:cs="宋体"/>
          <w:sz w:val="24"/>
          <w:lang w:bidi="en-US"/>
        </w:rPr>
        <w:t>具有变频串联谐振试验成套装置。</w:t>
      </w:r>
    </w:p>
    <w:p>
      <w:pPr>
        <w:pStyle w:val="29"/>
        <w:spacing w:line="360" w:lineRule="auto"/>
        <w:rPr>
          <w:rFonts w:hint="eastAsia" w:ascii="宋体" w:hAnsi="宋体" w:cs="宋体"/>
          <w:sz w:val="24"/>
          <w:lang w:bidi="en-US"/>
        </w:rPr>
      </w:pPr>
      <w:r>
        <w:rPr>
          <w:rFonts w:hint="eastAsia" w:ascii="宋体" w:hAnsi="宋体" w:cs="宋体"/>
          <w:b/>
          <w:bCs/>
          <w:sz w:val="24"/>
          <w:lang w:val="en-US" w:eastAsia="zh-CN" w:bidi="en-US"/>
        </w:rPr>
        <w:t>(评审项4)</w:t>
      </w:r>
      <w:r>
        <w:rPr>
          <w:rFonts w:hint="eastAsia" w:ascii="宋体" w:hAnsi="宋体" w:cs="宋体"/>
          <w:b w:val="0"/>
          <w:bCs w:val="0"/>
          <w:sz w:val="24"/>
          <w:lang w:val="en-US" w:eastAsia="zh-CN" w:bidi="en-US"/>
        </w:rPr>
        <w:t>4</w:t>
      </w:r>
      <w:r>
        <w:rPr>
          <w:rFonts w:hint="eastAsia" w:ascii="宋体" w:hAnsi="宋体" w:cs="宋体"/>
          <w:sz w:val="24"/>
          <w:lang w:val="en-US" w:bidi="en-US"/>
        </w:rPr>
        <w:t>、</w:t>
      </w:r>
      <w:r>
        <w:rPr>
          <w:rFonts w:hint="eastAsia" w:ascii="宋体" w:hAnsi="宋体" w:cs="宋体"/>
          <w:sz w:val="24"/>
          <w:lang w:bidi="en-US"/>
        </w:rPr>
        <w:t>具有感应耐压试验装置。</w:t>
      </w:r>
    </w:p>
    <w:p>
      <w:pPr>
        <w:pStyle w:val="29"/>
        <w:spacing w:line="360" w:lineRule="auto"/>
        <w:rPr>
          <w:rFonts w:hint="eastAsia" w:ascii="宋体" w:hAnsi="宋体" w:cs="宋体"/>
          <w:b/>
          <w:bCs/>
          <w:sz w:val="24"/>
          <w:lang w:val="en-US" w:eastAsia="zh-CN" w:bidi="en-US"/>
        </w:rPr>
      </w:pPr>
      <w:r>
        <w:rPr>
          <w:rFonts w:hint="eastAsia" w:ascii="宋体" w:hAnsi="宋体" w:cs="宋体"/>
          <w:b/>
          <w:bCs/>
          <w:sz w:val="24"/>
          <w:lang w:val="en-US" w:eastAsia="zh-CN" w:bidi="en-US"/>
        </w:rPr>
        <w:t>(评审项5)</w:t>
      </w:r>
      <w:r>
        <w:rPr>
          <w:rFonts w:hint="eastAsia" w:ascii="宋体" w:hAnsi="宋体" w:cs="宋体"/>
          <w:b w:val="0"/>
          <w:bCs w:val="0"/>
          <w:sz w:val="24"/>
          <w:lang w:val="en-US" w:eastAsia="zh-CN" w:bidi="en-US"/>
        </w:rPr>
        <w:t>5</w:t>
      </w:r>
      <w:r>
        <w:rPr>
          <w:rFonts w:hint="eastAsia" w:ascii="宋体" w:hAnsi="宋体" w:cs="宋体"/>
          <w:sz w:val="24"/>
          <w:lang w:val="en-US" w:bidi="en-US"/>
        </w:rPr>
        <w:t>、</w:t>
      </w:r>
      <w:r>
        <w:rPr>
          <w:rFonts w:hint="eastAsia" w:ascii="宋体" w:hAnsi="宋体" w:cs="宋体"/>
          <w:sz w:val="24"/>
          <w:lang w:bidi="en-US"/>
        </w:rPr>
        <w:t>具有高压介质损耗测试装置。</w:t>
      </w:r>
    </w:p>
    <w:p>
      <w:pPr>
        <w:pStyle w:val="29"/>
        <w:spacing w:line="360" w:lineRule="auto"/>
        <w:rPr>
          <w:rFonts w:hint="eastAsia" w:ascii="宋体" w:hAnsi="宋体" w:cs="宋体"/>
          <w:sz w:val="24"/>
          <w:lang w:bidi="en-US"/>
        </w:rPr>
      </w:pPr>
      <w:r>
        <w:rPr>
          <w:rFonts w:hint="eastAsia" w:ascii="宋体" w:hAnsi="宋体" w:cs="宋体"/>
          <w:b/>
          <w:bCs/>
          <w:sz w:val="24"/>
          <w:lang w:val="en-US" w:eastAsia="zh-CN" w:bidi="en-US"/>
        </w:rPr>
        <w:t>(评审项6)</w:t>
      </w:r>
      <w:r>
        <w:rPr>
          <w:rFonts w:hint="eastAsia" w:ascii="宋体" w:hAnsi="宋体" w:cs="宋体"/>
          <w:sz w:val="24"/>
          <w:lang w:val="en-US" w:eastAsia="zh-CN" w:bidi="en-US"/>
        </w:rPr>
        <w:t>6</w:t>
      </w:r>
      <w:r>
        <w:rPr>
          <w:rFonts w:hint="eastAsia" w:ascii="宋体" w:hAnsi="宋体" w:cs="宋体"/>
          <w:sz w:val="24"/>
          <w:lang w:val="en-US" w:bidi="en-US"/>
        </w:rPr>
        <w:t>、</w:t>
      </w:r>
      <w:r>
        <w:rPr>
          <w:rFonts w:hint="eastAsia" w:ascii="宋体" w:hAnsi="宋体" w:cs="宋体"/>
          <w:sz w:val="24"/>
          <w:lang w:bidi="en-US"/>
        </w:rPr>
        <w:t>具有回路电阻测试仪。</w:t>
      </w:r>
    </w:p>
    <w:p>
      <w:pPr>
        <w:pStyle w:val="29"/>
        <w:spacing w:line="360" w:lineRule="auto"/>
        <w:rPr>
          <w:rFonts w:hint="eastAsia" w:ascii="宋体" w:hAnsi="宋体" w:cs="宋体"/>
          <w:sz w:val="24"/>
          <w:lang w:bidi="en-US"/>
        </w:rPr>
      </w:pPr>
      <w:r>
        <w:rPr>
          <w:rFonts w:hint="eastAsia" w:ascii="宋体" w:hAnsi="宋体" w:cs="宋体"/>
          <w:b/>
          <w:bCs/>
          <w:sz w:val="24"/>
          <w:lang w:val="en-US" w:eastAsia="zh-CN" w:bidi="en-US"/>
        </w:rPr>
        <w:t>(评审项7)</w:t>
      </w:r>
      <w:r>
        <w:rPr>
          <w:rFonts w:hint="eastAsia" w:ascii="宋体" w:hAnsi="宋体" w:cs="宋体"/>
          <w:sz w:val="24"/>
          <w:lang w:val="en-US" w:eastAsia="zh-CN" w:bidi="en-US"/>
        </w:rPr>
        <w:t>7</w:t>
      </w:r>
      <w:r>
        <w:rPr>
          <w:rFonts w:hint="eastAsia" w:ascii="宋体" w:hAnsi="宋体" w:cs="宋体"/>
          <w:sz w:val="24"/>
          <w:lang w:val="en-US" w:bidi="en-US"/>
        </w:rPr>
        <w:t>、</w:t>
      </w:r>
      <w:r>
        <w:rPr>
          <w:rFonts w:hint="eastAsia" w:ascii="宋体" w:hAnsi="宋体" w:cs="宋体"/>
          <w:sz w:val="24"/>
          <w:lang w:bidi="en-US"/>
        </w:rPr>
        <w:t>具有互感器伏安特性测试仪。</w:t>
      </w:r>
    </w:p>
    <w:p>
      <w:pPr>
        <w:pStyle w:val="29"/>
        <w:spacing w:line="360" w:lineRule="auto"/>
        <w:rPr>
          <w:rFonts w:hint="eastAsia" w:ascii="宋体" w:hAnsi="宋体" w:cs="宋体"/>
          <w:sz w:val="24"/>
          <w:lang w:bidi="en-US"/>
        </w:rPr>
      </w:pPr>
      <w:r>
        <w:rPr>
          <w:rFonts w:hint="eastAsia" w:ascii="宋体" w:hAnsi="宋体" w:cs="宋体"/>
          <w:b/>
          <w:bCs/>
          <w:sz w:val="24"/>
          <w:lang w:val="en-US" w:eastAsia="zh-CN" w:bidi="en-US"/>
        </w:rPr>
        <w:t>(评审项8)</w:t>
      </w:r>
      <w:r>
        <w:rPr>
          <w:rFonts w:hint="eastAsia" w:ascii="宋体" w:hAnsi="宋体" w:cs="宋体"/>
          <w:sz w:val="24"/>
          <w:lang w:val="en-US" w:eastAsia="zh-CN" w:bidi="en-US"/>
        </w:rPr>
        <w:t>8</w:t>
      </w:r>
      <w:r>
        <w:rPr>
          <w:rFonts w:hint="eastAsia" w:ascii="宋体" w:hAnsi="宋体" w:cs="宋体"/>
          <w:sz w:val="24"/>
          <w:lang w:val="en-US" w:bidi="en-US"/>
        </w:rPr>
        <w:t>、</w:t>
      </w:r>
      <w:r>
        <w:rPr>
          <w:rFonts w:hint="eastAsia" w:ascii="宋体" w:hAnsi="宋体" w:cs="宋体"/>
          <w:sz w:val="24"/>
          <w:lang w:bidi="en-US"/>
        </w:rPr>
        <w:t>具有变压器变比测试仪。</w:t>
      </w:r>
    </w:p>
    <w:p>
      <w:pPr>
        <w:pStyle w:val="29"/>
        <w:spacing w:line="360" w:lineRule="auto"/>
        <w:rPr>
          <w:rFonts w:hint="eastAsia" w:ascii="宋体" w:hAnsi="宋体" w:cs="宋体"/>
          <w:sz w:val="24"/>
          <w:lang w:bidi="en-US"/>
        </w:rPr>
      </w:pPr>
      <w:r>
        <w:rPr>
          <w:rFonts w:hint="eastAsia" w:ascii="宋体" w:hAnsi="宋体" w:cs="宋体"/>
          <w:b/>
          <w:bCs/>
          <w:sz w:val="24"/>
          <w:lang w:val="en-US" w:eastAsia="zh-CN" w:bidi="en-US"/>
        </w:rPr>
        <w:t>(评审项9)</w:t>
      </w:r>
      <w:r>
        <w:rPr>
          <w:rFonts w:hint="eastAsia" w:ascii="宋体" w:hAnsi="宋体" w:cs="宋体"/>
          <w:sz w:val="24"/>
          <w:lang w:val="en-US" w:eastAsia="zh-CN" w:bidi="en-US"/>
        </w:rPr>
        <w:t>9</w:t>
      </w:r>
      <w:r>
        <w:rPr>
          <w:rFonts w:hint="eastAsia" w:ascii="宋体" w:hAnsi="宋体" w:cs="宋体"/>
          <w:sz w:val="24"/>
          <w:lang w:val="en-US" w:bidi="en-US"/>
        </w:rPr>
        <w:t>、</w:t>
      </w:r>
      <w:r>
        <w:rPr>
          <w:rFonts w:hint="eastAsia" w:ascii="宋体" w:hAnsi="宋体" w:cs="宋体"/>
          <w:sz w:val="24"/>
          <w:lang w:bidi="en-US"/>
        </w:rPr>
        <w:t>具有断路器特性测试仪。</w:t>
      </w:r>
    </w:p>
    <w:p>
      <w:pPr>
        <w:pStyle w:val="29"/>
        <w:spacing w:line="360" w:lineRule="auto"/>
        <w:rPr>
          <w:rFonts w:hint="eastAsia" w:ascii="宋体" w:hAnsi="宋体" w:cs="宋体"/>
          <w:sz w:val="24"/>
          <w:lang w:bidi="en-US"/>
        </w:rPr>
      </w:pPr>
      <w:r>
        <w:rPr>
          <w:rFonts w:hint="eastAsia" w:ascii="宋体" w:hAnsi="宋体" w:cs="宋体"/>
          <w:b/>
          <w:bCs/>
          <w:sz w:val="24"/>
          <w:lang w:val="en-US" w:eastAsia="zh-CN" w:bidi="en-US"/>
        </w:rPr>
        <w:t>(评审项10)</w:t>
      </w:r>
      <w:r>
        <w:rPr>
          <w:rFonts w:hint="eastAsia" w:ascii="宋体" w:hAnsi="宋体" w:cs="宋体"/>
          <w:sz w:val="24"/>
          <w:lang w:val="en-US" w:bidi="en-US"/>
        </w:rPr>
        <w:t>1</w:t>
      </w:r>
      <w:r>
        <w:rPr>
          <w:rFonts w:hint="eastAsia" w:ascii="宋体" w:hAnsi="宋体" w:cs="宋体"/>
          <w:sz w:val="24"/>
          <w:lang w:val="en-US" w:eastAsia="zh-CN" w:bidi="en-US"/>
        </w:rPr>
        <w:t>0</w:t>
      </w:r>
      <w:r>
        <w:rPr>
          <w:rFonts w:hint="eastAsia" w:ascii="宋体" w:hAnsi="宋体" w:cs="宋体"/>
          <w:sz w:val="24"/>
          <w:lang w:val="en-US" w:bidi="en-US"/>
        </w:rPr>
        <w:t>、</w:t>
      </w:r>
      <w:r>
        <w:rPr>
          <w:rFonts w:hint="eastAsia" w:ascii="宋体" w:hAnsi="宋体" w:cs="宋体"/>
          <w:sz w:val="24"/>
          <w:lang w:bidi="en-US"/>
        </w:rPr>
        <w:t>具有绝缘电阻测试仪等。</w:t>
      </w:r>
    </w:p>
    <w:p>
      <w:pPr>
        <w:pStyle w:val="29"/>
        <w:spacing w:line="360" w:lineRule="auto"/>
        <w:rPr>
          <w:rFonts w:hint="eastAsia" w:ascii="宋体" w:hAnsi="宋体" w:cs="宋体"/>
          <w:b/>
          <w:bCs/>
          <w:sz w:val="24"/>
          <w:lang w:val="en-US" w:eastAsia="zh-CN" w:bidi="en-US"/>
        </w:rPr>
      </w:pPr>
      <w:r>
        <w:rPr>
          <w:rFonts w:hint="eastAsia" w:ascii="宋体" w:hAnsi="宋体" w:cs="宋体"/>
          <w:b/>
          <w:bCs/>
          <w:sz w:val="24"/>
          <w:lang w:val="en-US" w:eastAsia="zh-CN" w:bidi="en-US"/>
        </w:rPr>
        <w:t>(评审项11)</w:t>
      </w:r>
      <w:r>
        <w:rPr>
          <w:rFonts w:hint="eastAsia" w:ascii="宋体" w:hAnsi="宋体" w:cs="宋体"/>
          <w:sz w:val="24"/>
          <w:lang w:val="en-US" w:bidi="en-US"/>
        </w:rPr>
        <w:t>1</w:t>
      </w:r>
      <w:r>
        <w:rPr>
          <w:rFonts w:hint="eastAsia" w:ascii="宋体" w:hAnsi="宋体" w:cs="宋体"/>
          <w:sz w:val="24"/>
          <w:lang w:val="en-US" w:eastAsia="zh-CN" w:bidi="en-US"/>
        </w:rPr>
        <w:t>1</w:t>
      </w:r>
      <w:r>
        <w:rPr>
          <w:rFonts w:hint="eastAsia" w:ascii="宋体" w:hAnsi="宋体" w:cs="宋体"/>
          <w:sz w:val="24"/>
          <w:lang w:val="en-US" w:bidi="en-US"/>
        </w:rPr>
        <w:t>、</w:t>
      </w:r>
      <w:r>
        <w:rPr>
          <w:rFonts w:hint="eastAsia" w:ascii="宋体" w:hAnsi="宋体" w:cs="宋体"/>
          <w:sz w:val="24"/>
          <w:lang w:bidi="en-US"/>
        </w:rPr>
        <w:t>具有三相继电保护测试仪。</w:t>
      </w:r>
    </w:p>
    <w:p>
      <w:pPr>
        <w:pStyle w:val="29"/>
        <w:spacing w:line="360" w:lineRule="auto"/>
        <w:rPr>
          <w:rFonts w:hint="eastAsia" w:ascii="宋体" w:hAnsi="宋体" w:cs="宋体"/>
          <w:sz w:val="24"/>
          <w:lang w:bidi="en-US"/>
        </w:rPr>
      </w:pPr>
      <w:r>
        <w:rPr>
          <w:rFonts w:hint="eastAsia" w:ascii="宋体" w:hAnsi="宋体" w:cs="宋体"/>
          <w:b/>
          <w:bCs/>
          <w:sz w:val="24"/>
          <w:lang w:val="en-US" w:eastAsia="zh-CN" w:bidi="en-US"/>
        </w:rPr>
        <w:t>(评审项12)</w:t>
      </w:r>
      <w:r>
        <w:rPr>
          <w:rFonts w:hint="eastAsia" w:ascii="宋体" w:hAnsi="宋体" w:cs="宋体"/>
          <w:sz w:val="24"/>
          <w:lang w:val="en-US" w:bidi="en-US"/>
        </w:rPr>
        <w:t>1</w:t>
      </w:r>
      <w:r>
        <w:rPr>
          <w:rFonts w:hint="eastAsia" w:ascii="宋体" w:hAnsi="宋体" w:cs="宋体"/>
          <w:sz w:val="24"/>
          <w:lang w:val="en-US" w:eastAsia="zh-CN" w:bidi="en-US"/>
        </w:rPr>
        <w:t>2</w:t>
      </w:r>
      <w:r>
        <w:rPr>
          <w:rFonts w:hint="eastAsia" w:ascii="宋体" w:hAnsi="宋体" w:cs="宋体"/>
          <w:sz w:val="24"/>
          <w:lang w:val="en-US" w:bidi="en-US"/>
        </w:rPr>
        <w:t>、</w:t>
      </w:r>
      <w:r>
        <w:rPr>
          <w:rFonts w:hint="eastAsia" w:ascii="宋体" w:hAnsi="宋体" w:cs="宋体"/>
          <w:sz w:val="24"/>
          <w:lang w:bidi="en-US"/>
        </w:rPr>
        <w:t>具有直流电阻测试仪。</w:t>
      </w:r>
    </w:p>
    <w:p>
      <w:pPr>
        <w:pStyle w:val="29"/>
        <w:spacing w:line="360" w:lineRule="auto"/>
        <w:rPr>
          <w:rFonts w:hint="eastAsia" w:ascii="宋体" w:hAnsi="宋体" w:cs="宋体"/>
          <w:sz w:val="24"/>
          <w:lang w:bidi="en-US"/>
        </w:rPr>
      </w:pPr>
      <w:r>
        <w:rPr>
          <w:rFonts w:hint="eastAsia" w:ascii="宋体" w:hAnsi="宋体" w:cs="宋体"/>
          <w:b/>
          <w:bCs/>
          <w:sz w:val="24"/>
          <w:lang w:val="en-US" w:eastAsia="zh-CN" w:bidi="en-US"/>
        </w:rPr>
        <w:t>(评审项13)</w:t>
      </w:r>
      <w:r>
        <w:rPr>
          <w:rFonts w:hint="eastAsia" w:ascii="宋体" w:hAnsi="宋体" w:cs="宋体"/>
          <w:sz w:val="24"/>
          <w:lang w:val="en-US" w:bidi="en-US"/>
        </w:rPr>
        <w:t>1</w:t>
      </w:r>
      <w:r>
        <w:rPr>
          <w:rFonts w:hint="eastAsia" w:ascii="宋体" w:hAnsi="宋体" w:cs="宋体"/>
          <w:sz w:val="24"/>
          <w:lang w:val="en-US" w:eastAsia="zh-CN" w:bidi="en-US"/>
        </w:rPr>
        <w:t>3</w:t>
      </w:r>
      <w:r>
        <w:rPr>
          <w:rFonts w:hint="eastAsia" w:ascii="宋体" w:hAnsi="宋体" w:cs="宋体"/>
          <w:sz w:val="24"/>
          <w:lang w:val="en-US" w:bidi="en-US"/>
        </w:rPr>
        <w:t>、</w:t>
      </w:r>
      <w:r>
        <w:rPr>
          <w:rFonts w:hint="eastAsia" w:ascii="宋体" w:hAnsi="宋体" w:cs="宋体"/>
          <w:sz w:val="24"/>
          <w:lang w:bidi="en-US"/>
        </w:rPr>
        <w:t>具有接地电阻测试仪。</w:t>
      </w:r>
    </w:p>
    <w:p>
      <w:pPr>
        <w:pStyle w:val="29"/>
        <w:spacing w:line="360" w:lineRule="auto"/>
        <w:rPr>
          <w:rFonts w:hint="eastAsia" w:ascii="宋体" w:hAnsi="宋体" w:cs="宋体"/>
          <w:sz w:val="24"/>
          <w:lang w:bidi="en-US"/>
        </w:rPr>
      </w:pPr>
      <w:r>
        <w:rPr>
          <w:rFonts w:hint="eastAsia" w:ascii="宋体" w:hAnsi="宋体" w:cs="宋体"/>
          <w:b/>
          <w:bCs/>
          <w:sz w:val="24"/>
          <w:lang w:val="en-US" w:eastAsia="zh-CN" w:bidi="en-US"/>
        </w:rPr>
        <w:t>(评审项14)</w:t>
      </w:r>
      <w:r>
        <w:rPr>
          <w:rFonts w:hint="eastAsia" w:ascii="宋体" w:hAnsi="宋体" w:cs="宋体"/>
          <w:sz w:val="24"/>
          <w:lang w:val="en-US" w:bidi="en-US"/>
        </w:rPr>
        <w:t>1</w:t>
      </w:r>
      <w:r>
        <w:rPr>
          <w:rFonts w:hint="eastAsia" w:ascii="宋体" w:hAnsi="宋体" w:cs="宋体"/>
          <w:sz w:val="24"/>
          <w:lang w:val="en-US" w:eastAsia="zh-CN" w:bidi="en-US"/>
        </w:rPr>
        <w:t>4</w:t>
      </w:r>
      <w:r>
        <w:rPr>
          <w:rFonts w:hint="eastAsia" w:ascii="宋体" w:hAnsi="宋体" w:cs="宋体"/>
          <w:sz w:val="24"/>
          <w:lang w:val="en-US" w:bidi="en-US"/>
        </w:rPr>
        <w:t>、</w:t>
      </w:r>
      <w:r>
        <w:rPr>
          <w:rFonts w:hint="eastAsia" w:ascii="宋体" w:hAnsi="宋体" w:cs="宋体"/>
          <w:sz w:val="24"/>
          <w:lang w:val="en-US" w:eastAsia="zh-CN" w:bidi="en-US"/>
        </w:rPr>
        <w:t>具有1-13项的</w:t>
      </w:r>
      <w:r>
        <w:rPr>
          <w:rFonts w:hint="eastAsia" w:ascii="宋体" w:hAnsi="宋体" w:cs="宋体"/>
          <w:sz w:val="24"/>
          <w:lang w:bidi="en-US"/>
        </w:rPr>
        <w:t>工器具、施工设备</w:t>
      </w:r>
      <w:r>
        <w:rPr>
          <w:rFonts w:hint="eastAsia" w:ascii="宋体" w:hAnsi="宋体" w:cs="宋体"/>
          <w:sz w:val="24"/>
          <w:lang w:eastAsia="zh-CN" w:bidi="en-US"/>
        </w:rPr>
        <w:t>齐全两套或以上再得</w:t>
      </w:r>
      <w:r>
        <w:rPr>
          <w:rFonts w:hint="eastAsia" w:ascii="宋体" w:hAnsi="宋体" w:cs="宋体"/>
          <w:sz w:val="24"/>
          <w:lang w:val="en-US" w:eastAsia="zh-CN" w:bidi="en-US"/>
        </w:rPr>
        <w:t>1分。</w:t>
      </w:r>
      <w:r>
        <w:rPr>
          <w:rFonts w:hint="eastAsia" w:ascii="宋体" w:hAnsi="宋体" w:cs="宋体"/>
          <w:b/>
          <w:bCs/>
          <w:sz w:val="24"/>
          <w:lang w:bidi="en-US"/>
        </w:rPr>
        <w:t>（投标人仅提供一套（一）设备要求中</w:t>
      </w:r>
      <w:r>
        <w:rPr>
          <w:rFonts w:hint="eastAsia" w:ascii="宋体" w:hAnsi="宋体" w:cs="宋体"/>
          <w:b/>
          <w:bCs/>
          <w:sz w:val="24"/>
          <w:lang w:val="en-US" w:bidi="en-US"/>
        </w:rPr>
        <w:t>1-13项</w:t>
      </w:r>
      <w:r>
        <w:rPr>
          <w:rFonts w:hint="eastAsia" w:ascii="宋体" w:hAnsi="宋体" w:cs="宋体"/>
          <w:b/>
          <w:bCs/>
          <w:sz w:val="24"/>
          <w:lang w:bidi="en-US"/>
        </w:rPr>
        <w:t>试验仪器的不得分，再增加一套相同的试验仪器得</w:t>
      </w:r>
      <w:r>
        <w:rPr>
          <w:rFonts w:hint="eastAsia" w:ascii="宋体" w:hAnsi="宋体" w:cs="宋体"/>
          <w:b/>
          <w:bCs/>
          <w:sz w:val="24"/>
          <w:lang w:val="en-US" w:bidi="en-US"/>
        </w:rPr>
        <w:t>1</w:t>
      </w:r>
      <w:r>
        <w:rPr>
          <w:rFonts w:hint="eastAsia" w:ascii="宋体" w:hAnsi="宋体" w:cs="宋体"/>
          <w:b/>
          <w:bCs/>
          <w:sz w:val="24"/>
          <w:lang w:bidi="en-US"/>
        </w:rPr>
        <w:t>分</w:t>
      </w:r>
      <w:r>
        <w:rPr>
          <w:rFonts w:hint="eastAsia" w:ascii="宋体" w:hAnsi="宋体" w:cs="宋体"/>
          <w:b/>
          <w:bCs/>
          <w:sz w:val="24"/>
          <w:lang w:val="en-US" w:bidi="en-US"/>
        </w:rPr>
        <w:t>)</w:t>
      </w:r>
      <w:r>
        <w:rPr>
          <w:rFonts w:hint="eastAsia" w:ascii="宋体" w:hAnsi="宋体" w:cs="宋体"/>
          <w:sz w:val="24"/>
          <w:lang w:bidi="en-US"/>
        </w:rPr>
        <w:t>。</w:t>
      </w:r>
    </w:p>
    <w:p>
      <w:pPr>
        <w:pStyle w:val="29"/>
        <w:spacing w:line="360" w:lineRule="auto"/>
        <w:ind w:firstLine="482"/>
        <w:rPr>
          <w:rFonts w:hint="eastAsia" w:ascii="宋体" w:hAnsi="宋体" w:cs="宋体"/>
          <w:sz w:val="24"/>
          <w:lang w:val="en-US"/>
        </w:rPr>
      </w:pPr>
      <w:r>
        <w:rPr>
          <w:rFonts w:hint="eastAsia" w:ascii="宋体" w:hAnsi="宋体" w:cs="宋体"/>
          <w:b/>
          <w:bCs/>
          <w:sz w:val="24"/>
          <w:lang w:bidi="en-US"/>
        </w:rPr>
        <w:t>备注：以上进场试验测试仪器需具有合格的年检证明（原件备查），且须附投标人购买证明复印件，每项</w:t>
      </w:r>
      <w:r>
        <w:rPr>
          <w:rFonts w:hint="eastAsia" w:ascii="宋体" w:hAnsi="宋体" w:cs="宋体"/>
          <w:b/>
          <w:bCs/>
          <w:sz w:val="24"/>
          <w:lang w:val="en-US" w:bidi="en-US"/>
        </w:rPr>
        <w:t>1分，</w:t>
      </w:r>
      <w:r>
        <w:rPr>
          <w:rFonts w:hint="eastAsia" w:ascii="宋体" w:hAnsi="宋体" w:cs="宋体"/>
          <w:b/>
          <w:bCs/>
          <w:sz w:val="24"/>
          <w:lang w:bidi="en-US"/>
        </w:rPr>
        <w:t>未提供的不得分。</w:t>
      </w:r>
      <w:r>
        <w:rPr>
          <w:rFonts w:hint="eastAsia" w:ascii="宋体" w:hAnsi="宋体" w:cs="宋体"/>
          <w:sz w:val="24"/>
          <w:lang w:val="en-US"/>
        </w:rPr>
        <w:t>可参照</w:t>
      </w:r>
      <w:r>
        <w:rPr>
          <w:rFonts w:hint="eastAsia" w:ascii="宋体" w:hAnsi="宋体" w:cs="宋体"/>
          <w:b/>
          <w:bCs/>
          <w:sz w:val="24"/>
          <w:lang w:val="en-US"/>
        </w:rPr>
        <w:t>附件</w:t>
      </w:r>
      <w:r>
        <w:rPr>
          <w:rFonts w:hint="eastAsia" w:ascii="宋体" w:hAnsi="宋体" w:cs="宋体"/>
          <w:b/>
          <w:bCs/>
          <w:sz w:val="24"/>
          <w:lang w:val="en-US" w:eastAsia="zh-CN"/>
        </w:rPr>
        <w:t>二</w:t>
      </w:r>
      <w:r>
        <w:rPr>
          <w:rFonts w:hint="eastAsia" w:ascii="宋体" w:hAnsi="宋体" w:cs="宋体"/>
          <w:sz w:val="24"/>
          <w:lang w:val="en-US"/>
        </w:rPr>
        <w:t>填写，主要机械设备和试验检测设备表。</w:t>
      </w:r>
    </w:p>
    <w:p>
      <w:pPr>
        <w:pStyle w:val="29"/>
        <w:ind w:firstLine="0" w:firstLineChars="0"/>
        <w:rPr>
          <w:rFonts w:hint="eastAsia" w:ascii="宋体" w:hAnsi="宋体" w:cs="宋体"/>
          <w:b/>
          <w:bCs/>
          <w:sz w:val="24"/>
          <w:lang w:val="en-US" w:bidi="en-US"/>
        </w:rPr>
      </w:pPr>
      <w:r>
        <w:rPr>
          <w:rFonts w:hint="eastAsia" w:ascii="宋体" w:hAnsi="宋体" w:cs="宋体"/>
          <w:b/>
          <w:bCs/>
          <w:sz w:val="24"/>
          <w:lang w:val="en-US" w:bidi="en-US"/>
        </w:rPr>
        <w:t>（二）施工要求</w:t>
      </w:r>
    </w:p>
    <w:p>
      <w:pPr>
        <w:spacing w:line="360" w:lineRule="auto"/>
        <w:ind w:firstLine="482" w:firstLineChars="200"/>
        <w:rPr>
          <w:rFonts w:hint="eastAsia" w:ascii="宋体" w:hAnsi="宋体" w:eastAsia="宋体" w:cs="宋体"/>
          <w:sz w:val="24"/>
          <w:szCs w:val="24"/>
        </w:rPr>
      </w:pPr>
      <w:r>
        <w:rPr>
          <w:rFonts w:hint="eastAsia" w:ascii="宋体" w:hAnsi="宋体" w:cs="宋体"/>
          <w:b/>
          <w:bCs/>
          <w:sz w:val="24"/>
          <w:lang w:val="en-US" w:eastAsia="zh-CN" w:bidi="en-US"/>
        </w:rPr>
        <w:t>(评审项15)</w:t>
      </w:r>
      <w:r>
        <w:rPr>
          <w:rFonts w:hint="eastAsia" w:ascii="宋体" w:hAnsi="宋体" w:eastAsia="宋体" w:cs="宋体"/>
          <w:sz w:val="24"/>
          <w:szCs w:val="24"/>
        </w:rPr>
        <w:t>1、成果提交不仅限于试验报告，还包括设备铭牌拍照、过程拍照、试验数据原始记录（现场完成）及试验过程视频等过程资料、试验报告规范完整，试验报告应提供电子版和纸质版。</w:t>
      </w:r>
    </w:p>
    <w:p>
      <w:pPr>
        <w:spacing w:line="360" w:lineRule="auto"/>
        <w:ind w:firstLine="482" w:firstLineChars="200"/>
        <w:rPr>
          <w:rFonts w:hint="eastAsia" w:ascii="宋体" w:hAnsi="宋体" w:eastAsia="宋体" w:cs="宋体"/>
          <w:sz w:val="24"/>
          <w:szCs w:val="24"/>
        </w:rPr>
      </w:pPr>
      <w:r>
        <w:rPr>
          <w:rFonts w:hint="eastAsia" w:ascii="宋体" w:hAnsi="宋体" w:cs="宋体"/>
          <w:b/>
          <w:bCs/>
          <w:sz w:val="24"/>
          <w:lang w:val="en-US" w:eastAsia="zh-CN" w:bidi="en-US"/>
        </w:rPr>
        <w:t>(评审项16)</w:t>
      </w:r>
      <w:r>
        <w:rPr>
          <w:rFonts w:hint="eastAsia" w:ascii="宋体" w:hAnsi="宋体" w:eastAsia="宋体" w:cs="宋体"/>
          <w:sz w:val="24"/>
          <w:szCs w:val="24"/>
        </w:rPr>
        <w:t>2、在高压预防性试验实施期间，肿瘤医院配电房内，安全工具中绝缘靴、绝缘手套有不合格的，由业主购新</w:t>
      </w:r>
      <w:r>
        <w:rPr>
          <w:rFonts w:hint="eastAsia" w:ascii="宋体" w:hAnsi="宋体" w:eastAsia="宋体" w:cs="宋体"/>
          <w:sz w:val="24"/>
          <w:szCs w:val="24"/>
          <w:lang w:eastAsia="zh-CN"/>
        </w:rPr>
        <w:t>中标方</w:t>
      </w:r>
      <w:r>
        <w:rPr>
          <w:rFonts w:hint="eastAsia" w:ascii="宋体" w:hAnsi="宋体" w:eastAsia="宋体" w:cs="宋体"/>
          <w:sz w:val="24"/>
          <w:szCs w:val="24"/>
        </w:rPr>
        <w:t>出具试验报告。</w:t>
      </w:r>
    </w:p>
    <w:p>
      <w:pPr>
        <w:spacing w:line="360" w:lineRule="auto"/>
        <w:ind w:firstLine="482" w:firstLineChars="200"/>
        <w:rPr>
          <w:rFonts w:hint="eastAsia" w:ascii="宋体" w:hAnsi="宋体" w:eastAsia="宋体" w:cs="宋体"/>
          <w:sz w:val="24"/>
          <w:szCs w:val="24"/>
        </w:rPr>
      </w:pPr>
      <w:r>
        <w:rPr>
          <w:rFonts w:hint="eastAsia" w:ascii="宋体" w:hAnsi="宋体" w:cs="宋体"/>
          <w:b/>
          <w:bCs/>
          <w:sz w:val="24"/>
          <w:lang w:val="en-US" w:eastAsia="zh-CN" w:bidi="en-US"/>
        </w:rPr>
        <w:t>(评审项17)</w:t>
      </w:r>
      <w:r>
        <w:rPr>
          <w:rFonts w:hint="eastAsia" w:ascii="宋体" w:hAnsi="宋体" w:eastAsia="宋体" w:cs="宋体"/>
          <w:sz w:val="24"/>
          <w:szCs w:val="24"/>
        </w:rPr>
        <w:t>3、质量要求：符合福建省机电工程技术规范标准和《DL∕T596-2021电力设备预防性试验规程》、《DL∕T 995-2016 继电保护和电网安全自动装置检验规程》、《DL∕T 976-2017 带电作业工具、装置和设备预防性试验规》，试验项目不可漏检、错检，漏检、错检。</w:t>
      </w:r>
    </w:p>
    <w:p>
      <w:pPr>
        <w:spacing w:line="360" w:lineRule="auto"/>
        <w:ind w:firstLine="482" w:firstLineChars="200"/>
        <w:rPr>
          <w:rFonts w:hint="eastAsia" w:ascii="宋体" w:hAnsi="宋体" w:eastAsia="宋体" w:cs="宋体"/>
          <w:sz w:val="24"/>
          <w:szCs w:val="24"/>
        </w:rPr>
      </w:pPr>
      <w:r>
        <w:rPr>
          <w:rFonts w:hint="eastAsia" w:ascii="宋体" w:hAnsi="宋体" w:cs="宋体"/>
          <w:b/>
          <w:bCs/>
          <w:sz w:val="24"/>
          <w:lang w:val="en-US" w:eastAsia="zh-CN" w:bidi="en-US"/>
        </w:rPr>
        <w:t>(评审项18)</w:t>
      </w:r>
      <w:r>
        <w:rPr>
          <w:rFonts w:hint="eastAsia" w:ascii="宋体" w:hAnsi="宋体" w:eastAsia="宋体" w:cs="宋体"/>
          <w:sz w:val="24"/>
          <w:szCs w:val="24"/>
        </w:rPr>
        <w:t>4、作业前停电，须由</w:t>
      </w:r>
      <w:r>
        <w:rPr>
          <w:rFonts w:hint="eastAsia" w:ascii="宋体" w:hAnsi="宋体" w:eastAsia="宋体" w:cs="宋体"/>
          <w:sz w:val="24"/>
          <w:szCs w:val="24"/>
          <w:lang w:eastAsia="zh-CN"/>
        </w:rPr>
        <w:t>中标方</w:t>
      </w:r>
      <w:r>
        <w:rPr>
          <w:rFonts w:hint="eastAsia" w:ascii="宋体" w:hAnsi="宋体" w:eastAsia="宋体" w:cs="宋体"/>
          <w:sz w:val="24"/>
          <w:szCs w:val="24"/>
        </w:rPr>
        <w:t>向肿瘤医院提出申请，申请通过后才能施工。</w:t>
      </w:r>
    </w:p>
    <w:p>
      <w:pPr>
        <w:spacing w:line="360" w:lineRule="auto"/>
        <w:ind w:firstLine="482" w:firstLineChars="200"/>
        <w:rPr>
          <w:rFonts w:hint="eastAsia" w:ascii="宋体" w:hAnsi="宋体" w:eastAsia="宋体" w:cs="宋体"/>
          <w:color w:val="auto"/>
          <w:sz w:val="24"/>
          <w:szCs w:val="24"/>
        </w:rPr>
      </w:pPr>
      <w:r>
        <w:rPr>
          <w:rFonts w:hint="eastAsia" w:ascii="宋体" w:hAnsi="宋体" w:cs="宋体"/>
          <w:b/>
          <w:bCs/>
          <w:color w:val="auto"/>
          <w:sz w:val="24"/>
          <w:lang w:val="en-US" w:eastAsia="zh-CN" w:bidi="en-US"/>
        </w:rPr>
        <w:t>(评审项19)</w:t>
      </w: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中标方</w:t>
      </w:r>
      <w:r>
        <w:rPr>
          <w:rFonts w:hint="eastAsia" w:ascii="宋体" w:hAnsi="宋体" w:eastAsia="宋体" w:cs="宋体"/>
          <w:color w:val="auto"/>
          <w:sz w:val="24"/>
          <w:szCs w:val="24"/>
        </w:rPr>
        <w:t>成交后禁止转包或分包其他队伍实施，若发现</w:t>
      </w:r>
      <w:r>
        <w:rPr>
          <w:rFonts w:hint="eastAsia" w:ascii="宋体" w:hAnsi="宋体" w:eastAsia="宋体" w:cs="宋体"/>
          <w:color w:val="auto"/>
          <w:sz w:val="24"/>
          <w:szCs w:val="24"/>
          <w:lang w:eastAsia="zh-CN"/>
        </w:rPr>
        <w:t>中标方</w:t>
      </w:r>
      <w:r>
        <w:rPr>
          <w:rFonts w:hint="eastAsia" w:ascii="宋体" w:hAnsi="宋体" w:eastAsia="宋体" w:cs="宋体"/>
          <w:color w:val="auto"/>
          <w:sz w:val="24"/>
          <w:szCs w:val="24"/>
        </w:rPr>
        <w:t>转包或分包的，招标人有权解除合同。</w:t>
      </w:r>
    </w:p>
    <w:p>
      <w:pPr>
        <w:spacing w:line="360" w:lineRule="auto"/>
        <w:ind w:firstLine="482" w:firstLineChars="200"/>
        <w:rPr>
          <w:rFonts w:hint="eastAsia" w:ascii="宋体" w:hAnsi="宋体" w:eastAsia="宋体" w:cs="宋体"/>
          <w:sz w:val="24"/>
          <w:szCs w:val="24"/>
        </w:rPr>
      </w:pPr>
      <w:r>
        <w:rPr>
          <w:rFonts w:hint="eastAsia" w:ascii="宋体" w:hAnsi="宋体" w:cs="宋体"/>
          <w:b/>
          <w:bCs/>
          <w:sz w:val="24"/>
          <w:lang w:val="en-US" w:eastAsia="zh-CN" w:bidi="en-US"/>
        </w:rPr>
        <w:t>(评审项20)</w:t>
      </w:r>
      <w:r>
        <w:rPr>
          <w:rFonts w:hint="eastAsia" w:ascii="宋体" w:hAnsi="宋体" w:eastAsia="宋体" w:cs="宋体"/>
          <w:sz w:val="24"/>
          <w:szCs w:val="24"/>
        </w:rPr>
        <w:t>6、</w:t>
      </w:r>
      <w:r>
        <w:rPr>
          <w:rFonts w:hint="eastAsia" w:ascii="宋体" w:hAnsi="宋体" w:eastAsia="宋体" w:cs="宋体"/>
          <w:sz w:val="24"/>
          <w:szCs w:val="24"/>
          <w:lang w:eastAsia="zh-CN"/>
        </w:rPr>
        <w:t>中标方</w:t>
      </w:r>
      <w:r>
        <w:rPr>
          <w:rFonts w:hint="eastAsia" w:ascii="宋体" w:hAnsi="宋体" w:eastAsia="宋体" w:cs="宋体"/>
          <w:sz w:val="24"/>
          <w:szCs w:val="24"/>
        </w:rPr>
        <w:t>提供的服务质量均必须符合国家、相关行业标准及询价文件技术指标要求，不符合相关标准及要求的，招标人有权要求</w:t>
      </w:r>
      <w:r>
        <w:rPr>
          <w:rFonts w:hint="eastAsia" w:ascii="宋体" w:hAnsi="宋体" w:eastAsia="宋体" w:cs="宋体"/>
          <w:sz w:val="24"/>
          <w:szCs w:val="24"/>
          <w:lang w:eastAsia="zh-CN"/>
        </w:rPr>
        <w:t>重新检测。</w:t>
      </w:r>
    </w:p>
    <w:p>
      <w:pPr>
        <w:spacing w:line="360" w:lineRule="auto"/>
        <w:ind w:firstLine="482" w:firstLineChars="200"/>
        <w:rPr>
          <w:rFonts w:hint="eastAsia" w:ascii="宋体" w:hAnsi="宋体" w:eastAsia="宋体" w:cs="宋体"/>
          <w:sz w:val="24"/>
          <w:szCs w:val="24"/>
        </w:rPr>
      </w:pPr>
      <w:r>
        <w:rPr>
          <w:rFonts w:hint="eastAsia" w:ascii="宋体" w:hAnsi="宋体" w:cs="宋体"/>
          <w:b/>
          <w:bCs/>
          <w:sz w:val="24"/>
          <w:lang w:val="en-US" w:eastAsia="zh-CN" w:bidi="en-US"/>
        </w:rPr>
        <w:t>(评审项21)</w:t>
      </w:r>
      <w:r>
        <w:rPr>
          <w:rFonts w:hint="eastAsia" w:ascii="宋体" w:hAnsi="宋体" w:eastAsia="宋体" w:cs="宋体"/>
          <w:sz w:val="24"/>
          <w:szCs w:val="24"/>
        </w:rPr>
        <w:t>7、</w:t>
      </w:r>
      <w:r>
        <w:rPr>
          <w:rFonts w:hint="eastAsia" w:ascii="宋体" w:hAnsi="宋体" w:eastAsia="宋体" w:cs="宋体"/>
          <w:sz w:val="24"/>
          <w:szCs w:val="24"/>
          <w:lang w:eastAsia="zh-CN"/>
        </w:rPr>
        <w:t>中标方</w:t>
      </w:r>
      <w:r>
        <w:rPr>
          <w:rFonts w:hint="eastAsia" w:ascii="宋体" w:hAnsi="宋体" w:eastAsia="宋体" w:cs="宋体"/>
          <w:sz w:val="24"/>
          <w:szCs w:val="24"/>
        </w:rPr>
        <w:t>在服务期内负责配电房内安全工器具的试验，试验次数根据电力规范要求执行，所产生的费用在投标报价中综合考虑不在单列。</w:t>
      </w:r>
    </w:p>
    <w:p>
      <w:pPr>
        <w:spacing w:line="360" w:lineRule="auto"/>
        <w:ind w:firstLine="482" w:firstLineChars="200"/>
        <w:rPr>
          <w:rFonts w:hint="eastAsia" w:ascii="宋体" w:hAnsi="宋体" w:eastAsia="宋体" w:cs="宋体"/>
          <w:sz w:val="24"/>
          <w:szCs w:val="24"/>
        </w:rPr>
      </w:pPr>
      <w:r>
        <w:rPr>
          <w:rFonts w:hint="eastAsia" w:ascii="宋体" w:hAnsi="宋体" w:cs="宋体"/>
          <w:b/>
          <w:bCs/>
          <w:sz w:val="24"/>
          <w:lang w:val="en-US" w:eastAsia="zh-CN" w:bidi="en-US"/>
        </w:rPr>
        <w:t>(评审项22)</w:t>
      </w:r>
      <w:r>
        <w:rPr>
          <w:rFonts w:hint="eastAsia" w:ascii="宋体" w:hAnsi="宋体" w:eastAsia="宋体" w:cs="宋体"/>
          <w:sz w:val="24"/>
          <w:szCs w:val="24"/>
        </w:rPr>
        <w:t>8、技术培训</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8.1</w:t>
      </w:r>
      <w:r>
        <w:rPr>
          <w:rFonts w:hint="eastAsia" w:ascii="宋体" w:hAnsi="宋体" w:eastAsia="宋体" w:cs="宋体"/>
          <w:sz w:val="24"/>
          <w:szCs w:val="24"/>
        </w:rPr>
        <w:t>项目实施前，</w:t>
      </w:r>
      <w:r>
        <w:rPr>
          <w:rFonts w:hint="eastAsia" w:ascii="宋体" w:hAnsi="宋体" w:eastAsia="宋体" w:cs="宋体"/>
          <w:sz w:val="24"/>
          <w:szCs w:val="24"/>
          <w:lang w:eastAsia="zh-CN"/>
        </w:rPr>
        <w:t>中标方</w:t>
      </w:r>
      <w:r>
        <w:rPr>
          <w:rFonts w:hint="eastAsia" w:ascii="宋体" w:hAnsi="宋体" w:eastAsia="宋体" w:cs="宋体"/>
          <w:sz w:val="24"/>
          <w:szCs w:val="24"/>
        </w:rPr>
        <w:t>对现场人员进行安全教育、安全交底和技术培训</w:t>
      </w:r>
      <w:r>
        <w:rPr>
          <w:rFonts w:hint="eastAsia" w:ascii="宋体" w:hAnsi="宋体" w:eastAsia="宋体" w:cs="宋体"/>
          <w:sz w:val="24"/>
          <w:szCs w:val="24"/>
          <w:lang w:eastAsia="zh-CN"/>
        </w:rPr>
        <w:t>。</w:t>
      </w:r>
    </w:p>
    <w:p>
      <w:pPr>
        <w:spacing w:line="360" w:lineRule="auto"/>
        <w:ind w:firstLine="480" w:firstLineChars="200"/>
        <w:rPr>
          <w:rFonts w:hint="eastAsia"/>
        </w:rPr>
      </w:pPr>
      <w:r>
        <w:rPr>
          <w:rFonts w:hint="eastAsia" w:ascii="宋体" w:hAnsi="宋体" w:eastAsia="宋体" w:cs="宋体"/>
          <w:sz w:val="24"/>
          <w:szCs w:val="24"/>
          <w:lang w:val="en-US" w:eastAsia="zh-CN"/>
        </w:rPr>
        <w:t>8.</w:t>
      </w:r>
      <w:r>
        <w:rPr>
          <w:rFonts w:hint="eastAsia" w:ascii="宋体" w:hAnsi="宋体" w:eastAsia="宋体" w:cs="宋体"/>
          <w:sz w:val="24"/>
          <w:szCs w:val="24"/>
        </w:rPr>
        <w:t>2</w:t>
      </w:r>
      <w:r>
        <w:rPr>
          <w:rFonts w:hint="eastAsia" w:ascii="宋体" w:hAnsi="宋体" w:eastAsia="宋体" w:cs="宋体"/>
          <w:sz w:val="24"/>
          <w:szCs w:val="24"/>
          <w:lang w:eastAsia="zh-CN"/>
        </w:rPr>
        <w:t>中标方</w:t>
      </w:r>
      <w:r>
        <w:rPr>
          <w:rFonts w:hint="eastAsia" w:ascii="宋体" w:hAnsi="宋体" w:eastAsia="宋体" w:cs="宋体"/>
          <w:sz w:val="24"/>
          <w:szCs w:val="24"/>
        </w:rPr>
        <w:t>负责对招标人</w:t>
      </w:r>
      <w:r>
        <w:rPr>
          <w:rFonts w:hint="eastAsia" w:ascii="宋体" w:hAnsi="宋体" w:eastAsia="宋体" w:cs="宋体"/>
          <w:sz w:val="24"/>
          <w:szCs w:val="24"/>
          <w:lang w:eastAsia="zh-CN"/>
        </w:rPr>
        <w:t>的</w:t>
      </w:r>
      <w:r>
        <w:rPr>
          <w:rFonts w:hint="eastAsia" w:ascii="宋体" w:hAnsi="宋体" w:eastAsia="宋体" w:cs="宋体"/>
          <w:sz w:val="24"/>
          <w:szCs w:val="24"/>
        </w:rPr>
        <w:t>技术人员、操作人员进行免费技术培训</w:t>
      </w:r>
      <w:r>
        <w:rPr>
          <w:rFonts w:hint="eastAsia" w:ascii="宋体" w:hAnsi="宋体" w:eastAsia="宋体" w:cs="宋体"/>
          <w:sz w:val="24"/>
          <w:szCs w:val="24"/>
          <w:lang w:eastAsia="zh-CN"/>
        </w:rPr>
        <w:t>，每年至少一次</w:t>
      </w:r>
      <w:r>
        <w:rPr>
          <w:rFonts w:hint="eastAsia" w:ascii="宋体" w:hAnsi="宋体" w:eastAsia="宋体" w:cs="宋体"/>
          <w:sz w:val="24"/>
          <w:szCs w:val="24"/>
        </w:rPr>
        <w:t>。培训内容包括设备操作及设备维修等，直至技术人员、操作人员能够熟练掌握为止。</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（三）其他要求</w:t>
      </w:r>
    </w:p>
    <w:p>
      <w:pPr>
        <w:spacing w:line="360" w:lineRule="auto"/>
        <w:ind w:firstLine="482" w:firstLineChars="200"/>
        <w:rPr>
          <w:rFonts w:hint="eastAsia" w:ascii="宋体" w:hAnsi="宋体" w:eastAsia="宋体" w:cs="宋体"/>
          <w:sz w:val="24"/>
          <w:szCs w:val="24"/>
        </w:rPr>
      </w:pPr>
      <w:r>
        <w:rPr>
          <w:rFonts w:hint="eastAsia" w:ascii="宋体" w:hAnsi="宋体" w:cs="宋体"/>
          <w:b/>
          <w:bCs/>
          <w:sz w:val="24"/>
          <w:lang w:val="en-US" w:eastAsia="zh-CN" w:bidi="en-US"/>
        </w:rPr>
        <w:t>(评审项23)</w:t>
      </w:r>
      <w:r>
        <w:rPr>
          <w:rFonts w:hint="eastAsia" w:ascii="宋体" w:hAnsi="宋体" w:eastAsia="宋体" w:cs="宋体"/>
          <w:sz w:val="24"/>
          <w:szCs w:val="24"/>
        </w:rPr>
        <w:t>1、</w:t>
      </w:r>
      <w:r>
        <w:rPr>
          <w:rFonts w:hint="eastAsia" w:ascii="宋体" w:hAnsi="宋体" w:eastAsia="宋体" w:cs="宋体"/>
          <w:sz w:val="24"/>
          <w:szCs w:val="24"/>
          <w:lang w:eastAsia="zh-CN"/>
        </w:rPr>
        <w:t>中标方</w:t>
      </w:r>
      <w:r>
        <w:rPr>
          <w:rFonts w:hint="eastAsia" w:ascii="宋体" w:hAnsi="宋体" w:eastAsia="宋体" w:cs="宋体"/>
          <w:sz w:val="24"/>
          <w:szCs w:val="24"/>
        </w:rPr>
        <w:t>为进场施工人员购买意外险（或其他相关保险）保单，保单金额100万元及以上，需提供专项承诺书。</w:t>
      </w:r>
    </w:p>
    <w:p>
      <w:pPr>
        <w:spacing w:line="360" w:lineRule="auto"/>
        <w:ind w:firstLine="482" w:firstLineChars="200"/>
        <w:rPr>
          <w:rFonts w:hint="eastAsia" w:ascii="宋体" w:hAnsi="宋体" w:eastAsia="宋体" w:cs="宋体"/>
          <w:color w:val="auto"/>
          <w:sz w:val="24"/>
          <w:szCs w:val="24"/>
        </w:rPr>
      </w:pPr>
      <w:r>
        <w:rPr>
          <w:rFonts w:hint="eastAsia" w:ascii="宋体" w:hAnsi="宋体" w:cs="宋体"/>
          <w:b/>
          <w:bCs/>
          <w:color w:val="auto"/>
          <w:sz w:val="24"/>
          <w:lang w:val="en-US" w:eastAsia="zh-CN" w:bidi="en-US"/>
        </w:rPr>
        <w:t>(评审项24)</w:t>
      </w: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试验过程中</w:t>
      </w:r>
      <w:r>
        <w:rPr>
          <w:rFonts w:hint="eastAsia" w:ascii="宋体" w:hAnsi="宋体" w:eastAsia="宋体" w:cs="宋体"/>
          <w:color w:val="auto"/>
          <w:sz w:val="24"/>
          <w:szCs w:val="24"/>
        </w:rPr>
        <w:t>现场</w:t>
      </w:r>
      <w:r>
        <w:rPr>
          <w:rFonts w:hint="eastAsia" w:ascii="宋体" w:hAnsi="宋体" w:eastAsia="宋体" w:cs="宋体"/>
          <w:color w:val="auto"/>
          <w:sz w:val="24"/>
          <w:szCs w:val="24"/>
          <w:lang w:eastAsia="zh-CN"/>
        </w:rPr>
        <w:t>操作人员</w:t>
      </w:r>
      <w:r>
        <w:rPr>
          <w:rFonts w:hint="eastAsia" w:ascii="宋体" w:hAnsi="宋体" w:eastAsia="宋体" w:cs="宋体"/>
          <w:color w:val="auto"/>
          <w:sz w:val="24"/>
          <w:szCs w:val="24"/>
        </w:rPr>
        <w:t>必须</w:t>
      </w:r>
      <w:r>
        <w:rPr>
          <w:rFonts w:hint="eastAsia" w:ascii="宋体" w:hAnsi="宋体" w:eastAsia="宋体" w:cs="宋体"/>
          <w:color w:val="auto"/>
          <w:sz w:val="24"/>
          <w:szCs w:val="24"/>
          <w:lang w:eastAsia="zh-CN"/>
        </w:rPr>
        <w:t>持证上岗，</w:t>
      </w:r>
      <w:r>
        <w:rPr>
          <w:rFonts w:hint="eastAsia" w:ascii="宋体" w:hAnsi="宋体" w:eastAsia="宋体" w:cs="宋体"/>
          <w:color w:val="auto"/>
          <w:sz w:val="24"/>
          <w:szCs w:val="24"/>
        </w:rPr>
        <w:t>统一戴安全帽穿安全服，不得穿拖鞋，光脚、光膀子</w:t>
      </w:r>
      <w:r>
        <w:rPr>
          <w:rFonts w:hint="eastAsia" w:ascii="宋体" w:hAnsi="宋体" w:eastAsia="宋体" w:cs="宋体"/>
          <w:color w:val="auto"/>
          <w:sz w:val="24"/>
          <w:szCs w:val="24"/>
          <w:lang w:eastAsia="zh-CN"/>
        </w:rPr>
        <w:t>试验</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服务期间</w:t>
      </w:r>
      <w:r>
        <w:rPr>
          <w:rFonts w:hint="eastAsia" w:ascii="宋体" w:hAnsi="宋体" w:eastAsia="宋体" w:cs="宋体"/>
          <w:color w:val="auto"/>
          <w:sz w:val="24"/>
          <w:szCs w:val="24"/>
        </w:rPr>
        <w:t>管理人员必须统一着装、佩戴工作牌、戴好安全帽。</w:t>
      </w:r>
    </w:p>
    <w:p>
      <w:pPr>
        <w:spacing w:line="360" w:lineRule="auto"/>
        <w:ind w:firstLine="482" w:firstLineChars="200"/>
        <w:rPr>
          <w:rFonts w:hint="eastAsia" w:ascii="宋体" w:hAnsi="宋体" w:eastAsia="宋体" w:cs="宋体"/>
          <w:sz w:val="24"/>
          <w:szCs w:val="24"/>
        </w:rPr>
      </w:pPr>
      <w:r>
        <w:rPr>
          <w:rFonts w:hint="eastAsia" w:ascii="宋体" w:hAnsi="宋体" w:cs="宋体"/>
          <w:b/>
          <w:bCs/>
          <w:sz w:val="24"/>
          <w:lang w:val="en-US" w:eastAsia="zh-CN" w:bidi="en-US"/>
        </w:rPr>
        <w:t>(评审项25)</w:t>
      </w:r>
      <w:r>
        <w:rPr>
          <w:rFonts w:hint="eastAsia" w:ascii="宋体" w:hAnsi="宋体" w:eastAsia="宋体" w:cs="宋体"/>
          <w:sz w:val="24"/>
          <w:szCs w:val="24"/>
        </w:rPr>
        <w:t>3、需提供工程施工安全承诺书，格式详见</w:t>
      </w:r>
      <w:r>
        <w:rPr>
          <w:rFonts w:hint="eastAsia" w:ascii="宋体" w:hAnsi="宋体" w:eastAsia="宋体" w:cs="宋体"/>
          <w:b/>
          <w:bCs/>
          <w:sz w:val="24"/>
          <w:szCs w:val="24"/>
        </w:rPr>
        <w:t>附件</w:t>
      </w:r>
      <w:r>
        <w:rPr>
          <w:rFonts w:hint="eastAsia" w:ascii="宋体" w:hAnsi="宋体" w:eastAsia="宋体" w:cs="宋体"/>
          <w:b/>
          <w:bCs/>
          <w:sz w:val="24"/>
          <w:szCs w:val="24"/>
          <w:lang w:eastAsia="zh-CN"/>
        </w:rPr>
        <w:t>三</w:t>
      </w:r>
      <w:r>
        <w:rPr>
          <w:rFonts w:hint="eastAsia" w:ascii="宋体" w:hAnsi="宋体" w:eastAsia="宋体" w:cs="宋体"/>
          <w:sz w:val="24"/>
          <w:szCs w:val="24"/>
        </w:rPr>
        <w:t>。</w:t>
      </w:r>
    </w:p>
    <w:p>
      <w:pPr>
        <w:spacing w:line="360" w:lineRule="auto"/>
        <w:ind w:firstLine="482" w:firstLineChars="200"/>
        <w:rPr>
          <w:rFonts w:hint="eastAsia" w:ascii="宋体" w:hAnsi="宋体" w:eastAsia="宋体" w:cs="宋体"/>
          <w:sz w:val="24"/>
          <w:szCs w:val="24"/>
        </w:rPr>
      </w:pPr>
      <w:r>
        <w:rPr>
          <w:rFonts w:hint="eastAsia" w:ascii="宋体" w:hAnsi="宋体" w:cs="宋体"/>
          <w:b/>
          <w:bCs/>
          <w:sz w:val="24"/>
          <w:lang w:val="en-US" w:eastAsia="zh-CN" w:bidi="en-US"/>
        </w:rPr>
        <w:t>(评审项26)</w:t>
      </w:r>
      <w:r>
        <w:rPr>
          <w:rFonts w:hint="eastAsia" w:ascii="宋体" w:hAnsi="宋体" w:eastAsia="宋体" w:cs="宋体"/>
          <w:sz w:val="24"/>
          <w:szCs w:val="24"/>
        </w:rPr>
        <w:t>4、因</w:t>
      </w:r>
      <w:bookmarkStart w:id="0" w:name="_Toc312678013"/>
      <w:bookmarkStart w:id="1" w:name="_Toc318581170"/>
      <w:bookmarkStart w:id="2" w:name="_Toc312677487"/>
      <w:r>
        <w:rPr>
          <w:rFonts w:hint="eastAsia" w:ascii="宋体" w:hAnsi="宋体" w:eastAsia="宋体" w:cs="宋体"/>
          <w:sz w:val="24"/>
          <w:szCs w:val="24"/>
          <w:lang w:eastAsia="zh-CN"/>
        </w:rPr>
        <w:t>中标方</w:t>
      </w:r>
      <w:r>
        <w:rPr>
          <w:rFonts w:hint="eastAsia" w:ascii="宋体" w:hAnsi="宋体" w:eastAsia="宋体" w:cs="宋体"/>
          <w:sz w:val="24"/>
          <w:szCs w:val="24"/>
        </w:rPr>
        <w:t>原因造成工期延误，逾期竣工违约金的计算方法为：每逾期一天竣工验收，</w:t>
      </w:r>
      <w:r>
        <w:rPr>
          <w:rFonts w:hint="eastAsia" w:ascii="宋体" w:hAnsi="宋体" w:eastAsia="宋体" w:cs="宋体"/>
          <w:sz w:val="24"/>
          <w:szCs w:val="24"/>
          <w:lang w:eastAsia="zh-CN"/>
        </w:rPr>
        <w:t>中标方向招标人交</w:t>
      </w:r>
      <w:r>
        <w:rPr>
          <w:rFonts w:hint="eastAsia" w:ascii="宋体" w:hAnsi="宋体" w:eastAsia="宋体" w:cs="宋体"/>
          <w:sz w:val="24"/>
          <w:szCs w:val="24"/>
          <w:lang w:val="en-US" w:eastAsia="zh-CN"/>
        </w:rPr>
        <w:t>1000元</w:t>
      </w:r>
      <w:r>
        <w:rPr>
          <w:rFonts w:hint="eastAsia" w:ascii="宋体" w:hAnsi="宋体" w:eastAsia="宋体" w:cs="宋体"/>
          <w:sz w:val="24"/>
          <w:szCs w:val="24"/>
        </w:rPr>
        <w:t>违约金；</w:t>
      </w:r>
      <w:bookmarkEnd w:id="0"/>
      <w:bookmarkEnd w:id="1"/>
      <w:bookmarkEnd w:id="2"/>
      <w:r>
        <w:rPr>
          <w:rFonts w:hint="eastAsia" w:ascii="宋体" w:hAnsi="宋体" w:eastAsia="宋体" w:cs="宋体"/>
          <w:sz w:val="24"/>
          <w:szCs w:val="24"/>
        </w:rPr>
        <w:t>因</w:t>
      </w:r>
      <w:r>
        <w:rPr>
          <w:rFonts w:hint="eastAsia" w:ascii="宋体" w:hAnsi="宋体" w:eastAsia="宋体" w:cs="宋体"/>
          <w:sz w:val="24"/>
          <w:szCs w:val="24"/>
          <w:lang w:eastAsia="zh-CN"/>
        </w:rPr>
        <w:t>中标方</w:t>
      </w:r>
      <w:r>
        <w:rPr>
          <w:rFonts w:hint="eastAsia" w:ascii="宋体" w:hAnsi="宋体" w:eastAsia="宋体" w:cs="宋体"/>
          <w:sz w:val="24"/>
          <w:szCs w:val="24"/>
        </w:rPr>
        <w:t>原因造成工期延误，逾</w:t>
      </w:r>
      <w:bookmarkStart w:id="3" w:name="_Toc318581171"/>
      <w:bookmarkStart w:id="4" w:name="_Toc312678014"/>
      <w:r>
        <w:rPr>
          <w:rFonts w:hint="eastAsia" w:ascii="宋体" w:hAnsi="宋体" w:eastAsia="宋体" w:cs="宋体"/>
          <w:sz w:val="24"/>
          <w:szCs w:val="24"/>
        </w:rPr>
        <w:t>期竣工违约金的上限</w:t>
      </w:r>
      <w:r>
        <w:rPr>
          <w:rFonts w:hint="eastAsia" w:ascii="宋体" w:hAnsi="宋体" w:eastAsia="宋体" w:cs="宋体"/>
          <w:sz w:val="24"/>
          <w:szCs w:val="24"/>
          <w:lang w:eastAsia="zh-CN"/>
        </w:rPr>
        <w:t>为</w:t>
      </w:r>
      <w:r>
        <w:rPr>
          <w:rFonts w:hint="eastAsia" w:ascii="宋体" w:hAnsi="宋体" w:eastAsia="宋体" w:cs="宋体"/>
          <w:sz w:val="24"/>
          <w:szCs w:val="24"/>
        </w:rPr>
        <w:t>合同价的5%。</w:t>
      </w:r>
      <w:bookmarkEnd w:id="3"/>
      <w:bookmarkEnd w:id="4"/>
    </w:p>
    <w:p>
      <w:pPr>
        <w:adjustRightInd/>
        <w:snapToGrid/>
        <w:spacing w:before="150" w:after="0" w:line="480" w:lineRule="atLeast"/>
        <w:ind w:firstLine="480"/>
        <w:jc w:val="both"/>
        <w:rPr>
          <w:rFonts w:hint="eastAsia" w:ascii="宋体" w:hAnsi="宋体" w:eastAsia="宋体" w:cs="宋体"/>
          <w:sz w:val="24"/>
          <w:szCs w:val="24"/>
          <w:lang w:eastAsia="zh-CN"/>
        </w:rPr>
      </w:pPr>
      <w:r>
        <w:rPr>
          <w:rFonts w:hint="eastAsia" w:ascii="宋体" w:hAnsi="宋体" w:cs="宋体"/>
          <w:b/>
          <w:bCs/>
          <w:sz w:val="24"/>
          <w:lang w:val="en-US" w:eastAsia="zh-CN" w:bidi="en-US"/>
        </w:rPr>
        <w:t>(评审项27)</w:t>
      </w:r>
      <w:r>
        <w:rPr>
          <w:rFonts w:hint="eastAsia" w:ascii="宋体" w:hAnsi="宋体" w:eastAsia="宋体" w:cs="宋体"/>
          <w:sz w:val="24"/>
          <w:szCs w:val="24"/>
        </w:rPr>
        <w:t>5、</w:t>
      </w:r>
      <w:r>
        <w:rPr>
          <w:rFonts w:hint="eastAsia" w:ascii="宋体" w:hAnsi="宋体" w:eastAsia="宋体" w:cs="宋体"/>
          <w:sz w:val="24"/>
          <w:szCs w:val="24"/>
          <w:lang w:eastAsia="zh-CN"/>
        </w:rPr>
        <w:t>本项目招标人不组织现场踏勘，投标人自行联系项目联系人踏勘现场，踏勘期间产生的费用，由投标人自行负责。由于未踏勘现场造成的报价不当，施工难度的估计不足等，其造成的一切后果由投标人承当。</w:t>
      </w:r>
    </w:p>
    <w:p>
      <w:pPr>
        <w:adjustRightInd/>
        <w:snapToGrid/>
        <w:spacing w:before="150" w:after="0" w:line="480" w:lineRule="atLeast"/>
        <w:ind w:firstLine="480"/>
        <w:jc w:val="both"/>
        <w:rPr>
          <w:rFonts w:hint="eastAsia" w:ascii="宋体" w:hAnsi="宋体" w:eastAsia="宋体" w:cs="宋体"/>
          <w:color w:val="404040"/>
          <w:sz w:val="26"/>
          <w:szCs w:val="26"/>
          <w:lang w:eastAsia="zh-CN"/>
        </w:rPr>
      </w:pPr>
      <w:r>
        <w:rPr>
          <w:rFonts w:hint="eastAsia" w:ascii="宋体" w:hAnsi="宋体" w:cs="宋体"/>
          <w:b/>
          <w:bCs/>
          <w:sz w:val="24"/>
          <w:lang w:val="en-US" w:eastAsia="zh-CN" w:bidi="en-US"/>
        </w:rPr>
        <w:t>(评审项28)6</w:t>
      </w:r>
      <w:r>
        <w:rPr>
          <w:rFonts w:hint="eastAsia" w:ascii="宋体" w:hAnsi="宋体" w:eastAsia="宋体" w:cs="宋体"/>
          <w:sz w:val="24"/>
          <w:szCs w:val="24"/>
        </w:rPr>
        <w:t>、</w:t>
      </w:r>
      <w:r>
        <w:rPr>
          <w:rFonts w:hint="eastAsia" w:ascii="宋体" w:hAnsi="宋体" w:eastAsia="宋体" w:cs="宋体"/>
          <w:sz w:val="24"/>
          <w:szCs w:val="24"/>
          <w:lang w:eastAsia="zh-CN"/>
        </w:rPr>
        <w:t>服务要求：由于医疗工作的特殊性,要求投标人承诺每次的年检需在</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小时内完成，并提供实施方案</w:t>
      </w:r>
      <w:r>
        <w:rPr>
          <w:rFonts w:hint="eastAsia" w:ascii="宋体" w:hAnsi="宋体" w:eastAsia="宋体" w:cs="宋体"/>
          <w:sz w:val="24"/>
          <w:szCs w:val="24"/>
          <w:lang w:val="en-US" w:eastAsia="zh-CN"/>
        </w:rPr>
        <w:t>,每年度年检的</w:t>
      </w:r>
      <w:r>
        <w:rPr>
          <w:rFonts w:hint="eastAsia" w:ascii="宋体" w:hAnsi="宋体" w:eastAsia="宋体" w:cs="宋体"/>
          <w:sz w:val="24"/>
          <w:szCs w:val="24"/>
          <w:lang w:eastAsia="zh-CN"/>
        </w:rPr>
        <w:t>具体启动时间由甲方通知后执行。需提供承诺函。</w:t>
      </w:r>
    </w:p>
    <w:p>
      <w:pPr>
        <w:spacing w:line="360" w:lineRule="auto"/>
        <w:ind w:left="240" w:leftChars="109" w:firstLine="240" w:firstLineChars="100"/>
        <w:jc w:val="both"/>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pStyle w:val="15"/>
        <w:rPr>
          <w:rFonts w:hint="eastAsia"/>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rPr>
          <w:rFonts w:hint="eastAsia" w:ascii="宋体" w:hAnsi="宋体" w:eastAsia="宋体" w:cs="宋体"/>
          <w:sz w:val="24"/>
          <w:szCs w:val="24"/>
        </w:rPr>
      </w:pPr>
    </w:p>
    <w:p>
      <w:pPr>
        <w:rPr>
          <w:rFonts w:hint="eastAsia" w:ascii="宋体" w:hAnsi="宋体" w:eastAsia="宋体" w:cs="宋体"/>
          <w:b/>
          <w:sz w:val="28"/>
          <w:szCs w:val="28"/>
        </w:rPr>
      </w:pPr>
      <w:r>
        <w:rPr>
          <w:rFonts w:hint="eastAsia" w:ascii="宋体" w:hAnsi="宋体" w:eastAsia="宋体" w:cs="宋体"/>
          <w:b/>
          <w:sz w:val="28"/>
          <w:szCs w:val="28"/>
        </w:rPr>
        <w:br w:type="page"/>
      </w:r>
    </w:p>
    <w:p>
      <w:pPr>
        <w:pStyle w:val="29"/>
        <w:ind w:left="0" w:leftChars="0" w:firstLine="0" w:firstLineChars="0"/>
        <w:rPr>
          <w:rFonts w:hint="eastAsia" w:eastAsia="宋体"/>
          <w:lang w:eastAsia="zh-CN"/>
        </w:rPr>
      </w:pPr>
      <w:r>
        <w:rPr>
          <w:rFonts w:hint="eastAsia" w:ascii="宋体" w:hAnsi="宋体" w:eastAsia="宋体" w:cs="宋体"/>
          <w:b/>
          <w:sz w:val="28"/>
          <w:szCs w:val="28"/>
        </w:rPr>
        <w:t>附件</w:t>
      </w:r>
      <w:r>
        <w:rPr>
          <w:rFonts w:hint="eastAsia" w:ascii="宋体" w:hAnsi="宋体" w:eastAsia="宋体" w:cs="宋体"/>
          <w:b/>
          <w:sz w:val="28"/>
          <w:szCs w:val="28"/>
          <w:lang w:eastAsia="zh-CN"/>
        </w:rPr>
        <w:t>一：福建省肿瘤医院配电房年检服务项目表</w:t>
      </w:r>
    </w:p>
    <w:p>
      <w:pPr>
        <w:pStyle w:val="29"/>
      </w:pPr>
    </w:p>
    <w:tbl>
      <w:tblPr>
        <w:tblW w:w="9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6"/>
        <w:gridCol w:w="1219"/>
        <w:gridCol w:w="3940"/>
        <w:gridCol w:w="635"/>
        <w:gridCol w:w="921"/>
        <w:gridCol w:w="1025"/>
        <w:gridCol w:w="939"/>
      </w:tblGrid>
      <w:tr>
        <w:trPr>
          <w:trHeight w:val="329" w:hRule="atLeast"/>
        </w:trPr>
        <w:tc>
          <w:tcPr>
            <w:tcW w:w="9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序号</w:t>
            </w:r>
          </w:p>
        </w:tc>
        <w:tc>
          <w:tcPr>
            <w:tcW w:w="121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项目编码</w:t>
            </w:r>
          </w:p>
        </w:tc>
        <w:tc>
          <w:tcPr>
            <w:tcW w:w="39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项目名称</w:t>
            </w:r>
          </w:p>
        </w:tc>
        <w:tc>
          <w:tcPr>
            <w:tcW w:w="6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计量</w:t>
            </w:r>
            <w:r>
              <w:rPr>
                <w:rFonts w:hint="eastAsia" w:ascii="宋体" w:hAnsi="宋体" w:eastAsia="宋体" w:cs="宋体"/>
                <w:b/>
                <w:bCs/>
                <w:i w:val="0"/>
                <w:iCs w:val="0"/>
                <w:color w:val="000000"/>
                <w:kern w:val="0"/>
                <w:sz w:val="22"/>
                <w:szCs w:val="22"/>
                <w:u w:val="none"/>
                <w:lang w:val="en-US" w:eastAsia="zh-CN"/>
              </w:rPr>
              <w:br/>
            </w:r>
            <w:r>
              <w:rPr>
                <w:rFonts w:hint="eastAsia" w:ascii="宋体" w:hAnsi="宋体" w:eastAsia="宋体" w:cs="宋体"/>
                <w:b/>
                <w:bCs/>
                <w:i w:val="0"/>
                <w:iCs w:val="0"/>
                <w:color w:val="000000"/>
                <w:kern w:val="0"/>
                <w:sz w:val="22"/>
                <w:szCs w:val="22"/>
                <w:u w:val="none"/>
                <w:lang w:val="en-US" w:eastAsia="zh-CN"/>
              </w:rPr>
              <w:t>单位</w:t>
            </w:r>
          </w:p>
        </w:tc>
        <w:tc>
          <w:tcPr>
            <w:tcW w:w="9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工程量</w:t>
            </w:r>
          </w:p>
        </w:tc>
        <w:tc>
          <w:tcPr>
            <w:tcW w:w="19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金    额(元)</w:t>
            </w:r>
          </w:p>
        </w:tc>
      </w:tr>
      <w:tr>
        <w:trPr>
          <w:trHeight w:val="329" w:hRule="atLeast"/>
        </w:trPr>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12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39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921" w:type="dxa"/>
            <w:vMerge w:val="continue"/>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2"/>
                <w:szCs w:val="22"/>
                <w:u w:val="none"/>
              </w:rPr>
            </w:pP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综合单价</w:t>
            </w:r>
          </w:p>
        </w:tc>
        <w:tc>
          <w:tcPr>
            <w:tcW w:w="939" w:type="dxa"/>
            <w:tcBorders>
              <w:top w:val="single" w:color="000000" w:sz="4" w:space="0"/>
              <w:left w:val="single" w:color="000000" w:sz="4" w:space="0"/>
              <w:bottom w:val="single" w:color="000000" w:sz="4" w:space="0"/>
              <w:right w:val="single" w:color="000000" w:sz="4" w:space="0"/>
            </w:tcBorders>
            <w:vAlign w:val="center"/>
          </w:tcPr>
          <w:p>
            <w:pPr>
              <w:widowControl/>
              <w:ind w:firstLineChars="10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合价</w:t>
            </w:r>
          </w:p>
        </w:tc>
      </w:tr>
      <w:tr>
        <w:trPr>
          <w:trHeight w:val="314"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rPr>
              <w:t xml:space="preserve">1 </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1001</w:t>
            </w:r>
          </w:p>
        </w:tc>
        <w:tc>
          <w:tcPr>
            <w:tcW w:w="39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原有配电房预防性试验</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项</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1 </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rPr>
          <w:trHeight w:val="314"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 xml:space="preserve">1.1 </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30417022T</w:t>
            </w:r>
          </w:p>
        </w:tc>
        <w:tc>
          <w:tcPr>
            <w:tcW w:w="39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变压器耐压试验(容量630kV·A)</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台</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2 </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rPr>
          <w:trHeight w:val="314"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 xml:space="preserve">1.2 </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30417022T</w:t>
            </w:r>
          </w:p>
        </w:tc>
        <w:tc>
          <w:tcPr>
            <w:tcW w:w="39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变压器绝缘试验(容量630kV·A)</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台</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2 </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rPr>
          <w:trHeight w:val="314"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 xml:space="preserve">1.3 </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30417022T</w:t>
            </w:r>
          </w:p>
        </w:tc>
        <w:tc>
          <w:tcPr>
            <w:tcW w:w="39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变压器直流电阻试验(容量630kV·A)</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台</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2 </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rPr>
          <w:trHeight w:val="314"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 xml:space="preserve">1.4 </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30417022T</w:t>
            </w:r>
          </w:p>
        </w:tc>
        <w:tc>
          <w:tcPr>
            <w:tcW w:w="39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变压器耐压试验(容量800kV·A)</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台</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2 </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rPr>
          <w:trHeight w:val="314"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 xml:space="preserve">1.5 </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30417022T</w:t>
            </w:r>
          </w:p>
        </w:tc>
        <w:tc>
          <w:tcPr>
            <w:tcW w:w="39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变压器绝缘试验(容量800kV·A)</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台</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2 </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rPr>
          <w:trHeight w:val="314"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 xml:space="preserve">1.6 </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30417022T</w:t>
            </w:r>
          </w:p>
        </w:tc>
        <w:tc>
          <w:tcPr>
            <w:tcW w:w="39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变压器直流电阻试验(容量800kV·A)</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台</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2 </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rPr>
          <w:trHeight w:val="314"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 xml:space="preserve">1.7 </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30417023T</w:t>
            </w:r>
          </w:p>
        </w:tc>
        <w:tc>
          <w:tcPr>
            <w:tcW w:w="39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变压器耐压试验(容量1250kV·A)</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台</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2 </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rPr>
          <w:trHeight w:val="314"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 xml:space="preserve">1.8 </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30417023T</w:t>
            </w:r>
          </w:p>
        </w:tc>
        <w:tc>
          <w:tcPr>
            <w:tcW w:w="39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变压器绝缘试验(容量1250kV·A)</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台</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2 </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rPr>
          <w:trHeight w:val="307"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 xml:space="preserve">1.9 </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30417023T</w:t>
            </w:r>
          </w:p>
        </w:tc>
        <w:tc>
          <w:tcPr>
            <w:tcW w:w="39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变压器直流电阻试验(容量1250kV·A)</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台</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2 </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rPr>
          <w:trHeight w:val="314"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 xml:space="preserve">1.10 </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30417030T</w:t>
            </w:r>
          </w:p>
        </w:tc>
        <w:tc>
          <w:tcPr>
            <w:tcW w:w="39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真空断路器耐压试验</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台</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13 </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rPr>
          <w:trHeight w:val="314"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 xml:space="preserve">1.11 </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30417030T</w:t>
            </w:r>
          </w:p>
        </w:tc>
        <w:tc>
          <w:tcPr>
            <w:tcW w:w="39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真空断路器真空度试验</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台</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13 </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rPr>
          <w:trHeight w:val="314"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 xml:space="preserve">1.12 </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30417192</w:t>
            </w:r>
          </w:p>
        </w:tc>
        <w:tc>
          <w:tcPr>
            <w:tcW w:w="39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整套高压开关柜调试</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系统</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3 </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rPr>
          <w:trHeight w:val="314"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 xml:space="preserve">1.13 </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30417200T</w:t>
            </w:r>
          </w:p>
        </w:tc>
        <w:tc>
          <w:tcPr>
            <w:tcW w:w="39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电缆耐压试验</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条</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10 </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rPr>
          <w:trHeight w:val="314"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 xml:space="preserve">1.14 </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30417200T</w:t>
            </w:r>
          </w:p>
        </w:tc>
        <w:tc>
          <w:tcPr>
            <w:tcW w:w="39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电缆绝缘试验</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条</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10 </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rPr>
          <w:trHeight w:val="314"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 xml:space="preserve">1.15 </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30411307T</w:t>
            </w:r>
          </w:p>
        </w:tc>
        <w:tc>
          <w:tcPr>
            <w:tcW w:w="39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避雷器绝缘试验</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组</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4 </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rPr>
          <w:trHeight w:val="314"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 xml:space="preserve">1.16 </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30411307T</w:t>
            </w:r>
          </w:p>
        </w:tc>
        <w:tc>
          <w:tcPr>
            <w:tcW w:w="39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避雷器泄露试验</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组</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4 </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rPr>
          <w:trHeight w:val="314"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rPr>
              <w:t xml:space="preserve">2 </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1002</w:t>
            </w:r>
          </w:p>
        </w:tc>
        <w:tc>
          <w:tcPr>
            <w:tcW w:w="39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新增配电房预防性试验</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项</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1 </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rPr>
          <w:trHeight w:val="314"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 xml:space="preserve">2.1 </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30417023T</w:t>
            </w:r>
          </w:p>
        </w:tc>
        <w:tc>
          <w:tcPr>
            <w:tcW w:w="39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变压器耐压试验(容量1000kV·A)</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台</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4 </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rPr>
          <w:trHeight w:val="314"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 xml:space="preserve">2.2 </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30417023T</w:t>
            </w:r>
          </w:p>
        </w:tc>
        <w:tc>
          <w:tcPr>
            <w:tcW w:w="39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变压器绝缘试验(容量1000kV·A)</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台</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4 </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rPr>
          <w:trHeight w:val="314"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 xml:space="preserve">2.3 </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30417023T</w:t>
            </w:r>
          </w:p>
        </w:tc>
        <w:tc>
          <w:tcPr>
            <w:tcW w:w="39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变压器直流电阻试验(容量1000kV·A)</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台</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4 </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rPr>
          <w:trHeight w:val="314"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 xml:space="preserve">2.4 </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30417023T</w:t>
            </w:r>
          </w:p>
        </w:tc>
        <w:tc>
          <w:tcPr>
            <w:tcW w:w="39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变压器耐压试验(容量1250kV·A)</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台</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4 </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rPr>
          <w:trHeight w:val="314"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 xml:space="preserve">2.5 </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30417023T</w:t>
            </w:r>
          </w:p>
        </w:tc>
        <w:tc>
          <w:tcPr>
            <w:tcW w:w="39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变压器绝缘试验(容量1250kV·A)</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台</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4 </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rPr>
          <w:trHeight w:val="307"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 xml:space="preserve">2.6 </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30417023T</w:t>
            </w:r>
          </w:p>
        </w:tc>
        <w:tc>
          <w:tcPr>
            <w:tcW w:w="39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变压器直流电阻试验(容量1250kV·A)</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台</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4 </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rPr>
          <w:trHeight w:val="314"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 xml:space="preserve">2.7 </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30417030T</w:t>
            </w:r>
          </w:p>
        </w:tc>
        <w:tc>
          <w:tcPr>
            <w:tcW w:w="39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真空断路器耐压试验</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台</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25 </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rPr>
          <w:trHeight w:val="314"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 xml:space="preserve">2.8 </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30417030T</w:t>
            </w:r>
          </w:p>
        </w:tc>
        <w:tc>
          <w:tcPr>
            <w:tcW w:w="39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真空断路器真空度试验</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台</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25 </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rPr>
          <w:trHeight w:val="314"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 xml:space="preserve">2.9 </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30417192</w:t>
            </w:r>
          </w:p>
        </w:tc>
        <w:tc>
          <w:tcPr>
            <w:tcW w:w="39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整套高压开关柜调试</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系统</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2 </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rPr>
          <w:trHeight w:val="314"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 xml:space="preserve">2.10 </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30417200T</w:t>
            </w:r>
          </w:p>
        </w:tc>
        <w:tc>
          <w:tcPr>
            <w:tcW w:w="39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电缆耐压试验</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条</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10 </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rPr>
          <w:trHeight w:val="314"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 xml:space="preserve">2.11 </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30417200T</w:t>
            </w:r>
          </w:p>
        </w:tc>
        <w:tc>
          <w:tcPr>
            <w:tcW w:w="39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电缆绝缘试验</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条</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10 </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rPr>
          <w:trHeight w:val="314"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 xml:space="preserve">2.12 </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30411307T</w:t>
            </w:r>
          </w:p>
        </w:tc>
        <w:tc>
          <w:tcPr>
            <w:tcW w:w="39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避雷器泄露试验</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组</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23 </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rPr>
          <w:trHeight w:val="314"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 xml:space="preserve">2.13 </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30411307T</w:t>
            </w:r>
          </w:p>
        </w:tc>
        <w:tc>
          <w:tcPr>
            <w:tcW w:w="39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避雷器绝缘试验</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组</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23 </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rPr>
          <w:trHeight w:val="314"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rPr>
              <w:t xml:space="preserve">3 </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1003</w:t>
            </w:r>
          </w:p>
        </w:tc>
        <w:tc>
          <w:tcPr>
            <w:tcW w:w="39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配电房巡视，每季度1次</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项</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1 </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rPr>
          <w:trHeight w:val="329" w:hRule="atLeast"/>
        </w:trPr>
        <w:tc>
          <w:tcPr>
            <w:tcW w:w="8676"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每年度服务费</w:t>
            </w: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rPr>
          <w:trHeight w:val="440" w:hRule="atLeast"/>
        </w:trPr>
        <w:tc>
          <w:tcPr>
            <w:tcW w:w="8676" w:type="dxa"/>
            <w:gridSpan w:val="6"/>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ascii="方正书宋_GBK" w:hAnsi="方正书宋_GBK" w:eastAsia="方正书宋_GBK" w:cs="方正书宋_GBK"/>
                <w:i w:val="0"/>
                <w:iCs w:val="0"/>
                <w:color w:val="000000"/>
                <w:sz w:val="22"/>
                <w:szCs w:val="22"/>
                <w:u w:val="none"/>
              </w:rPr>
            </w:pPr>
            <w:r>
              <w:rPr>
                <w:rFonts w:hint="default" w:ascii="方正书宋_GBK" w:hAnsi="方正书宋_GBK" w:eastAsia="方正书宋_GBK" w:cs="方正书宋_GBK"/>
                <w:i w:val="0"/>
                <w:iCs w:val="0"/>
                <w:color w:val="000000"/>
                <w:kern w:val="0"/>
                <w:sz w:val="22"/>
                <w:szCs w:val="22"/>
                <w:u w:val="none"/>
                <w:lang w:val="en-US" w:eastAsia="zh-CN"/>
              </w:rPr>
              <w:t>三年服务费</w:t>
            </w:r>
          </w:p>
        </w:tc>
        <w:tc>
          <w:tcPr>
            <w:tcW w:w="939" w:type="dxa"/>
            <w:tcBorders>
              <w:top w:val="single" w:color="000000" w:sz="4" w:space="0"/>
              <w:left w:val="single" w:color="000000" w:sz="4" w:space="0"/>
              <w:bottom w:val="single" w:color="000000" w:sz="4" w:space="0"/>
              <w:right w:val="single" w:color="000000" w:sz="4" w:space="0"/>
            </w:tcBorders>
            <w:vAlign w:val="top"/>
          </w:tcPr>
          <w:p>
            <w:pPr>
              <w:rPr>
                <w:rFonts w:hint="default" w:ascii="方正书宋_GBK" w:hAnsi="方正书宋_GBK" w:eastAsia="方正书宋_GBK" w:cs="方正书宋_GBK"/>
                <w:i w:val="0"/>
                <w:iCs w:val="0"/>
                <w:color w:val="000000"/>
                <w:sz w:val="22"/>
                <w:szCs w:val="22"/>
                <w:u w:val="none"/>
              </w:rPr>
            </w:pPr>
          </w:p>
        </w:tc>
      </w:tr>
    </w:tbl>
    <w:p>
      <w:pPr>
        <w:pStyle w:val="29"/>
        <w:ind w:firstLine="420"/>
      </w:pPr>
    </w:p>
    <w:p>
      <w:pPr>
        <w:pStyle w:val="29"/>
        <w:ind w:firstLine="420"/>
      </w:pPr>
    </w:p>
    <w:p>
      <w:pPr>
        <w:pStyle w:val="29"/>
        <w:ind w:firstLine="420"/>
      </w:pPr>
    </w:p>
    <w:p>
      <w:pPr>
        <w:pStyle w:val="29"/>
        <w:ind w:firstLine="420"/>
      </w:pPr>
    </w:p>
    <w:p>
      <w:pPr>
        <w:pStyle w:val="29"/>
        <w:ind w:firstLine="420"/>
      </w:pPr>
    </w:p>
    <w:p>
      <w:pPr>
        <w:pStyle w:val="29"/>
        <w:ind w:firstLine="420"/>
      </w:pPr>
    </w:p>
    <w:p>
      <w:pPr>
        <w:pStyle w:val="29"/>
        <w:ind w:firstLine="420"/>
      </w:pPr>
    </w:p>
    <w:p>
      <w:pPr>
        <w:pStyle w:val="29"/>
        <w:ind w:firstLine="420"/>
      </w:pPr>
    </w:p>
    <w:p>
      <w:pPr>
        <w:pStyle w:val="29"/>
        <w:ind w:firstLine="420"/>
      </w:pPr>
    </w:p>
    <w:p>
      <w:pPr>
        <w:pStyle w:val="29"/>
        <w:ind w:firstLine="420"/>
      </w:pPr>
    </w:p>
    <w:p>
      <w:pPr>
        <w:pStyle w:val="29"/>
        <w:ind w:firstLine="420"/>
      </w:pPr>
    </w:p>
    <w:p>
      <w:pPr>
        <w:pStyle w:val="29"/>
        <w:ind w:firstLine="420"/>
      </w:pPr>
    </w:p>
    <w:p>
      <w:pPr>
        <w:pStyle w:val="29"/>
        <w:ind w:firstLine="420"/>
      </w:pPr>
    </w:p>
    <w:p>
      <w:pPr>
        <w:pStyle w:val="29"/>
        <w:ind w:firstLine="420"/>
      </w:pPr>
    </w:p>
    <w:p>
      <w:pPr>
        <w:pStyle w:val="29"/>
        <w:ind w:firstLine="420"/>
      </w:pPr>
    </w:p>
    <w:p>
      <w:pPr>
        <w:pStyle w:val="29"/>
        <w:ind w:firstLine="420"/>
      </w:pPr>
    </w:p>
    <w:p>
      <w:pPr>
        <w:pStyle w:val="29"/>
        <w:ind w:firstLine="420"/>
      </w:pPr>
    </w:p>
    <w:p>
      <w:pPr>
        <w:pStyle w:val="29"/>
        <w:ind w:firstLine="420"/>
      </w:pPr>
    </w:p>
    <w:p>
      <w:pPr>
        <w:pStyle w:val="29"/>
        <w:ind w:firstLine="420"/>
      </w:pPr>
    </w:p>
    <w:p>
      <w:pPr>
        <w:pStyle w:val="29"/>
        <w:ind w:firstLine="420"/>
      </w:pPr>
    </w:p>
    <w:p>
      <w:pPr>
        <w:pStyle w:val="29"/>
        <w:ind w:firstLine="420"/>
      </w:pPr>
    </w:p>
    <w:p>
      <w:pPr>
        <w:pStyle w:val="29"/>
        <w:ind w:firstLine="420"/>
      </w:pPr>
    </w:p>
    <w:p>
      <w:pPr>
        <w:pStyle w:val="29"/>
        <w:ind w:firstLine="420"/>
      </w:pPr>
    </w:p>
    <w:p>
      <w:pPr>
        <w:pStyle w:val="29"/>
        <w:ind w:firstLine="420"/>
      </w:pPr>
    </w:p>
    <w:p>
      <w:pPr>
        <w:pStyle w:val="29"/>
        <w:ind w:firstLine="420"/>
      </w:pPr>
    </w:p>
    <w:p>
      <w:pPr>
        <w:rPr>
          <w:rFonts w:hint="eastAsia" w:ascii="宋体" w:hAnsi="宋体" w:eastAsia="宋体" w:cs="宋体"/>
          <w:b/>
          <w:sz w:val="28"/>
          <w:szCs w:val="28"/>
        </w:rPr>
      </w:pPr>
      <w:r>
        <w:rPr>
          <w:rFonts w:hint="eastAsia" w:ascii="宋体" w:hAnsi="宋体" w:eastAsia="宋体" w:cs="宋体"/>
          <w:b/>
          <w:sz w:val="28"/>
          <w:szCs w:val="28"/>
        </w:rPr>
        <w:br w:type="page"/>
      </w:r>
    </w:p>
    <w:p>
      <w:pPr>
        <w:pStyle w:val="20"/>
        <w:rPr>
          <w:rFonts w:hint="eastAsia" w:ascii="宋体" w:hAnsi="宋体" w:eastAsia="宋体" w:cs="宋体"/>
          <w:b/>
          <w:sz w:val="28"/>
          <w:szCs w:val="28"/>
        </w:rPr>
      </w:pPr>
      <w:r>
        <w:rPr>
          <w:rFonts w:hint="eastAsia" w:ascii="宋体" w:hAnsi="宋体" w:eastAsia="宋体" w:cs="宋体"/>
          <w:b/>
          <w:sz w:val="28"/>
          <w:szCs w:val="28"/>
        </w:rPr>
        <w:t>附件</w:t>
      </w:r>
      <w:r>
        <w:rPr>
          <w:rFonts w:hint="eastAsia" w:ascii="宋体" w:hAnsi="宋体" w:eastAsia="宋体" w:cs="宋体"/>
          <w:b/>
          <w:sz w:val="28"/>
          <w:szCs w:val="28"/>
          <w:lang w:eastAsia="zh-CN"/>
        </w:rPr>
        <w:t>二</w:t>
      </w:r>
      <w:r>
        <w:rPr>
          <w:rFonts w:hint="eastAsia" w:ascii="宋体" w:hAnsi="宋体" w:eastAsia="宋体" w:cs="宋体"/>
          <w:b/>
          <w:sz w:val="28"/>
          <w:szCs w:val="28"/>
        </w:rPr>
        <w:t>：主要机械设备和试验检测设备表</w:t>
      </w:r>
    </w:p>
    <w:tbl>
      <w:tblPr>
        <w:tblW w:w="977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85"/>
        <w:gridCol w:w="992"/>
        <w:gridCol w:w="2018"/>
        <w:gridCol w:w="2018"/>
        <w:gridCol w:w="1657"/>
      </w:tblGrid>
      <w:tr>
        <w:trPr>
          <w:trHeight w:val="624" w:hRule="exact"/>
        </w:trPr>
        <w:tc>
          <w:tcPr>
            <w:tcW w:w="3085" w:type="dxa"/>
            <w:vAlign w:val="center"/>
          </w:tcPr>
          <w:p>
            <w:pPr>
              <w:spacing w:line="480" w:lineRule="auto"/>
              <w:jc w:val="center"/>
              <w:rPr>
                <w:rFonts w:hint="eastAsia" w:ascii="宋体" w:hAnsi="宋体"/>
                <w:sz w:val="21"/>
                <w:szCs w:val="21"/>
              </w:rPr>
            </w:pPr>
            <w:r>
              <w:rPr>
                <w:rFonts w:hint="eastAsia" w:ascii="宋体" w:hAnsi="宋体"/>
                <w:sz w:val="21"/>
                <w:szCs w:val="21"/>
              </w:rPr>
              <w:t>设备名称</w:t>
            </w:r>
          </w:p>
        </w:tc>
        <w:tc>
          <w:tcPr>
            <w:tcW w:w="992" w:type="dxa"/>
            <w:vAlign w:val="center"/>
          </w:tcPr>
          <w:p>
            <w:pPr>
              <w:spacing w:line="480" w:lineRule="auto"/>
              <w:jc w:val="center"/>
              <w:rPr>
                <w:rFonts w:hint="eastAsia" w:ascii="宋体" w:hAnsi="宋体"/>
                <w:sz w:val="21"/>
                <w:szCs w:val="21"/>
              </w:rPr>
            </w:pPr>
            <w:r>
              <w:rPr>
                <w:rFonts w:hint="eastAsia" w:ascii="宋体" w:hAnsi="宋体"/>
                <w:sz w:val="21"/>
                <w:szCs w:val="21"/>
              </w:rPr>
              <w:t>单位</w:t>
            </w:r>
          </w:p>
        </w:tc>
        <w:tc>
          <w:tcPr>
            <w:tcW w:w="2018" w:type="dxa"/>
            <w:vAlign w:val="center"/>
          </w:tcPr>
          <w:p>
            <w:pPr>
              <w:spacing w:line="480" w:lineRule="auto"/>
              <w:jc w:val="center"/>
              <w:rPr>
                <w:rFonts w:ascii="宋体" w:hAnsi="宋体" w:eastAsia="宋体"/>
                <w:sz w:val="21"/>
                <w:szCs w:val="21"/>
              </w:rPr>
            </w:pPr>
            <w:r>
              <w:rPr>
                <w:rFonts w:hint="eastAsia" w:ascii="宋体" w:hAnsi="宋体"/>
                <w:sz w:val="21"/>
                <w:szCs w:val="21"/>
              </w:rPr>
              <w:t>证书编号1</w:t>
            </w:r>
          </w:p>
        </w:tc>
        <w:tc>
          <w:tcPr>
            <w:tcW w:w="2018" w:type="dxa"/>
            <w:vAlign w:val="center"/>
          </w:tcPr>
          <w:p>
            <w:pPr>
              <w:spacing w:line="480" w:lineRule="auto"/>
              <w:jc w:val="center"/>
              <w:rPr>
                <w:rFonts w:hint="eastAsia" w:ascii="宋体" w:hAnsi="宋体"/>
                <w:sz w:val="21"/>
                <w:szCs w:val="21"/>
              </w:rPr>
            </w:pPr>
            <w:r>
              <w:rPr>
                <w:rFonts w:hint="eastAsia" w:ascii="宋体" w:hAnsi="宋体"/>
                <w:sz w:val="21"/>
                <w:szCs w:val="21"/>
              </w:rPr>
              <w:t>证书编号2</w:t>
            </w:r>
          </w:p>
        </w:tc>
        <w:tc>
          <w:tcPr>
            <w:tcW w:w="1657" w:type="dxa"/>
            <w:vAlign w:val="center"/>
          </w:tcPr>
          <w:p>
            <w:pPr>
              <w:spacing w:line="480" w:lineRule="auto"/>
              <w:jc w:val="center"/>
              <w:rPr>
                <w:rFonts w:hint="eastAsia" w:ascii="宋体" w:hAnsi="宋体"/>
                <w:sz w:val="21"/>
                <w:szCs w:val="21"/>
              </w:rPr>
            </w:pPr>
            <w:r>
              <w:rPr>
                <w:rFonts w:hint="eastAsia" w:ascii="宋体" w:hAnsi="宋体"/>
                <w:sz w:val="21"/>
                <w:szCs w:val="21"/>
              </w:rPr>
              <w:t>证明文件页码</w:t>
            </w:r>
          </w:p>
        </w:tc>
      </w:tr>
      <w:tr>
        <w:trPr>
          <w:trHeight w:val="624" w:hRule="exact"/>
        </w:trPr>
        <w:tc>
          <w:tcPr>
            <w:tcW w:w="3085" w:type="dxa"/>
            <w:vAlign w:val="center"/>
          </w:tcPr>
          <w:p>
            <w:pPr>
              <w:spacing w:line="480" w:lineRule="auto"/>
              <w:jc w:val="center"/>
              <w:rPr>
                <w:rFonts w:hint="eastAsia" w:ascii="宋体" w:hAnsi="宋体"/>
                <w:sz w:val="21"/>
                <w:szCs w:val="21"/>
              </w:rPr>
            </w:pPr>
            <w:r>
              <w:rPr>
                <w:rFonts w:hint="eastAsia" w:ascii="宋体" w:hAnsi="宋体"/>
                <w:sz w:val="21"/>
                <w:szCs w:val="21"/>
              </w:rPr>
              <w:t>直流高压发生器</w:t>
            </w:r>
          </w:p>
        </w:tc>
        <w:tc>
          <w:tcPr>
            <w:tcW w:w="992" w:type="dxa"/>
            <w:vAlign w:val="center"/>
          </w:tcPr>
          <w:p>
            <w:pPr>
              <w:spacing w:line="480" w:lineRule="auto"/>
              <w:jc w:val="center"/>
              <w:rPr>
                <w:rFonts w:hint="eastAsia" w:ascii="宋体" w:hAnsi="宋体"/>
                <w:sz w:val="21"/>
                <w:szCs w:val="21"/>
              </w:rPr>
            </w:pPr>
            <w:r>
              <w:rPr>
                <w:rFonts w:hint="eastAsia" w:ascii="宋体" w:hAnsi="宋体"/>
                <w:sz w:val="21"/>
                <w:szCs w:val="21"/>
              </w:rPr>
              <w:t>台</w:t>
            </w:r>
          </w:p>
        </w:tc>
        <w:tc>
          <w:tcPr>
            <w:tcW w:w="2018" w:type="dxa"/>
            <w:vAlign w:val="center"/>
          </w:tcPr>
          <w:p>
            <w:pPr>
              <w:spacing w:line="480" w:lineRule="auto"/>
              <w:jc w:val="center"/>
              <w:rPr>
                <w:rFonts w:hint="eastAsia" w:ascii="宋体" w:hAnsi="宋体"/>
                <w:sz w:val="21"/>
                <w:szCs w:val="21"/>
              </w:rPr>
            </w:pPr>
          </w:p>
        </w:tc>
        <w:tc>
          <w:tcPr>
            <w:tcW w:w="2018" w:type="dxa"/>
            <w:vAlign w:val="center"/>
          </w:tcPr>
          <w:p>
            <w:pPr>
              <w:spacing w:line="480" w:lineRule="auto"/>
              <w:jc w:val="center"/>
              <w:rPr>
                <w:rFonts w:hint="eastAsia" w:ascii="宋体" w:hAnsi="宋体"/>
                <w:sz w:val="21"/>
                <w:szCs w:val="21"/>
              </w:rPr>
            </w:pPr>
          </w:p>
        </w:tc>
        <w:tc>
          <w:tcPr>
            <w:tcW w:w="1657" w:type="dxa"/>
            <w:vAlign w:val="center"/>
          </w:tcPr>
          <w:p>
            <w:pPr>
              <w:spacing w:line="480" w:lineRule="auto"/>
              <w:jc w:val="center"/>
              <w:rPr>
                <w:rFonts w:hint="eastAsia" w:ascii="宋体" w:hAnsi="宋体"/>
                <w:sz w:val="21"/>
                <w:szCs w:val="21"/>
              </w:rPr>
            </w:pPr>
          </w:p>
        </w:tc>
      </w:tr>
      <w:tr>
        <w:trPr>
          <w:trHeight w:val="624" w:hRule="exact"/>
        </w:trPr>
        <w:tc>
          <w:tcPr>
            <w:tcW w:w="3085" w:type="dxa"/>
            <w:vAlign w:val="center"/>
          </w:tcPr>
          <w:p>
            <w:pPr>
              <w:spacing w:line="480" w:lineRule="auto"/>
              <w:jc w:val="center"/>
              <w:rPr>
                <w:rFonts w:hint="eastAsia" w:ascii="宋体" w:hAnsi="宋体"/>
                <w:sz w:val="21"/>
                <w:szCs w:val="21"/>
              </w:rPr>
            </w:pPr>
            <w:r>
              <w:rPr>
                <w:rFonts w:hint="eastAsia" w:ascii="宋体" w:hAnsi="宋体"/>
                <w:sz w:val="21"/>
                <w:szCs w:val="21"/>
              </w:rPr>
              <w:t>工频耐压试验装置</w:t>
            </w:r>
          </w:p>
        </w:tc>
        <w:tc>
          <w:tcPr>
            <w:tcW w:w="992" w:type="dxa"/>
            <w:vAlign w:val="center"/>
          </w:tcPr>
          <w:p>
            <w:pPr>
              <w:spacing w:line="480" w:lineRule="auto"/>
              <w:jc w:val="center"/>
              <w:rPr>
                <w:rFonts w:ascii="宋体" w:hAnsi="宋体"/>
                <w:sz w:val="21"/>
                <w:szCs w:val="21"/>
              </w:rPr>
            </w:pPr>
            <w:r>
              <w:rPr>
                <w:rFonts w:ascii="宋体" w:hAnsi="宋体"/>
                <w:sz w:val="21"/>
                <w:szCs w:val="21"/>
              </w:rPr>
              <w:t>台</w:t>
            </w:r>
          </w:p>
        </w:tc>
        <w:tc>
          <w:tcPr>
            <w:tcW w:w="2018" w:type="dxa"/>
            <w:vAlign w:val="center"/>
          </w:tcPr>
          <w:p>
            <w:pPr>
              <w:spacing w:line="480" w:lineRule="auto"/>
              <w:jc w:val="center"/>
              <w:rPr>
                <w:rFonts w:hint="eastAsia" w:ascii="宋体" w:hAnsi="宋体"/>
                <w:sz w:val="21"/>
                <w:szCs w:val="21"/>
              </w:rPr>
            </w:pPr>
          </w:p>
        </w:tc>
        <w:tc>
          <w:tcPr>
            <w:tcW w:w="2018" w:type="dxa"/>
            <w:vAlign w:val="center"/>
          </w:tcPr>
          <w:p>
            <w:pPr>
              <w:spacing w:line="480" w:lineRule="auto"/>
              <w:jc w:val="center"/>
              <w:rPr>
                <w:rFonts w:hint="eastAsia" w:ascii="宋体" w:hAnsi="宋体"/>
                <w:sz w:val="21"/>
                <w:szCs w:val="21"/>
              </w:rPr>
            </w:pPr>
          </w:p>
        </w:tc>
        <w:tc>
          <w:tcPr>
            <w:tcW w:w="1657" w:type="dxa"/>
            <w:vAlign w:val="center"/>
          </w:tcPr>
          <w:p>
            <w:pPr>
              <w:spacing w:line="480" w:lineRule="auto"/>
              <w:jc w:val="center"/>
              <w:rPr>
                <w:rFonts w:hint="eastAsia" w:ascii="宋体" w:hAnsi="宋体"/>
                <w:sz w:val="21"/>
                <w:szCs w:val="21"/>
              </w:rPr>
            </w:pPr>
          </w:p>
        </w:tc>
      </w:tr>
      <w:tr>
        <w:trPr>
          <w:trHeight w:val="624" w:hRule="exact"/>
        </w:trPr>
        <w:tc>
          <w:tcPr>
            <w:tcW w:w="3085" w:type="dxa"/>
            <w:vAlign w:val="center"/>
          </w:tcPr>
          <w:p>
            <w:pPr>
              <w:spacing w:line="480" w:lineRule="auto"/>
              <w:jc w:val="center"/>
              <w:rPr>
                <w:rFonts w:hint="eastAsia" w:ascii="宋体" w:hAnsi="宋体"/>
                <w:sz w:val="21"/>
                <w:szCs w:val="21"/>
              </w:rPr>
            </w:pPr>
            <w:r>
              <w:rPr>
                <w:rFonts w:hint="eastAsia" w:ascii="宋体" w:hAnsi="宋体"/>
                <w:sz w:val="21"/>
                <w:szCs w:val="21"/>
              </w:rPr>
              <w:t>变频串联谐振试验成套装置</w:t>
            </w:r>
          </w:p>
        </w:tc>
        <w:tc>
          <w:tcPr>
            <w:tcW w:w="992" w:type="dxa"/>
            <w:vAlign w:val="center"/>
          </w:tcPr>
          <w:p>
            <w:pPr>
              <w:spacing w:line="480" w:lineRule="auto"/>
              <w:jc w:val="center"/>
              <w:rPr>
                <w:rFonts w:ascii="宋体" w:hAnsi="宋体"/>
                <w:sz w:val="21"/>
                <w:szCs w:val="21"/>
              </w:rPr>
            </w:pPr>
            <w:r>
              <w:rPr>
                <w:rFonts w:ascii="宋体" w:hAnsi="宋体"/>
                <w:sz w:val="21"/>
                <w:szCs w:val="21"/>
              </w:rPr>
              <w:t>台</w:t>
            </w:r>
          </w:p>
        </w:tc>
        <w:tc>
          <w:tcPr>
            <w:tcW w:w="2018" w:type="dxa"/>
            <w:vAlign w:val="center"/>
          </w:tcPr>
          <w:p>
            <w:pPr>
              <w:spacing w:line="480" w:lineRule="auto"/>
              <w:jc w:val="center"/>
              <w:rPr>
                <w:rFonts w:hint="eastAsia" w:ascii="宋体" w:hAnsi="宋体"/>
                <w:sz w:val="21"/>
                <w:szCs w:val="21"/>
              </w:rPr>
            </w:pPr>
          </w:p>
        </w:tc>
        <w:tc>
          <w:tcPr>
            <w:tcW w:w="2018" w:type="dxa"/>
            <w:vAlign w:val="center"/>
          </w:tcPr>
          <w:p>
            <w:pPr>
              <w:spacing w:line="480" w:lineRule="auto"/>
              <w:jc w:val="center"/>
              <w:rPr>
                <w:rFonts w:ascii="宋体" w:hAnsi="宋体"/>
                <w:sz w:val="21"/>
                <w:szCs w:val="21"/>
              </w:rPr>
            </w:pPr>
          </w:p>
        </w:tc>
        <w:tc>
          <w:tcPr>
            <w:tcW w:w="1657" w:type="dxa"/>
            <w:vAlign w:val="center"/>
          </w:tcPr>
          <w:p>
            <w:pPr>
              <w:spacing w:line="480" w:lineRule="auto"/>
              <w:jc w:val="center"/>
              <w:rPr>
                <w:rFonts w:ascii="宋体" w:hAnsi="宋体"/>
                <w:sz w:val="21"/>
                <w:szCs w:val="21"/>
              </w:rPr>
            </w:pPr>
          </w:p>
        </w:tc>
      </w:tr>
      <w:tr>
        <w:trPr>
          <w:trHeight w:val="624" w:hRule="exact"/>
        </w:trPr>
        <w:tc>
          <w:tcPr>
            <w:tcW w:w="3085" w:type="dxa"/>
            <w:vAlign w:val="center"/>
          </w:tcPr>
          <w:p>
            <w:pPr>
              <w:spacing w:line="480" w:lineRule="auto"/>
              <w:jc w:val="center"/>
              <w:rPr>
                <w:rFonts w:hint="eastAsia" w:ascii="宋体" w:hAnsi="宋体"/>
                <w:sz w:val="21"/>
                <w:szCs w:val="21"/>
              </w:rPr>
            </w:pPr>
            <w:r>
              <w:rPr>
                <w:rFonts w:hint="eastAsia" w:ascii="宋体" w:hAnsi="宋体"/>
                <w:sz w:val="21"/>
                <w:szCs w:val="21"/>
              </w:rPr>
              <w:t>感应耐压试验装置</w:t>
            </w:r>
          </w:p>
        </w:tc>
        <w:tc>
          <w:tcPr>
            <w:tcW w:w="992" w:type="dxa"/>
            <w:vAlign w:val="center"/>
          </w:tcPr>
          <w:p>
            <w:pPr>
              <w:spacing w:line="480" w:lineRule="auto"/>
              <w:jc w:val="center"/>
              <w:rPr>
                <w:rFonts w:ascii="宋体" w:hAnsi="宋体"/>
                <w:sz w:val="21"/>
                <w:szCs w:val="21"/>
              </w:rPr>
            </w:pPr>
            <w:r>
              <w:rPr>
                <w:rFonts w:hint="eastAsia" w:ascii="宋体" w:hAnsi="宋体"/>
                <w:sz w:val="21"/>
                <w:szCs w:val="21"/>
              </w:rPr>
              <w:t>台</w:t>
            </w:r>
          </w:p>
        </w:tc>
        <w:tc>
          <w:tcPr>
            <w:tcW w:w="2018" w:type="dxa"/>
            <w:vAlign w:val="center"/>
          </w:tcPr>
          <w:p>
            <w:pPr>
              <w:spacing w:line="480" w:lineRule="auto"/>
              <w:jc w:val="center"/>
              <w:rPr>
                <w:rFonts w:ascii="宋体" w:hAnsi="宋体"/>
                <w:sz w:val="21"/>
                <w:szCs w:val="21"/>
              </w:rPr>
            </w:pPr>
          </w:p>
        </w:tc>
        <w:tc>
          <w:tcPr>
            <w:tcW w:w="2018" w:type="dxa"/>
            <w:vAlign w:val="center"/>
          </w:tcPr>
          <w:p>
            <w:pPr>
              <w:spacing w:line="480" w:lineRule="auto"/>
              <w:jc w:val="center"/>
              <w:rPr>
                <w:rFonts w:hint="eastAsia" w:ascii="宋体" w:hAnsi="宋体"/>
                <w:sz w:val="21"/>
                <w:szCs w:val="21"/>
              </w:rPr>
            </w:pPr>
          </w:p>
        </w:tc>
        <w:tc>
          <w:tcPr>
            <w:tcW w:w="1657" w:type="dxa"/>
            <w:vAlign w:val="center"/>
          </w:tcPr>
          <w:p>
            <w:pPr>
              <w:spacing w:line="480" w:lineRule="auto"/>
              <w:jc w:val="center"/>
              <w:rPr>
                <w:rFonts w:hint="eastAsia" w:ascii="宋体" w:hAnsi="宋体"/>
                <w:sz w:val="21"/>
                <w:szCs w:val="21"/>
              </w:rPr>
            </w:pPr>
          </w:p>
        </w:tc>
      </w:tr>
      <w:tr>
        <w:trPr>
          <w:trHeight w:val="624" w:hRule="exact"/>
        </w:trPr>
        <w:tc>
          <w:tcPr>
            <w:tcW w:w="3085" w:type="dxa"/>
            <w:vAlign w:val="center"/>
          </w:tcPr>
          <w:p>
            <w:pPr>
              <w:spacing w:line="480" w:lineRule="auto"/>
              <w:jc w:val="center"/>
              <w:rPr>
                <w:rFonts w:hint="eastAsia" w:ascii="宋体" w:hAnsi="宋体"/>
                <w:sz w:val="21"/>
                <w:szCs w:val="21"/>
              </w:rPr>
            </w:pPr>
            <w:r>
              <w:rPr>
                <w:rFonts w:hint="eastAsia" w:ascii="宋体" w:hAnsi="宋体"/>
                <w:sz w:val="21"/>
                <w:szCs w:val="21"/>
              </w:rPr>
              <w:t>高压介质损耗测试装置</w:t>
            </w:r>
          </w:p>
        </w:tc>
        <w:tc>
          <w:tcPr>
            <w:tcW w:w="992" w:type="dxa"/>
            <w:vAlign w:val="center"/>
          </w:tcPr>
          <w:p>
            <w:pPr>
              <w:spacing w:line="480" w:lineRule="auto"/>
              <w:jc w:val="center"/>
              <w:rPr>
                <w:rFonts w:hint="eastAsia" w:ascii="宋体" w:hAnsi="宋体"/>
                <w:sz w:val="21"/>
                <w:szCs w:val="21"/>
              </w:rPr>
            </w:pPr>
            <w:r>
              <w:rPr>
                <w:rFonts w:hint="eastAsia" w:ascii="宋体" w:hAnsi="宋体"/>
                <w:sz w:val="21"/>
                <w:szCs w:val="21"/>
              </w:rPr>
              <w:t>台</w:t>
            </w:r>
          </w:p>
        </w:tc>
        <w:tc>
          <w:tcPr>
            <w:tcW w:w="2018" w:type="dxa"/>
            <w:vAlign w:val="center"/>
          </w:tcPr>
          <w:p>
            <w:pPr>
              <w:spacing w:line="480" w:lineRule="auto"/>
              <w:jc w:val="center"/>
              <w:rPr>
                <w:rFonts w:hint="eastAsia" w:ascii="宋体" w:hAnsi="宋体"/>
                <w:sz w:val="21"/>
                <w:szCs w:val="21"/>
              </w:rPr>
            </w:pPr>
          </w:p>
        </w:tc>
        <w:tc>
          <w:tcPr>
            <w:tcW w:w="2018" w:type="dxa"/>
            <w:vAlign w:val="center"/>
          </w:tcPr>
          <w:p>
            <w:pPr>
              <w:spacing w:line="480" w:lineRule="auto"/>
              <w:jc w:val="center"/>
              <w:rPr>
                <w:rFonts w:hint="eastAsia" w:ascii="宋体" w:hAnsi="宋体"/>
                <w:sz w:val="21"/>
                <w:szCs w:val="21"/>
              </w:rPr>
            </w:pPr>
          </w:p>
        </w:tc>
        <w:tc>
          <w:tcPr>
            <w:tcW w:w="1657" w:type="dxa"/>
            <w:vAlign w:val="center"/>
          </w:tcPr>
          <w:p>
            <w:pPr>
              <w:spacing w:line="480" w:lineRule="auto"/>
              <w:jc w:val="center"/>
              <w:rPr>
                <w:rFonts w:hint="eastAsia" w:ascii="宋体" w:hAnsi="宋体"/>
                <w:sz w:val="21"/>
                <w:szCs w:val="21"/>
              </w:rPr>
            </w:pPr>
          </w:p>
        </w:tc>
      </w:tr>
      <w:tr>
        <w:trPr>
          <w:trHeight w:val="624" w:hRule="exact"/>
        </w:trPr>
        <w:tc>
          <w:tcPr>
            <w:tcW w:w="3085" w:type="dxa"/>
            <w:vAlign w:val="center"/>
          </w:tcPr>
          <w:p>
            <w:pPr>
              <w:spacing w:line="480" w:lineRule="auto"/>
              <w:jc w:val="center"/>
              <w:rPr>
                <w:rFonts w:hint="eastAsia" w:ascii="宋体" w:hAnsi="宋体"/>
                <w:sz w:val="21"/>
                <w:szCs w:val="21"/>
              </w:rPr>
            </w:pPr>
            <w:r>
              <w:rPr>
                <w:rFonts w:hint="eastAsia" w:ascii="宋体" w:hAnsi="宋体"/>
                <w:sz w:val="21"/>
                <w:szCs w:val="21"/>
              </w:rPr>
              <w:t>三相继电保护测试仪</w:t>
            </w:r>
          </w:p>
        </w:tc>
        <w:tc>
          <w:tcPr>
            <w:tcW w:w="992" w:type="dxa"/>
            <w:vAlign w:val="center"/>
          </w:tcPr>
          <w:p>
            <w:pPr>
              <w:spacing w:line="480" w:lineRule="auto"/>
              <w:jc w:val="center"/>
              <w:rPr>
                <w:rFonts w:hint="eastAsia" w:ascii="宋体" w:hAnsi="宋体"/>
                <w:sz w:val="21"/>
                <w:szCs w:val="21"/>
              </w:rPr>
            </w:pPr>
            <w:r>
              <w:rPr>
                <w:rFonts w:hint="eastAsia" w:ascii="宋体" w:hAnsi="宋体"/>
                <w:sz w:val="21"/>
                <w:szCs w:val="21"/>
              </w:rPr>
              <w:t>台</w:t>
            </w:r>
          </w:p>
        </w:tc>
        <w:tc>
          <w:tcPr>
            <w:tcW w:w="2018" w:type="dxa"/>
            <w:vAlign w:val="center"/>
          </w:tcPr>
          <w:p>
            <w:pPr>
              <w:spacing w:line="480" w:lineRule="auto"/>
              <w:jc w:val="center"/>
              <w:rPr>
                <w:rFonts w:hint="eastAsia" w:ascii="宋体" w:hAnsi="宋体"/>
                <w:sz w:val="21"/>
                <w:szCs w:val="21"/>
              </w:rPr>
            </w:pPr>
          </w:p>
        </w:tc>
        <w:tc>
          <w:tcPr>
            <w:tcW w:w="2018" w:type="dxa"/>
            <w:vAlign w:val="center"/>
          </w:tcPr>
          <w:p>
            <w:pPr>
              <w:spacing w:line="480" w:lineRule="auto"/>
              <w:jc w:val="center"/>
              <w:rPr>
                <w:rFonts w:hint="eastAsia" w:ascii="宋体" w:hAnsi="宋体"/>
                <w:sz w:val="21"/>
                <w:szCs w:val="21"/>
              </w:rPr>
            </w:pPr>
          </w:p>
        </w:tc>
        <w:tc>
          <w:tcPr>
            <w:tcW w:w="1657" w:type="dxa"/>
            <w:vAlign w:val="center"/>
          </w:tcPr>
          <w:p>
            <w:pPr>
              <w:spacing w:line="480" w:lineRule="auto"/>
              <w:jc w:val="center"/>
              <w:rPr>
                <w:rFonts w:hint="eastAsia" w:ascii="宋体" w:hAnsi="宋体"/>
                <w:sz w:val="21"/>
                <w:szCs w:val="21"/>
              </w:rPr>
            </w:pPr>
          </w:p>
        </w:tc>
      </w:tr>
      <w:tr>
        <w:trPr>
          <w:trHeight w:val="624" w:hRule="exact"/>
        </w:trPr>
        <w:tc>
          <w:tcPr>
            <w:tcW w:w="3085" w:type="dxa"/>
            <w:vAlign w:val="center"/>
          </w:tcPr>
          <w:p>
            <w:pPr>
              <w:spacing w:line="480" w:lineRule="auto"/>
              <w:jc w:val="center"/>
              <w:rPr>
                <w:rFonts w:hint="eastAsia" w:ascii="宋体" w:hAnsi="宋体"/>
                <w:sz w:val="21"/>
                <w:szCs w:val="21"/>
              </w:rPr>
            </w:pPr>
            <w:r>
              <w:rPr>
                <w:rFonts w:hint="eastAsia" w:ascii="宋体" w:hAnsi="宋体"/>
                <w:sz w:val="21"/>
                <w:szCs w:val="21"/>
              </w:rPr>
              <w:t>变压器直流电阻测试仪</w:t>
            </w:r>
          </w:p>
        </w:tc>
        <w:tc>
          <w:tcPr>
            <w:tcW w:w="992" w:type="dxa"/>
            <w:vAlign w:val="center"/>
          </w:tcPr>
          <w:p>
            <w:pPr>
              <w:spacing w:line="480" w:lineRule="auto"/>
              <w:jc w:val="center"/>
              <w:rPr>
                <w:rFonts w:hint="eastAsia" w:ascii="宋体" w:hAnsi="宋体"/>
                <w:sz w:val="21"/>
                <w:szCs w:val="21"/>
              </w:rPr>
            </w:pPr>
            <w:r>
              <w:rPr>
                <w:rFonts w:hint="eastAsia" w:ascii="宋体" w:hAnsi="宋体"/>
                <w:sz w:val="21"/>
                <w:szCs w:val="21"/>
              </w:rPr>
              <w:t>台</w:t>
            </w:r>
          </w:p>
        </w:tc>
        <w:tc>
          <w:tcPr>
            <w:tcW w:w="2018" w:type="dxa"/>
            <w:vAlign w:val="center"/>
          </w:tcPr>
          <w:p>
            <w:pPr>
              <w:spacing w:line="480" w:lineRule="auto"/>
              <w:jc w:val="center"/>
              <w:rPr>
                <w:rFonts w:hint="eastAsia" w:ascii="宋体" w:hAnsi="宋体"/>
                <w:sz w:val="21"/>
                <w:szCs w:val="21"/>
              </w:rPr>
            </w:pPr>
          </w:p>
        </w:tc>
        <w:tc>
          <w:tcPr>
            <w:tcW w:w="2018" w:type="dxa"/>
            <w:vAlign w:val="center"/>
          </w:tcPr>
          <w:p>
            <w:pPr>
              <w:spacing w:line="480" w:lineRule="auto"/>
              <w:jc w:val="center"/>
              <w:rPr>
                <w:rFonts w:hint="eastAsia" w:ascii="宋体" w:hAnsi="宋体"/>
                <w:sz w:val="21"/>
                <w:szCs w:val="21"/>
              </w:rPr>
            </w:pPr>
          </w:p>
        </w:tc>
        <w:tc>
          <w:tcPr>
            <w:tcW w:w="1657" w:type="dxa"/>
            <w:vAlign w:val="center"/>
          </w:tcPr>
          <w:p>
            <w:pPr>
              <w:spacing w:line="480" w:lineRule="auto"/>
              <w:jc w:val="center"/>
              <w:rPr>
                <w:rFonts w:hint="eastAsia" w:ascii="宋体" w:hAnsi="宋体"/>
                <w:sz w:val="21"/>
                <w:szCs w:val="21"/>
              </w:rPr>
            </w:pPr>
          </w:p>
        </w:tc>
      </w:tr>
      <w:tr>
        <w:trPr>
          <w:trHeight w:val="624" w:hRule="exact"/>
        </w:trPr>
        <w:tc>
          <w:tcPr>
            <w:tcW w:w="3085" w:type="dxa"/>
            <w:vAlign w:val="center"/>
          </w:tcPr>
          <w:p>
            <w:pPr>
              <w:spacing w:line="480" w:lineRule="auto"/>
              <w:jc w:val="center"/>
              <w:rPr>
                <w:rFonts w:hint="eastAsia" w:ascii="宋体" w:hAnsi="宋体"/>
                <w:sz w:val="21"/>
                <w:szCs w:val="21"/>
              </w:rPr>
            </w:pPr>
            <w:r>
              <w:rPr>
                <w:rFonts w:hint="eastAsia" w:ascii="宋体" w:hAnsi="宋体"/>
                <w:sz w:val="21"/>
                <w:szCs w:val="21"/>
              </w:rPr>
              <w:t>回路电阻测试仪</w:t>
            </w:r>
          </w:p>
        </w:tc>
        <w:tc>
          <w:tcPr>
            <w:tcW w:w="992" w:type="dxa"/>
            <w:vAlign w:val="center"/>
          </w:tcPr>
          <w:p>
            <w:pPr>
              <w:spacing w:line="480" w:lineRule="auto"/>
              <w:jc w:val="center"/>
              <w:rPr>
                <w:rFonts w:hint="eastAsia" w:ascii="宋体" w:hAnsi="宋体"/>
                <w:sz w:val="21"/>
                <w:szCs w:val="21"/>
              </w:rPr>
            </w:pPr>
            <w:r>
              <w:rPr>
                <w:rFonts w:hint="eastAsia" w:ascii="宋体" w:hAnsi="宋体"/>
                <w:sz w:val="21"/>
                <w:szCs w:val="21"/>
              </w:rPr>
              <w:t>台</w:t>
            </w:r>
          </w:p>
        </w:tc>
        <w:tc>
          <w:tcPr>
            <w:tcW w:w="2018" w:type="dxa"/>
            <w:vAlign w:val="center"/>
          </w:tcPr>
          <w:p>
            <w:pPr>
              <w:spacing w:line="480" w:lineRule="auto"/>
              <w:jc w:val="center"/>
              <w:rPr>
                <w:rFonts w:hint="eastAsia" w:ascii="宋体" w:hAnsi="宋体"/>
                <w:sz w:val="21"/>
                <w:szCs w:val="21"/>
              </w:rPr>
            </w:pPr>
          </w:p>
        </w:tc>
        <w:tc>
          <w:tcPr>
            <w:tcW w:w="2018" w:type="dxa"/>
            <w:vAlign w:val="center"/>
          </w:tcPr>
          <w:p>
            <w:pPr>
              <w:spacing w:line="480" w:lineRule="auto"/>
              <w:jc w:val="center"/>
              <w:rPr>
                <w:rFonts w:hint="eastAsia" w:ascii="宋体" w:hAnsi="宋体"/>
                <w:sz w:val="21"/>
                <w:szCs w:val="21"/>
              </w:rPr>
            </w:pPr>
          </w:p>
        </w:tc>
        <w:tc>
          <w:tcPr>
            <w:tcW w:w="1657" w:type="dxa"/>
            <w:vAlign w:val="center"/>
          </w:tcPr>
          <w:p>
            <w:pPr>
              <w:spacing w:line="480" w:lineRule="auto"/>
              <w:jc w:val="center"/>
              <w:rPr>
                <w:rFonts w:hint="eastAsia" w:ascii="宋体" w:hAnsi="宋体"/>
                <w:sz w:val="21"/>
                <w:szCs w:val="21"/>
              </w:rPr>
            </w:pPr>
          </w:p>
        </w:tc>
      </w:tr>
      <w:tr>
        <w:trPr>
          <w:trHeight w:val="624" w:hRule="exact"/>
        </w:trPr>
        <w:tc>
          <w:tcPr>
            <w:tcW w:w="3085" w:type="dxa"/>
            <w:vAlign w:val="center"/>
          </w:tcPr>
          <w:p>
            <w:pPr>
              <w:spacing w:line="480" w:lineRule="auto"/>
              <w:jc w:val="center"/>
              <w:rPr>
                <w:rFonts w:hint="eastAsia" w:ascii="宋体" w:hAnsi="宋体"/>
                <w:sz w:val="21"/>
                <w:szCs w:val="21"/>
              </w:rPr>
            </w:pPr>
            <w:r>
              <w:rPr>
                <w:rFonts w:hint="eastAsia" w:ascii="宋体" w:hAnsi="宋体"/>
                <w:sz w:val="21"/>
                <w:szCs w:val="21"/>
              </w:rPr>
              <w:t>互感器伏安特性测试仪</w:t>
            </w:r>
          </w:p>
        </w:tc>
        <w:tc>
          <w:tcPr>
            <w:tcW w:w="992" w:type="dxa"/>
            <w:vAlign w:val="center"/>
          </w:tcPr>
          <w:p>
            <w:pPr>
              <w:spacing w:line="480" w:lineRule="auto"/>
              <w:jc w:val="center"/>
              <w:rPr>
                <w:rFonts w:hint="eastAsia" w:ascii="宋体" w:hAnsi="宋体"/>
                <w:sz w:val="21"/>
                <w:szCs w:val="21"/>
              </w:rPr>
            </w:pPr>
            <w:r>
              <w:rPr>
                <w:rFonts w:hint="eastAsia" w:ascii="宋体" w:hAnsi="宋体"/>
                <w:sz w:val="21"/>
                <w:szCs w:val="21"/>
              </w:rPr>
              <w:t>台</w:t>
            </w:r>
          </w:p>
        </w:tc>
        <w:tc>
          <w:tcPr>
            <w:tcW w:w="2018" w:type="dxa"/>
            <w:vAlign w:val="center"/>
          </w:tcPr>
          <w:p>
            <w:pPr>
              <w:spacing w:line="480" w:lineRule="auto"/>
              <w:jc w:val="center"/>
              <w:rPr>
                <w:rFonts w:hint="eastAsia" w:ascii="宋体" w:hAnsi="宋体"/>
                <w:sz w:val="21"/>
                <w:szCs w:val="21"/>
              </w:rPr>
            </w:pPr>
          </w:p>
        </w:tc>
        <w:tc>
          <w:tcPr>
            <w:tcW w:w="2018" w:type="dxa"/>
            <w:vAlign w:val="center"/>
          </w:tcPr>
          <w:p>
            <w:pPr>
              <w:spacing w:line="480" w:lineRule="auto"/>
              <w:jc w:val="center"/>
              <w:rPr>
                <w:rFonts w:hint="eastAsia" w:ascii="宋体" w:hAnsi="宋体"/>
                <w:sz w:val="21"/>
                <w:szCs w:val="21"/>
              </w:rPr>
            </w:pPr>
          </w:p>
        </w:tc>
        <w:tc>
          <w:tcPr>
            <w:tcW w:w="1657" w:type="dxa"/>
            <w:vAlign w:val="center"/>
          </w:tcPr>
          <w:p>
            <w:pPr>
              <w:spacing w:line="480" w:lineRule="auto"/>
              <w:jc w:val="center"/>
              <w:rPr>
                <w:rFonts w:hint="eastAsia" w:ascii="宋体" w:hAnsi="宋体"/>
                <w:sz w:val="21"/>
                <w:szCs w:val="21"/>
              </w:rPr>
            </w:pPr>
          </w:p>
        </w:tc>
      </w:tr>
      <w:tr>
        <w:trPr>
          <w:trHeight w:val="624" w:hRule="exact"/>
        </w:trPr>
        <w:tc>
          <w:tcPr>
            <w:tcW w:w="3085" w:type="dxa"/>
            <w:vAlign w:val="center"/>
          </w:tcPr>
          <w:p>
            <w:pPr>
              <w:spacing w:line="480" w:lineRule="auto"/>
              <w:jc w:val="center"/>
              <w:rPr>
                <w:rFonts w:hint="eastAsia" w:ascii="宋体" w:hAnsi="宋体"/>
                <w:sz w:val="21"/>
                <w:szCs w:val="21"/>
              </w:rPr>
            </w:pPr>
            <w:r>
              <w:rPr>
                <w:rFonts w:hint="eastAsia" w:ascii="宋体" w:hAnsi="宋体"/>
                <w:sz w:val="21"/>
                <w:szCs w:val="21"/>
              </w:rPr>
              <w:t>接地电阻测试仪</w:t>
            </w:r>
          </w:p>
        </w:tc>
        <w:tc>
          <w:tcPr>
            <w:tcW w:w="992" w:type="dxa"/>
            <w:vAlign w:val="center"/>
          </w:tcPr>
          <w:p>
            <w:pPr>
              <w:spacing w:line="480" w:lineRule="auto"/>
              <w:jc w:val="center"/>
              <w:rPr>
                <w:rFonts w:hint="eastAsia" w:ascii="宋体" w:hAnsi="宋体"/>
                <w:sz w:val="21"/>
                <w:szCs w:val="21"/>
              </w:rPr>
            </w:pPr>
            <w:r>
              <w:rPr>
                <w:rFonts w:hint="eastAsia" w:ascii="宋体" w:hAnsi="宋体"/>
                <w:sz w:val="21"/>
                <w:szCs w:val="21"/>
              </w:rPr>
              <w:t>台</w:t>
            </w:r>
          </w:p>
        </w:tc>
        <w:tc>
          <w:tcPr>
            <w:tcW w:w="2018" w:type="dxa"/>
            <w:vAlign w:val="center"/>
          </w:tcPr>
          <w:p>
            <w:pPr>
              <w:spacing w:line="480" w:lineRule="auto"/>
              <w:jc w:val="center"/>
              <w:rPr>
                <w:rFonts w:hint="eastAsia" w:ascii="宋体" w:hAnsi="宋体"/>
                <w:sz w:val="21"/>
                <w:szCs w:val="21"/>
              </w:rPr>
            </w:pPr>
          </w:p>
        </w:tc>
        <w:tc>
          <w:tcPr>
            <w:tcW w:w="2018" w:type="dxa"/>
            <w:vAlign w:val="center"/>
          </w:tcPr>
          <w:p>
            <w:pPr>
              <w:spacing w:line="480" w:lineRule="auto"/>
              <w:jc w:val="center"/>
              <w:rPr>
                <w:rFonts w:hint="eastAsia" w:ascii="宋体" w:hAnsi="宋体"/>
                <w:sz w:val="21"/>
                <w:szCs w:val="21"/>
              </w:rPr>
            </w:pPr>
          </w:p>
        </w:tc>
        <w:tc>
          <w:tcPr>
            <w:tcW w:w="1657" w:type="dxa"/>
            <w:vAlign w:val="center"/>
          </w:tcPr>
          <w:p>
            <w:pPr>
              <w:spacing w:line="480" w:lineRule="auto"/>
              <w:jc w:val="center"/>
              <w:rPr>
                <w:rFonts w:hint="eastAsia" w:ascii="宋体" w:hAnsi="宋体"/>
                <w:sz w:val="21"/>
                <w:szCs w:val="21"/>
              </w:rPr>
            </w:pPr>
          </w:p>
        </w:tc>
      </w:tr>
      <w:tr>
        <w:trPr>
          <w:trHeight w:val="624" w:hRule="exact"/>
        </w:trPr>
        <w:tc>
          <w:tcPr>
            <w:tcW w:w="3085" w:type="dxa"/>
            <w:vAlign w:val="center"/>
          </w:tcPr>
          <w:p>
            <w:pPr>
              <w:spacing w:line="480" w:lineRule="auto"/>
              <w:jc w:val="center"/>
              <w:rPr>
                <w:rFonts w:hint="eastAsia" w:ascii="宋体" w:hAnsi="宋体"/>
                <w:sz w:val="21"/>
                <w:szCs w:val="21"/>
              </w:rPr>
            </w:pPr>
            <w:r>
              <w:rPr>
                <w:rFonts w:hint="eastAsia" w:ascii="宋体" w:hAnsi="宋体"/>
                <w:sz w:val="21"/>
                <w:szCs w:val="21"/>
              </w:rPr>
              <w:t>变压器变比测试仪</w:t>
            </w:r>
          </w:p>
        </w:tc>
        <w:tc>
          <w:tcPr>
            <w:tcW w:w="992" w:type="dxa"/>
            <w:vAlign w:val="center"/>
          </w:tcPr>
          <w:p>
            <w:pPr>
              <w:spacing w:line="480" w:lineRule="auto"/>
              <w:jc w:val="center"/>
              <w:rPr>
                <w:rFonts w:ascii="宋体" w:hAnsi="宋体"/>
                <w:sz w:val="21"/>
                <w:szCs w:val="21"/>
              </w:rPr>
            </w:pPr>
            <w:r>
              <w:rPr>
                <w:rFonts w:hint="eastAsia" w:ascii="宋体" w:hAnsi="宋体"/>
                <w:sz w:val="21"/>
                <w:szCs w:val="21"/>
              </w:rPr>
              <w:t>台</w:t>
            </w:r>
          </w:p>
        </w:tc>
        <w:tc>
          <w:tcPr>
            <w:tcW w:w="2018" w:type="dxa"/>
            <w:vAlign w:val="center"/>
          </w:tcPr>
          <w:p>
            <w:pPr>
              <w:spacing w:line="480" w:lineRule="auto"/>
              <w:jc w:val="center"/>
              <w:rPr>
                <w:rFonts w:hint="eastAsia" w:ascii="宋体" w:hAnsi="宋体"/>
                <w:sz w:val="21"/>
                <w:szCs w:val="21"/>
              </w:rPr>
            </w:pPr>
          </w:p>
        </w:tc>
        <w:tc>
          <w:tcPr>
            <w:tcW w:w="2018" w:type="dxa"/>
            <w:vAlign w:val="center"/>
          </w:tcPr>
          <w:p>
            <w:pPr>
              <w:spacing w:line="480" w:lineRule="auto"/>
              <w:jc w:val="center"/>
              <w:rPr>
                <w:rFonts w:hint="eastAsia" w:ascii="宋体" w:hAnsi="宋体"/>
                <w:sz w:val="21"/>
                <w:szCs w:val="21"/>
              </w:rPr>
            </w:pPr>
          </w:p>
        </w:tc>
        <w:tc>
          <w:tcPr>
            <w:tcW w:w="1657" w:type="dxa"/>
            <w:vAlign w:val="center"/>
          </w:tcPr>
          <w:p>
            <w:pPr>
              <w:spacing w:line="480" w:lineRule="auto"/>
              <w:jc w:val="center"/>
              <w:rPr>
                <w:rFonts w:hint="eastAsia" w:ascii="宋体" w:hAnsi="宋体"/>
                <w:sz w:val="21"/>
                <w:szCs w:val="21"/>
              </w:rPr>
            </w:pPr>
          </w:p>
        </w:tc>
      </w:tr>
      <w:tr>
        <w:trPr>
          <w:trHeight w:val="624" w:hRule="exact"/>
        </w:trPr>
        <w:tc>
          <w:tcPr>
            <w:tcW w:w="3085" w:type="dxa"/>
            <w:vAlign w:val="center"/>
          </w:tcPr>
          <w:p>
            <w:pPr>
              <w:spacing w:line="480" w:lineRule="auto"/>
              <w:jc w:val="center"/>
              <w:rPr>
                <w:rFonts w:hint="eastAsia" w:ascii="宋体" w:hAnsi="宋体"/>
                <w:sz w:val="21"/>
                <w:szCs w:val="21"/>
              </w:rPr>
            </w:pPr>
            <w:r>
              <w:rPr>
                <w:rFonts w:hint="eastAsia" w:ascii="宋体" w:hAnsi="宋体"/>
                <w:sz w:val="21"/>
                <w:szCs w:val="21"/>
              </w:rPr>
              <w:t>断路器特性测试仪</w:t>
            </w:r>
          </w:p>
        </w:tc>
        <w:tc>
          <w:tcPr>
            <w:tcW w:w="992" w:type="dxa"/>
            <w:vAlign w:val="center"/>
          </w:tcPr>
          <w:p>
            <w:pPr>
              <w:spacing w:line="480" w:lineRule="auto"/>
              <w:jc w:val="center"/>
              <w:rPr>
                <w:rFonts w:ascii="宋体" w:hAnsi="宋体"/>
                <w:sz w:val="21"/>
                <w:szCs w:val="21"/>
              </w:rPr>
            </w:pPr>
            <w:r>
              <w:rPr>
                <w:rFonts w:hint="eastAsia" w:ascii="宋体" w:hAnsi="宋体"/>
                <w:sz w:val="21"/>
                <w:szCs w:val="21"/>
              </w:rPr>
              <w:t>台</w:t>
            </w:r>
          </w:p>
        </w:tc>
        <w:tc>
          <w:tcPr>
            <w:tcW w:w="2018" w:type="dxa"/>
            <w:vAlign w:val="center"/>
          </w:tcPr>
          <w:p>
            <w:pPr>
              <w:spacing w:line="480" w:lineRule="auto"/>
              <w:jc w:val="center"/>
              <w:rPr>
                <w:rFonts w:hint="eastAsia" w:ascii="宋体" w:hAnsi="宋体"/>
                <w:sz w:val="21"/>
                <w:szCs w:val="21"/>
              </w:rPr>
            </w:pPr>
          </w:p>
        </w:tc>
        <w:tc>
          <w:tcPr>
            <w:tcW w:w="2018" w:type="dxa"/>
            <w:vAlign w:val="center"/>
          </w:tcPr>
          <w:p>
            <w:pPr>
              <w:spacing w:line="480" w:lineRule="auto"/>
              <w:jc w:val="center"/>
              <w:rPr>
                <w:rFonts w:hint="eastAsia" w:ascii="宋体" w:hAnsi="宋体"/>
                <w:sz w:val="21"/>
                <w:szCs w:val="21"/>
              </w:rPr>
            </w:pPr>
          </w:p>
        </w:tc>
        <w:tc>
          <w:tcPr>
            <w:tcW w:w="1657" w:type="dxa"/>
            <w:vAlign w:val="center"/>
          </w:tcPr>
          <w:p>
            <w:pPr>
              <w:spacing w:line="480" w:lineRule="auto"/>
              <w:jc w:val="center"/>
              <w:rPr>
                <w:rFonts w:hint="eastAsia" w:ascii="宋体" w:hAnsi="宋体"/>
                <w:sz w:val="21"/>
                <w:szCs w:val="21"/>
              </w:rPr>
            </w:pPr>
          </w:p>
        </w:tc>
      </w:tr>
      <w:tr>
        <w:trPr>
          <w:trHeight w:val="624" w:hRule="exact"/>
        </w:trPr>
        <w:tc>
          <w:tcPr>
            <w:tcW w:w="3085" w:type="dxa"/>
            <w:vAlign w:val="center"/>
          </w:tcPr>
          <w:p>
            <w:pPr>
              <w:spacing w:line="480" w:lineRule="auto"/>
              <w:jc w:val="center"/>
              <w:rPr>
                <w:rFonts w:hint="eastAsia" w:ascii="宋体" w:hAnsi="宋体"/>
                <w:sz w:val="21"/>
                <w:szCs w:val="21"/>
              </w:rPr>
            </w:pPr>
            <w:r>
              <w:rPr>
                <w:rFonts w:hint="eastAsia" w:ascii="宋体" w:hAnsi="宋体"/>
                <w:sz w:val="21"/>
                <w:szCs w:val="21"/>
              </w:rPr>
              <w:t>绝缘电阻测试仪</w:t>
            </w:r>
          </w:p>
        </w:tc>
        <w:tc>
          <w:tcPr>
            <w:tcW w:w="992" w:type="dxa"/>
            <w:vAlign w:val="center"/>
          </w:tcPr>
          <w:p>
            <w:pPr>
              <w:spacing w:line="480" w:lineRule="auto"/>
              <w:jc w:val="center"/>
              <w:rPr>
                <w:rFonts w:ascii="宋体" w:hAnsi="宋体"/>
                <w:sz w:val="21"/>
                <w:szCs w:val="21"/>
              </w:rPr>
            </w:pPr>
            <w:r>
              <w:rPr>
                <w:rFonts w:hint="eastAsia" w:ascii="宋体" w:hAnsi="宋体"/>
                <w:sz w:val="21"/>
                <w:szCs w:val="21"/>
              </w:rPr>
              <w:t>台</w:t>
            </w:r>
          </w:p>
        </w:tc>
        <w:tc>
          <w:tcPr>
            <w:tcW w:w="2018" w:type="dxa"/>
            <w:vAlign w:val="center"/>
          </w:tcPr>
          <w:p>
            <w:pPr>
              <w:spacing w:line="480" w:lineRule="auto"/>
              <w:jc w:val="center"/>
              <w:rPr>
                <w:rFonts w:hint="eastAsia" w:ascii="宋体" w:hAnsi="宋体"/>
                <w:sz w:val="21"/>
                <w:szCs w:val="21"/>
              </w:rPr>
            </w:pPr>
          </w:p>
        </w:tc>
        <w:tc>
          <w:tcPr>
            <w:tcW w:w="2018" w:type="dxa"/>
            <w:vAlign w:val="center"/>
          </w:tcPr>
          <w:p>
            <w:pPr>
              <w:spacing w:line="480" w:lineRule="auto"/>
              <w:jc w:val="center"/>
              <w:rPr>
                <w:rFonts w:hint="eastAsia" w:ascii="宋体" w:hAnsi="宋体"/>
                <w:sz w:val="21"/>
                <w:szCs w:val="21"/>
              </w:rPr>
            </w:pPr>
          </w:p>
        </w:tc>
        <w:tc>
          <w:tcPr>
            <w:tcW w:w="1657" w:type="dxa"/>
            <w:vAlign w:val="center"/>
          </w:tcPr>
          <w:p>
            <w:pPr>
              <w:spacing w:line="480" w:lineRule="auto"/>
              <w:jc w:val="center"/>
              <w:rPr>
                <w:rFonts w:hint="eastAsia" w:ascii="宋体" w:hAnsi="宋体"/>
                <w:sz w:val="21"/>
                <w:szCs w:val="21"/>
              </w:rPr>
            </w:pPr>
          </w:p>
        </w:tc>
      </w:tr>
    </w:tbl>
    <w:p>
      <w:pPr>
        <w:pStyle w:val="20"/>
        <w:rPr>
          <w:rFonts w:hint="eastAsia" w:ascii="宋体" w:hAnsi="宋体" w:eastAsia="宋体" w:cs="宋体"/>
          <w:b/>
          <w:sz w:val="21"/>
        </w:rPr>
      </w:pPr>
    </w:p>
    <w:p>
      <w:pPr>
        <w:pStyle w:val="20"/>
        <w:rPr>
          <w:rFonts w:hint="eastAsia" w:ascii="宋体" w:hAnsi="宋体" w:eastAsia="宋体" w:cs="宋体"/>
          <w:b/>
          <w:sz w:val="21"/>
        </w:rPr>
      </w:pPr>
    </w:p>
    <w:p>
      <w:pPr>
        <w:rPr>
          <w:rFonts w:hint="eastAsia" w:ascii="宋体" w:hAnsi="宋体" w:eastAsia="宋体" w:cs="宋体"/>
          <w:b/>
          <w:sz w:val="21"/>
        </w:rPr>
      </w:pPr>
    </w:p>
    <w:p>
      <w:pPr>
        <w:rPr>
          <w:rFonts w:hint="eastAsia" w:ascii="宋体" w:hAnsi="宋体" w:eastAsia="宋体" w:cs="宋体"/>
          <w:b/>
          <w:sz w:val="21"/>
        </w:rPr>
      </w:pPr>
    </w:p>
    <w:p>
      <w:pPr>
        <w:rPr>
          <w:rFonts w:hint="eastAsia" w:ascii="宋体" w:hAnsi="宋体" w:eastAsia="宋体" w:cs="宋体"/>
          <w:b/>
          <w:sz w:val="21"/>
        </w:rPr>
      </w:pPr>
    </w:p>
    <w:p>
      <w:pPr>
        <w:rPr>
          <w:rFonts w:hint="eastAsia" w:ascii="宋体" w:hAnsi="宋体" w:eastAsia="宋体" w:cs="宋体"/>
          <w:b/>
          <w:sz w:val="21"/>
        </w:rPr>
      </w:pPr>
    </w:p>
    <w:p>
      <w:pPr>
        <w:rPr>
          <w:rFonts w:hint="eastAsia" w:ascii="宋体" w:hAnsi="宋体" w:eastAsia="宋体" w:cs="宋体"/>
          <w:b/>
          <w:sz w:val="21"/>
        </w:rPr>
      </w:pPr>
    </w:p>
    <w:p>
      <w:pPr>
        <w:rPr>
          <w:rFonts w:hint="eastAsia" w:ascii="宋体" w:hAnsi="宋体" w:eastAsia="宋体" w:cs="宋体"/>
          <w:b/>
          <w:sz w:val="21"/>
        </w:rPr>
      </w:pPr>
    </w:p>
    <w:p>
      <w:pPr>
        <w:rPr>
          <w:rFonts w:hint="eastAsia" w:ascii="宋体" w:hAnsi="宋体" w:eastAsia="宋体" w:cs="宋体"/>
          <w:b/>
          <w:sz w:val="28"/>
          <w:szCs w:val="28"/>
        </w:rPr>
      </w:pPr>
      <w:r>
        <w:rPr>
          <w:rFonts w:hint="eastAsia" w:ascii="宋体" w:hAnsi="宋体" w:eastAsia="宋体" w:cs="宋体"/>
          <w:b/>
          <w:sz w:val="28"/>
          <w:szCs w:val="28"/>
        </w:rPr>
        <w:br w:type="page"/>
      </w:r>
    </w:p>
    <w:p>
      <w:pPr>
        <w:pStyle w:val="20"/>
        <w:rPr>
          <w:sz w:val="28"/>
          <w:szCs w:val="28"/>
        </w:rPr>
      </w:pPr>
      <w:r>
        <w:rPr>
          <w:rFonts w:hint="eastAsia" w:ascii="宋体" w:hAnsi="宋体" w:eastAsia="宋体" w:cs="宋体"/>
          <w:b/>
          <w:sz w:val="28"/>
          <w:szCs w:val="28"/>
        </w:rPr>
        <w:t>附件</w:t>
      </w:r>
      <w:r>
        <w:rPr>
          <w:rFonts w:hint="eastAsia" w:ascii="宋体" w:hAnsi="宋体" w:eastAsia="宋体" w:cs="宋体"/>
          <w:b/>
          <w:sz w:val="28"/>
          <w:szCs w:val="28"/>
          <w:lang w:eastAsia="zh-CN"/>
        </w:rPr>
        <w:t>三</w:t>
      </w:r>
      <w:r>
        <w:rPr>
          <w:rFonts w:hint="eastAsia" w:ascii="宋体" w:hAnsi="宋体" w:eastAsia="宋体" w:cs="宋体"/>
          <w:b/>
          <w:sz w:val="28"/>
          <w:szCs w:val="28"/>
        </w:rPr>
        <w:t>：高压试验安全承诺书</w:t>
      </w:r>
    </w:p>
    <w:p>
      <w:pPr>
        <w:pStyle w:val="29"/>
        <w:widowControl w:val="0"/>
        <w:wordWrap/>
        <w:adjustRightInd/>
        <w:snapToGrid/>
        <w:spacing w:line="360" w:lineRule="auto"/>
        <w:ind w:left="0" w:leftChars="0" w:firstLine="0" w:firstLineChars="0"/>
        <w:jc w:val="center"/>
        <w:textAlignment w:val="auto"/>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高压试验安全承诺书</w:t>
      </w:r>
    </w:p>
    <w:p>
      <w:pPr>
        <w:pStyle w:val="29"/>
        <w:widowControl w:val="0"/>
        <w:wordWrap/>
        <w:adjustRightInd/>
        <w:snapToGrid/>
        <w:spacing w:line="360" w:lineRule="auto"/>
        <w:ind w:left="0" w:leftChars="0" w:firstLine="0" w:firstLineChars="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福建省肿瘤医院：</w:t>
      </w:r>
    </w:p>
    <w:p>
      <w:pPr>
        <w:pStyle w:val="29"/>
        <w:widowControl w:val="0"/>
        <w:wordWrap/>
        <w:adjustRightInd/>
        <w:snapToGrid/>
        <w:spacing w:line="360" w:lineRule="auto"/>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为确保在贵院配电房进行耐压试验期间的安全，防止因试验操作导致电气事故、设备损坏或影响医院正常供电，我单位（施工单位）特向贵院作出如下安全承诺：</w:t>
      </w:r>
    </w:p>
    <w:p>
      <w:pPr>
        <w:pStyle w:val="29"/>
        <w:widowControl w:val="0"/>
        <w:wordWrap/>
        <w:adjustRightInd/>
        <w:snapToGrid/>
        <w:spacing w:line="360" w:lineRule="auto"/>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（1）在耐压试验期间，因我方操作不当或管理疏漏导致的一切安全事故（包括但不限于设备损坏、人员触电、供电中断等），均由我单位承担全部责任，并负责赔偿因此造成的直接和间接损失。</w:t>
      </w:r>
    </w:p>
    <w:p>
      <w:pPr>
        <w:pStyle w:val="29"/>
        <w:widowControl w:val="0"/>
        <w:wordWrap/>
        <w:adjustRightInd/>
        <w:snapToGrid/>
        <w:spacing w:line="360" w:lineRule="auto"/>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（2）试验过程严格执行符合福建省机电工程技术规范标准和《DL∕T596-2021电力设备预防性试验规程》、《DL∕T 995-2016 继电保护和电网安全自动装置检验规程》、《DL∕T 976-2017 带电作业工具、装置和设备预防性试验规》及贵院配电房安全管理规定，确保试验安全可控。</w:t>
      </w:r>
    </w:p>
    <w:p>
      <w:pPr>
        <w:pStyle w:val="29"/>
        <w:widowControl w:val="0"/>
        <w:wordWrap/>
        <w:adjustRightInd/>
        <w:snapToGrid/>
        <w:spacing w:line="360" w:lineRule="auto"/>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（3）指定试验安全监督员，全程负责试验安全监督，并与贵院总务科和保卫科等保持实时沟通，遇到突发情况立即启动应急预案，并第一时间报告贵院。</w:t>
      </w:r>
    </w:p>
    <w:p>
      <w:pPr>
        <w:pStyle w:val="29"/>
        <w:widowControl w:val="0"/>
        <w:wordWrap/>
        <w:adjustRightInd/>
        <w:snapToGrid/>
        <w:spacing w:line="36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（4）试验人员均持持证上岗，并提前向贵院报备相关资质。</w:t>
      </w:r>
    </w:p>
    <w:p>
      <w:pPr>
        <w:pStyle w:val="29"/>
        <w:widowControl w:val="0"/>
        <w:wordWrap/>
        <w:adjustRightInd/>
        <w:snapToGrid/>
        <w:spacing w:line="360" w:lineRule="auto"/>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（5）试验前3个工作日向贵院提交《耐压试验方案》（含试验电压、时间、影响范围及应急措施），经批准后方可实施。</w:t>
      </w:r>
    </w:p>
    <w:p>
      <w:pPr>
        <w:pStyle w:val="29"/>
        <w:widowControl w:val="0"/>
        <w:wordWrap/>
        <w:adjustRightInd/>
        <w:snapToGrid/>
        <w:spacing w:line="360" w:lineRule="auto"/>
        <w:ind w:left="0" w:leftChars="0" w:firstLine="420" w:firstLineChars="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（6）关键供电回路试验前，与贵院高压班共同确认备用电源切换方案，确保ICU、手术室等重点区域供电不受影响。</w:t>
      </w:r>
    </w:p>
    <w:p>
      <w:pPr>
        <w:pStyle w:val="29"/>
        <w:widowControl w:val="0"/>
        <w:wordWrap/>
        <w:adjustRightInd/>
        <w:snapToGrid/>
        <w:spacing w:line="360" w:lineRule="auto"/>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（7）试验区域设置警示牌及警戒线，非试验人员严禁进入，若试验导致意外停电，立即配合贵院启用备用电源，优先保障医疗用电。</w:t>
      </w:r>
    </w:p>
    <w:p>
      <w:pPr>
        <w:pStyle w:val="29"/>
        <w:widowControl w:val="0"/>
        <w:wordWrap/>
        <w:adjustRightInd/>
        <w:snapToGrid/>
        <w:spacing w:line="360" w:lineRule="auto"/>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（8）试验期间如需动火作业（如电焊等），提前24小时向保卫科报备，并配备灭火器材（如干粉灭火器、防火毯）。</w:t>
      </w:r>
    </w:p>
    <w:p>
      <w:pPr>
        <w:pStyle w:val="29"/>
        <w:widowControl w:val="0"/>
        <w:wordWrap/>
        <w:adjustRightInd/>
        <w:snapToGrid/>
        <w:spacing w:line="360" w:lineRule="auto"/>
        <w:ind w:firstLine="420"/>
        <w:textAlignment w:val="auto"/>
      </w:pPr>
      <w:r>
        <w:rPr>
          <w:rFonts w:hint="eastAsia" w:ascii="宋体" w:hAnsi="宋体" w:eastAsia="宋体" w:cs="宋体"/>
          <w:kern w:val="0"/>
          <w:sz w:val="24"/>
          <w:szCs w:val="24"/>
          <w:lang w:val="en-US" w:eastAsia="zh-CN" w:bidi="ar-SA"/>
        </w:rPr>
        <w:t>（9）试验后对设备充分放电并接地，经贵院确认后恢复供电。清理试验现场，确保配电房环境整洁，无遗留安全隐患。</w:t>
      </w:r>
    </w:p>
    <w:p>
      <w:pPr>
        <w:adjustRightInd/>
        <w:snapToGrid/>
        <w:spacing w:before="150" w:after="0" w:line="480" w:lineRule="atLeast"/>
        <w:rPr>
          <w:rFonts w:hint="eastAsia" w:ascii="黑体" w:hAnsi="黑体" w:eastAsia="黑体" w:cs="宋体"/>
          <w:b/>
          <w:bCs/>
          <w:color w:val="404040"/>
          <w:sz w:val="26"/>
        </w:rPr>
      </w:pPr>
      <w:r>
        <w:rPr>
          <w:b/>
          <w:sz w:val="32"/>
          <w:szCs w:val="32"/>
        </w:rPr>
        <w:br w:type="page"/>
      </w:r>
      <w:r>
        <w:rPr>
          <w:rFonts w:hint="eastAsia" w:ascii="黑体" w:hAnsi="黑体" w:eastAsia="黑体" w:cs="宋体"/>
          <w:b/>
          <w:bCs/>
          <w:color w:val="404040"/>
          <w:sz w:val="26"/>
        </w:rPr>
        <w:t>评分标准（潜在投标人需提供偏离表）</w:t>
      </w:r>
    </w:p>
    <w:p>
      <w:pPr>
        <w:pStyle w:val="19"/>
        <w:spacing w:beforeAutospacing="0" w:afterAutospacing="0" w:line="360" w:lineRule="auto"/>
        <w:ind w:firstLine="480" w:firstLineChars="200"/>
        <w:rPr>
          <w:rFonts w:hint="eastAsia"/>
        </w:rPr>
      </w:pPr>
      <w:r>
        <w:rPr>
          <w:rFonts w:hint="eastAsia"/>
        </w:rPr>
        <w:t>①</w:t>
      </w:r>
      <w:r>
        <w:rPr>
          <w:rFonts w:hint="eastAsia"/>
          <w:shd w:val="clear" w:color="auto" w:fill="FFFFFF"/>
        </w:rPr>
        <w:t>价格项（</w:t>
      </w:r>
      <w:r>
        <w:rPr>
          <w:rFonts w:cs="Calibri"/>
          <w:shd w:val="clear" w:color="auto" w:fill="FFFFFF"/>
        </w:rPr>
        <w:t>F1</w:t>
      </w:r>
      <w:r>
        <w:rPr>
          <w:rFonts w:hint="eastAsia"/>
          <w:shd w:val="clear" w:color="auto" w:fill="FFFFFF"/>
        </w:rPr>
        <w:t>×</w:t>
      </w:r>
      <w:r>
        <w:rPr>
          <w:rFonts w:cs="Calibri"/>
          <w:shd w:val="clear" w:color="auto" w:fill="FFFFFF"/>
        </w:rPr>
        <w:t>A1</w:t>
      </w:r>
      <w:r>
        <w:rPr>
          <w:rFonts w:hint="eastAsia"/>
          <w:shd w:val="clear" w:color="auto" w:fill="FFFFFF"/>
        </w:rPr>
        <w:t>）满分为</w:t>
      </w:r>
      <w:r>
        <w:rPr>
          <w:rFonts w:hint="eastAsia"/>
          <w:u w:val="single"/>
          <w:shd w:val="clear" w:color="auto" w:fill="FFFFFF"/>
          <w:lang w:val="en-US" w:eastAsia="zh-CN"/>
        </w:rPr>
        <w:t>2</w:t>
      </w:r>
      <w:r>
        <w:rPr>
          <w:rFonts w:hint="eastAsia"/>
          <w:u w:val="single"/>
          <w:shd w:val="clear" w:color="auto" w:fill="FFFFFF"/>
        </w:rPr>
        <w:t>0</w:t>
      </w:r>
      <w:r>
        <w:rPr>
          <w:rFonts w:hint="eastAsia"/>
          <w:shd w:val="clear" w:color="auto" w:fill="FFFFFF"/>
        </w:rPr>
        <w:t>分。</w:t>
      </w:r>
    </w:p>
    <w:tbl>
      <w:tblPr>
        <w:tblW w:w="9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7582"/>
        <w:gridCol w:w="982"/>
      </w:tblGrid>
      <w:tr>
        <w:trPr>
          <w:trHeight w:val="90"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评标项目</w:t>
            </w:r>
          </w:p>
        </w:tc>
        <w:tc>
          <w:tcPr>
            <w:tcW w:w="75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评标方法描述</w:t>
            </w:r>
          </w:p>
        </w:tc>
        <w:tc>
          <w:tcPr>
            <w:tcW w:w="982" w:type="dxa"/>
            <w:tcBorders>
              <w:top w:val="single" w:color="auto" w:sz="4" w:space="0"/>
              <w:left w:val="single" w:color="auto" w:sz="4" w:space="0"/>
              <w:bottom w:val="single" w:color="auto" w:sz="4" w:space="0"/>
              <w:right w:val="single" w:color="auto" w:sz="4" w:space="0"/>
            </w:tcBorders>
            <w:vAlign w:val="center"/>
          </w:tcPr>
          <w:p>
            <w:pPr>
              <w:spacing w:line="360" w:lineRule="auto"/>
              <w:ind w:left="-110" w:leftChars="-50" w:right="-110" w:rightChars="-50"/>
              <w:jc w:val="center"/>
              <w:rPr>
                <w:rFonts w:hint="eastAsia" w:ascii="宋体" w:hAnsi="宋体" w:eastAsia="宋体" w:cs="宋体"/>
                <w:b/>
                <w:bCs/>
                <w:sz w:val="24"/>
              </w:rPr>
            </w:pPr>
            <w:r>
              <w:rPr>
                <w:rFonts w:hint="eastAsia" w:ascii="宋体" w:hAnsi="宋体" w:eastAsia="宋体" w:cs="宋体"/>
                <w:b/>
                <w:bCs/>
                <w:sz w:val="24"/>
              </w:rPr>
              <w:t>评标分值</w:t>
            </w:r>
          </w:p>
        </w:tc>
      </w:tr>
      <w:tr>
        <w:trPr>
          <w:trHeight w:val="3901"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报价部分得分</w:t>
            </w:r>
          </w:p>
          <w:p>
            <w:pPr>
              <w:spacing w:line="360" w:lineRule="auto"/>
              <w:ind w:left="-77" w:leftChars="-35" w:right="-77" w:rightChars="-35"/>
              <w:jc w:val="center"/>
              <w:rPr>
                <w:rFonts w:hint="eastAsia" w:ascii="宋体" w:hAnsi="宋体" w:eastAsia="宋体" w:cs="宋体"/>
                <w:sz w:val="24"/>
              </w:rPr>
            </w:pPr>
            <w:r>
              <w:rPr>
                <w:rFonts w:hint="eastAsia" w:ascii="宋体" w:hAnsi="宋体" w:eastAsia="宋体" w:cs="宋体"/>
                <w:sz w:val="24"/>
              </w:rPr>
              <w:t>(20分)</w:t>
            </w:r>
          </w:p>
        </w:tc>
        <w:tc>
          <w:tcPr>
            <w:tcW w:w="758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投标人的投标总价经修正后，计算出报价评标价，评委将按下列方法计算合格投标人的报价部分得分。</w:t>
            </w:r>
          </w:p>
          <w:p>
            <w:pPr>
              <w:spacing w:line="360" w:lineRule="auto"/>
              <w:rPr>
                <w:rFonts w:hint="eastAsia" w:ascii="宋体" w:hAnsi="宋体" w:eastAsia="宋体" w:cs="宋体"/>
                <w:sz w:val="24"/>
              </w:rPr>
            </w:pPr>
            <w:r>
              <w:rPr>
                <w:rFonts w:hint="eastAsia" w:ascii="宋体" w:hAnsi="宋体" w:eastAsia="宋体" w:cs="宋体"/>
                <w:sz w:val="24"/>
              </w:rPr>
              <w:t>A=H/Hn×20％×100</w:t>
            </w:r>
          </w:p>
          <w:p>
            <w:pPr>
              <w:pStyle w:val="11"/>
              <w:spacing w:beforeAutospacing="1" w:after="0" w:line="360" w:lineRule="auto"/>
              <w:rPr>
                <w:rFonts w:hint="eastAsia" w:ascii="宋体" w:eastAsia="宋体" w:cs="宋体"/>
                <w:sz w:val="24"/>
                <w:szCs w:val="24"/>
              </w:rPr>
            </w:pPr>
            <w:r>
              <w:rPr>
                <w:rFonts w:ascii="宋体" w:eastAsia="宋体" w:cs="宋体"/>
                <w:sz w:val="24"/>
                <w:szCs w:val="24"/>
              </w:rPr>
              <w:t>Hn：各投标供应商投标报价不超过最高限价即为有效投标报价。  </w:t>
            </w:r>
          </w:p>
          <w:p>
            <w:pPr>
              <w:pStyle w:val="11"/>
              <w:spacing w:beforeAutospacing="1" w:after="0" w:line="360" w:lineRule="auto"/>
              <w:rPr>
                <w:rFonts w:hint="eastAsia" w:ascii="宋体" w:eastAsia="宋体" w:cs="宋体"/>
                <w:sz w:val="24"/>
                <w:szCs w:val="24"/>
              </w:rPr>
            </w:pPr>
            <w:r>
              <w:rPr>
                <w:rFonts w:ascii="宋体" w:eastAsia="宋体" w:cs="宋体"/>
                <w:sz w:val="24"/>
                <w:szCs w:val="24"/>
              </w:rPr>
              <w:t>H：评标基准价即满足招标文件要求且投标价格最低的投标报价为评标基准价。   </w:t>
            </w:r>
          </w:p>
          <w:p>
            <w:pPr>
              <w:pStyle w:val="11"/>
              <w:spacing w:beforeAutospacing="1" w:after="0" w:line="360" w:lineRule="auto"/>
              <w:rPr>
                <w:rFonts w:hint="eastAsia" w:ascii="宋体" w:eastAsia="宋体" w:cs="宋体"/>
                <w:sz w:val="24"/>
                <w:szCs w:val="24"/>
              </w:rPr>
            </w:pPr>
            <w:r>
              <w:rPr>
                <w:rFonts w:ascii="宋体" w:eastAsia="宋体" w:cs="宋体"/>
                <w:sz w:val="24"/>
                <w:szCs w:val="24"/>
              </w:rPr>
              <w:t>计算分数时四舍五入取小数点后两位。</w:t>
            </w:r>
          </w:p>
          <w:p>
            <w:pPr>
              <w:spacing w:line="360" w:lineRule="auto"/>
              <w:rPr>
                <w:rFonts w:hint="eastAsia" w:ascii="宋体" w:hAnsi="宋体" w:eastAsia="宋体" w:cs="宋体"/>
                <w:sz w:val="24"/>
              </w:rPr>
            </w:pPr>
            <w:r>
              <w:rPr>
                <w:rFonts w:hint="eastAsia" w:ascii="宋体" w:hAnsi="宋体" w:eastAsia="宋体" w:cs="宋体"/>
                <w:sz w:val="24"/>
              </w:rPr>
              <w:t>注：若有价格扣除，用扣除后的价格参与评审。</w:t>
            </w:r>
          </w:p>
        </w:tc>
        <w:tc>
          <w:tcPr>
            <w:tcW w:w="9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20</w:t>
            </w:r>
          </w:p>
        </w:tc>
      </w:tr>
    </w:tbl>
    <w:p>
      <w:pPr>
        <w:pStyle w:val="19"/>
        <w:spacing w:beforeAutospacing="0" w:afterAutospacing="0" w:line="360" w:lineRule="auto"/>
        <w:rPr>
          <w:rFonts w:hint="eastAsia" w:eastAsia="宋体"/>
          <w:shd w:val="clear" w:color="auto" w:fill="FFFFFF"/>
          <w:lang w:val="en-US" w:eastAsia="zh-CN"/>
        </w:rPr>
      </w:pPr>
    </w:p>
    <w:p>
      <w:pPr>
        <w:pStyle w:val="19"/>
        <w:spacing w:beforeAutospacing="0" w:afterAutospacing="0" w:line="360" w:lineRule="auto"/>
        <w:ind w:firstLine="240" w:firstLineChars="100"/>
        <w:rPr>
          <w:rFonts w:hint="eastAsia"/>
          <w:shd w:val="clear" w:color="auto" w:fill="FFFFFF"/>
        </w:rPr>
      </w:pPr>
      <w:r>
        <w:rPr>
          <w:rFonts w:hint="eastAsia"/>
          <w:shd w:val="clear" w:color="auto" w:fill="FFFFFF"/>
        </w:rPr>
        <w:t>②技术项（</w:t>
      </w:r>
      <w:r>
        <w:rPr>
          <w:rFonts w:cs="Calibri"/>
          <w:shd w:val="clear" w:color="auto" w:fill="FFFFFF"/>
        </w:rPr>
        <w:t>F2</w:t>
      </w:r>
      <w:r>
        <w:rPr>
          <w:rFonts w:hint="eastAsia"/>
          <w:shd w:val="clear" w:color="auto" w:fill="FFFFFF"/>
        </w:rPr>
        <w:t>×</w:t>
      </w:r>
      <w:r>
        <w:rPr>
          <w:rFonts w:cs="Calibri"/>
          <w:shd w:val="clear" w:color="auto" w:fill="FFFFFF"/>
        </w:rPr>
        <w:t>A2</w:t>
      </w:r>
      <w:r>
        <w:rPr>
          <w:rFonts w:hint="eastAsia"/>
          <w:shd w:val="clear" w:color="auto" w:fill="FFFFFF"/>
        </w:rPr>
        <w:t>）满分为</w:t>
      </w:r>
      <w:r>
        <w:rPr>
          <w:rFonts w:hint="eastAsia"/>
          <w:u w:val="single"/>
          <w:shd w:val="clear" w:color="auto" w:fill="FFFFFF"/>
          <w:lang w:val="en-US" w:eastAsia="zh-CN"/>
        </w:rPr>
        <w:t>66</w:t>
      </w:r>
      <w:r>
        <w:rPr>
          <w:rFonts w:hint="eastAsia"/>
          <w:shd w:val="clear" w:color="auto" w:fill="FFFFFF"/>
        </w:rPr>
        <w:t>分。</w:t>
      </w:r>
    </w:p>
    <w:tbl>
      <w:tblPr>
        <w:tblW w:w="9382"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28"/>
        <w:gridCol w:w="702"/>
        <w:gridCol w:w="7652"/>
      </w:tblGrid>
      <w:tr>
        <w:trPr>
          <w:jc w:val="center"/>
        </w:trPr>
        <w:tc>
          <w:tcPr>
            <w:tcW w:w="1028" w:type="dxa"/>
            <w:tcBorders>
              <w:top w:val="outset" w:color="auto" w:sz="6" w:space="0"/>
              <w:left w:val="outset" w:color="auto" w:sz="6" w:space="0"/>
              <w:bottom w:val="outset" w:color="auto" w:sz="6" w:space="0"/>
              <w:right w:val="outset" w:color="auto" w:sz="6" w:space="0"/>
            </w:tcBorders>
            <w:vAlign w:val="center"/>
          </w:tcPr>
          <w:p>
            <w:pPr>
              <w:rPr>
                <w:rFonts w:hint="eastAsia" w:ascii="宋体" w:hAnsi="宋体" w:eastAsia="宋体" w:cs="宋体"/>
                <w:sz w:val="24"/>
              </w:rPr>
            </w:pPr>
            <w:r>
              <w:rPr>
                <w:rFonts w:hint="eastAsia" w:ascii="宋体" w:hAnsi="宋体" w:eastAsia="宋体" w:cs="宋体"/>
                <w:sz w:val="24"/>
              </w:rPr>
              <w:t>评标项目</w:t>
            </w:r>
          </w:p>
        </w:tc>
        <w:tc>
          <w:tcPr>
            <w:tcW w:w="702" w:type="dxa"/>
            <w:tcBorders>
              <w:top w:val="outset" w:color="auto" w:sz="6" w:space="0"/>
              <w:left w:val="nil"/>
              <w:bottom w:val="outset" w:color="auto" w:sz="6" w:space="0"/>
              <w:right w:val="outset" w:color="auto" w:sz="6" w:space="0"/>
            </w:tcBorders>
            <w:vAlign w:val="center"/>
          </w:tcPr>
          <w:p>
            <w:pPr>
              <w:jc w:val="center"/>
              <w:rPr>
                <w:rFonts w:hint="eastAsia" w:ascii="宋体" w:hAnsi="宋体" w:eastAsia="宋体" w:cs="宋体"/>
                <w:sz w:val="24"/>
              </w:rPr>
            </w:pPr>
            <w:r>
              <w:rPr>
                <w:rFonts w:hint="eastAsia" w:ascii="宋体" w:hAnsi="宋体" w:eastAsia="宋体" w:cs="宋体"/>
                <w:sz w:val="24"/>
              </w:rPr>
              <w:t>评标分值</w:t>
            </w:r>
          </w:p>
        </w:tc>
        <w:tc>
          <w:tcPr>
            <w:tcW w:w="7652" w:type="dxa"/>
            <w:tcBorders>
              <w:top w:val="outset" w:color="auto" w:sz="6" w:space="0"/>
              <w:left w:val="nil"/>
              <w:bottom w:val="outset" w:color="auto" w:sz="6" w:space="0"/>
              <w:right w:val="outset" w:color="auto" w:sz="6" w:space="0"/>
            </w:tcBorders>
            <w:vAlign w:val="center"/>
          </w:tcPr>
          <w:p>
            <w:pPr>
              <w:rPr>
                <w:rFonts w:hint="eastAsia" w:ascii="宋体" w:hAnsi="宋体" w:eastAsia="宋体" w:cs="宋体"/>
                <w:sz w:val="24"/>
              </w:rPr>
            </w:pPr>
            <w:r>
              <w:rPr>
                <w:rFonts w:hint="eastAsia" w:ascii="宋体" w:hAnsi="宋体" w:eastAsia="宋体" w:cs="宋体"/>
                <w:sz w:val="24"/>
              </w:rPr>
              <w:t>评标方法描述</w:t>
            </w:r>
          </w:p>
        </w:tc>
      </w:tr>
      <w:tr>
        <w:trPr>
          <w:trHeight w:val="1912" w:hRule="atLeast"/>
          <w:jc w:val="center"/>
        </w:trPr>
        <w:tc>
          <w:tcPr>
            <w:tcW w:w="1028" w:type="dxa"/>
            <w:tcBorders>
              <w:top w:val="outset" w:color="auto" w:sz="6" w:space="0"/>
              <w:left w:val="outset" w:color="auto" w:sz="6" w:space="0"/>
              <w:bottom w:val="outset" w:color="auto" w:sz="6" w:space="0"/>
              <w:right w:val="outset" w:color="auto" w:sz="6" w:space="0"/>
            </w:tcBorders>
            <w:vAlign w:val="center"/>
          </w:tcPr>
          <w:p>
            <w:pPr>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rPr>
              <w:t>1、</w:t>
            </w:r>
            <w:r>
              <w:rPr>
                <w:rFonts w:hint="eastAsia" w:ascii="宋体" w:hAnsi="宋体" w:eastAsia="宋体" w:cs="宋体"/>
                <w:b w:val="0"/>
                <w:bCs w:val="0"/>
                <w:color w:val="auto"/>
                <w:sz w:val="24"/>
                <w:szCs w:val="24"/>
              </w:rPr>
              <w:t>响应情况</w:t>
            </w:r>
          </w:p>
        </w:tc>
        <w:tc>
          <w:tcPr>
            <w:tcW w:w="702" w:type="dxa"/>
            <w:tcBorders>
              <w:top w:val="outset" w:color="auto" w:sz="6" w:space="0"/>
              <w:left w:val="nil"/>
              <w:bottom w:val="outset" w:color="auto" w:sz="6" w:space="0"/>
              <w:right w:val="outset" w:color="auto" w:sz="6"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46.00</w:t>
            </w:r>
          </w:p>
        </w:tc>
        <w:tc>
          <w:tcPr>
            <w:tcW w:w="7652" w:type="dxa"/>
            <w:tcBorders>
              <w:top w:val="outset" w:color="auto" w:sz="6" w:space="0"/>
              <w:left w:val="nil"/>
              <w:bottom w:val="outset" w:color="auto" w:sz="6" w:space="0"/>
              <w:right w:val="outset" w:color="auto" w:sz="6" w:space="0"/>
            </w:tcBorders>
            <w:vAlign w:val="top"/>
          </w:tcPr>
          <w:p>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bidi="en-US"/>
              </w:rPr>
              <w:t>根据各投标人对招标文件附件中“一、技术要求”中的响应情况由招标小组进行评分，完全满足招标文件要求的得</w:t>
            </w:r>
            <w:r>
              <w:rPr>
                <w:rFonts w:hint="eastAsia" w:ascii="宋体" w:hAnsi="宋体" w:eastAsia="宋体" w:cs="宋体"/>
                <w:b w:val="0"/>
                <w:bCs w:val="0"/>
                <w:color w:val="auto"/>
                <w:sz w:val="24"/>
                <w:szCs w:val="24"/>
                <w:lang w:val="en-US" w:eastAsia="zh-CN" w:bidi="en-US"/>
              </w:rPr>
              <w:t>46</w:t>
            </w:r>
            <w:r>
              <w:rPr>
                <w:rFonts w:hint="eastAsia" w:ascii="宋体" w:hAnsi="宋体" w:eastAsia="宋体" w:cs="宋体"/>
                <w:b w:val="0"/>
                <w:bCs w:val="0"/>
                <w:color w:val="auto"/>
                <w:sz w:val="24"/>
                <w:szCs w:val="24"/>
                <w:lang w:bidi="en-US"/>
              </w:rPr>
              <w:t>分。（一）设备要求14项提供一项得1分，未提供不得分。（二）施工要求8项提供一项得2</w:t>
            </w:r>
            <w:r>
              <w:rPr>
                <w:rFonts w:hint="eastAsia" w:ascii="宋体" w:hAnsi="宋体" w:eastAsia="宋体" w:cs="宋体"/>
                <w:b w:val="0"/>
                <w:bCs w:val="0"/>
                <w:color w:val="auto"/>
                <w:sz w:val="24"/>
                <w:szCs w:val="24"/>
                <w:lang w:val="en-US" w:eastAsia="zh-CN" w:bidi="en-US"/>
              </w:rPr>
              <w:t>.5</w:t>
            </w:r>
            <w:r>
              <w:rPr>
                <w:rFonts w:hint="eastAsia" w:ascii="宋体" w:hAnsi="宋体" w:eastAsia="宋体" w:cs="宋体"/>
                <w:b w:val="0"/>
                <w:bCs w:val="0"/>
                <w:color w:val="auto"/>
                <w:sz w:val="24"/>
                <w:szCs w:val="24"/>
                <w:lang w:bidi="en-US"/>
              </w:rPr>
              <w:t>分，未提供不得分。（三）其他要求</w:t>
            </w:r>
            <w:r>
              <w:rPr>
                <w:rFonts w:hint="eastAsia" w:ascii="宋体" w:hAnsi="宋体" w:eastAsia="宋体" w:cs="宋体"/>
                <w:b w:val="0"/>
                <w:bCs w:val="0"/>
                <w:color w:val="auto"/>
                <w:sz w:val="24"/>
                <w:szCs w:val="24"/>
                <w:lang w:val="en-US" w:eastAsia="zh-CN" w:bidi="en-US"/>
              </w:rPr>
              <w:t>6</w:t>
            </w:r>
            <w:r>
              <w:rPr>
                <w:rFonts w:hint="eastAsia" w:ascii="宋体" w:hAnsi="宋体" w:eastAsia="宋体" w:cs="宋体"/>
                <w:b w:val="0"/>
                <w:bCs w:val="0"/>
                <w:color w:val="auto"/>
                <w:sz w:val="24"/>
                <w:szCs w:val="24"/>
                <w:lang w:bidi="en-US"/>
              </w:rPr>
              <w:t>项提供一项得</w:t>
            </w:r>
            <w:r>
              <w:rPr>
                <w:rFonts w:hint="eastAsia" w:ascii="宋体" w:hAnsi="宋体" w:eastAsia="宋体" w:cs="宋体"/>
                <w:b w:val="0"/>
                <w:bCs w:val="0"/>
                <w:color w:val="auto"/>
                <w:sz w:val="24"/>
                <w:szCs w:val="24"/>
                <w:lang w:val="en-US" w:eastAsia="zh-CN" w:bidi="en-US"/>
              </w:rPr>
              <w:t>2</w:t>
            </w:r>
            <w:r>
              <w:rPr>
                <w:rFonts w:hint="eastAsia" w:ascii="宋体" w:hAnsi="宋体" w:eastAsia="宋体" w:cs="宋体"/>
                <w:b w:val="0"/>
                <w:bCs w:val="0"/>
                <w:color w:val="auto"/>
                <w:sz w:val="24"/>
                <w:szCs w:val="24"/>
                <w:lang w:bidi="en-US"/>
              </w:rPr>
              <w:t>分，未提供不得分。正偏离不加分。</w:t>
            </w:r>
          </w:p>
        </w:tc>
      </w:tr>
      <w:tr>
        <w:trPr>
          <w:jc w:val="center"/>
        </w:trPr>
        <w:tc>
          <w:tcPr>
            <w:tcW w:w="1028" w:type="dxa"/>
            <w:tcBorders>
              <w:top w:val="outset" w:color="auto" w:sz="6" w:space="0"/>
              <w:left w:val="outset" w:color="auto" w:sz="6" w:space="0"/>
              <w:bottom w:val="outset" w:color="auto" w:sz="6" w:space="0"/>
              <w:right w:val="outset" w:color="auto" w:sz="6" w:space="0"/>
            </w:tcBorders>
            <w:vAlign w:val="top"/>
          </w:tcPr>
          <w:p>
            <w:pP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eastAsia="zh-CN"/>
              </w:rPr>
              <w:t>实施方案</w:t>
            </w:r>
          </w:p>
        </w:tc>
        <w:tc>
          <w:tcPr>
            <w:tcW w:w="702" w:type="dxa"/>
            <w:tcBorders>
              <w:top w:val="outset" w:color="auto" w:sz="6" w:space="0"/>
              <w:left w:val="nil"/>
              <w:bottom w:val="outset" w:color="auto" w:sz="6" w:space="0"/>
              <w:right w:val="outset" w:color="auto" w:sz="6" w:space="0"/>
            </w:tcBorders>
            <w:vAlign w:val="top"/>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3.00</w:t>
            </w:r>
          </w:p>
        </w:tc>
        <w:tc>
          <w:tcPr>
            <w:tcW w:w="7652" w:type="dxa"/>
            <w:tcBorders>
              <w:top w:val="outset" w:color="auto" w:sz="6" w:space="0"/>
              <w:left w:val="nil"/>
              <w:bottom w:val="outset" w:color="auto" w:sz="6" w:space="0"/>
              <w:right w:val="outset" w:color="auto" w:sz="6" w:space="0"/>
            </w:tcBorders>
            <w:vAlign w:val="top"/>
          </w:tcPr>
          <w:p>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招标小组根据投标人所提供的</w:t>
            </w:r>
            <w:r>
              <w:rPr>
                <w:rFonts w:hint="eastAsia" w:ascii="宋体" w:hAnsi="宋体" w:eastAsia="宋体" w:cs="宋体"/>
                <w:b w:val="0"/>
                <w:bCs w:val="0"/>
                <w:color w:val="auto"/>
                <w:sz w:val="24"/>
                <w:szCs w:val="24"/>
                <w:lang w:eastAsia="zh-CN"/>
              </w:rPr>
              <w:t>实施方案</w:t>
            </w:r>
            <w:r>
              <w:rPr>
                <w:rFonts w:hint="eastAsia" w:ascii="宋体" w:hAnsi="宋体" w:eastAsia="宋体" w:cs="宋体"/>
                <w:b w:val="0"/>
                <w:bCs w:val="0"/>
                <w:color w:val="auto"/>
                <w:sz w:val="24"/>
                <w:szCs w:val="24"/>
              </w:rPr>
              <w:t>情况，</w:t>
            </w:r>
            <w:r>
              <w:rPr>
                <w:rFonts w:hint="eastAsia" w:ascii="宋体" w:hAnsi="宋体" w:eastAsia="宋体" w:cs="宋体"/>
                <w:b w:val="0"/>
                <w:bCs w:val="0"/>
                <w:color w:val="auto"/>
                <w:sz w:val="24"/>
                <w:szCs w:val="24"/>
                <w:lang w:eastAsia="zh-CN"/>
              </w:rPr>
              <w:t>包括操作方案、进度计划、</w:t>
            </w:r>
            <w:r>
              <w:rPr>
                <w:rFonts w:hint="eastAsia" w:ascii="宋体" w:hAnsi="宋体" w:eastAsia="宋体" w:cs="宋体"/>
                <w:b w:val="0"/>
                <w:bCs w:val="0"/>
                <w:color w:val="auto"/>
                <w:sz w:val="24"/>
                <w:szCs w:val="24"/>
              </w:rPr>
              <w:t>项目重难点的分析与现场环境协调情况进行评分，方案详实、阐述清晰、科学合理、可操作性强，切合项目实际的得3分；方案阐述合理，虽部分内容表述有所欠缺，但总体符合项目实际、具有可操作性的得2</w:t>
            </w:r>
            <w:r>
              <w:rPr>
                <w:rFonts w:hint="eastAsia" w:ascii="宋体" w:hAnsi="宋体" w:cs="宋体"/>
                <w:b w:val="0"/>
                <w:bCs w:val="0"/>
                <w:color w:val="auto"/>
                <w:sz w:val="24"/>
                <w:szCs w:val="24"/>
              </w:rPr>
              <w:t>.75</w:t>
            </w:r>
            <w:r>
              <w:rPr>
                <w:rFonts w:hint="eastAsia" w:ascii="宋体" w:hAnsi="宋体" w:eastAsia="宋体" w:cs="宋体"/>
                <w:b w:val="0"/>
                <w:bCs w:val="0"/>
                <w:color w:val="auto"/>
                <w:sz w:val="24"/>
                <w:szCs w:val="24"/>
              </w:rPr>
              <w:t>分；方案与本项目实际情况存在一定偏差，但内容总体合理的得</w:t>
            </w:r>
            <w:r>
              <w:rPr>
                <w:rFonts w:hint="eastAsia" w:ascii="宋体" w:hAnsi="宋体" w:cs="宋体"/>
                <w:b w:val="0"/>
                <w:bCs w:val="0"/>
                <w:color w:val="auto"/>
                <w:sz w:val="24"/>
                <w:szCs w:val="24"/>
              </w:rPr>
              <w:t>2.5</w:t>
            </w:r>
            <w:r>
              <w:rPr>
                <w:rFonts w:hint="eastAsia" w:ascii="宋体" w:hAnsi="宋体" w:eastAsia="宋体" w:cs="宋体"/>
                <w:b w:val="0"/>
                <w:bCs w:val="0"/>
                <w:color w:val="auto"/>
                <w:sz w:val="24"/>
                <w:szCs w:val="24"/>
              </w:rPr>
              <w:t>分；未提供方案或方案不合理的本项不得分。</w:t>
            </w:r>
          </w:p>
        </w:tc>
      </w:tr>
      <w:tr>
        <w:trPr>
          <w:jc w:val="center"/>
        </w:trPr>
        <w:tc>
          <w:tcPr>
            <w:tcW w:w="1028" w:type="dxa"/>
            <w:tcBorders>
              <w:top w:val="outset" w:color="auto" w:sz="6" w:space="0"/>
              <w:left w:val="outset" w:color="auto" w:sz="6" w:space="0"/>
              <w:bottom w:val="outset" w:color="auto" w:sz="6" w:space="0"/>
              <w:right w:val="outset" w:color="auto" w:sz="6" w:space="0"/>
            </w:tcBorders>
            <w:vAlign w:val="top"/>
          </w:tcPr>
          <w:p>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3、现场组织机构、职责、运行方式及保障措施情况</w:t>
            </w:r>
          </w:p>
        </w:tc>
        <w:tc>
          <w:tcPr>
            <w:tcW w:w="702" w:type="dxa"/>
            <w:tcBorders>
              <w:top w:val="outset" w:color="auto" w:sz="6" w:space="0"/>
              <w:left w:val="nil"/>
              <w:bottom w:val="outset" w:color="auto" w:sz="6" w:space="0"/>
              <w:right w:val="outset" w:color="auto" w:sz="6" w:space="0"/>
            </w:tcBorders>
            <w:vAlign w:val="top"/>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3.00</w:t>
            </w:r>
          </w:p>
        </w:tc>
        <w:tc>
          <w:tcPr>
            <w:tcW w:w="7652" w:type="dxa"/>
            <w:tcBorders>
              <w:top w:val="outset" w:color="auto" w:sz="6" w:space="0"/>
              <w:left w:val="nil"/>
              <w:bottom w:val="outset" w:color="auto" w:sz="6" w:space="0"/>
              <w:right w:val="outset" w:color="auto" w:sz="6" w:space="0"/>
            </w:tcBorders>
            <w:vAlign w:val="top"/>
          </w:tcPr>
          <w:p>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招标小组根据投标人所提供的项目现场组织机构、职责、运行方式及保障措施情况进行评分，方案详实、阐述清晰、科学合理、可操作性强，切合项目实际的得3分；方案阐述合理，虽部分内容表述有所欠缺，但总体符合项目实际、具有可操作性的得2</w:t>
            </w:r>
            <w:r>
              <w:rPr>
                <w:rFonts w:hint="eastAsia" w:ascii="宋体" w:hAnsi="宋体" w:cs="宋体"/>
                <w:b w:val="0"/>
                <w:bCs w:val="0"/>
                <w:color w:val="auto"/>
                <w:sz w:val="24"/>
                <w:szCs w:val="24"/>
              </w:rPr>
              <w:t>.75</w:t>
            </w:r>
            <w:r>
              <w:rPr>
                <w:rFonts w:hint="eastAsia" w:ascii="宋体" w:hAnsi="宋体" w:eastAsia="宋体" w:cs="宋体"/>
                <w:b w:val="0"/>
                <w:bCs w:val="0"/>
                <w:color w:val="auto"/>
                <w:sz w:val="24"/>
                <w:szCs w:val="24"/>
              </w:rPr>
              <w:t>分；方案与本项目实际情况存在一定偏差，但内容总体合理的得</w:t>
            </w:r>
            <w:r>
              <w:rPr>
                <w:rFonts w:hint="eastAsia" w:ascii="宋体" w:hAnsi="宋体" w:cs="宋体"/>
                <w:b w:val="0"/>
                <w:bCs w:val="0"/>
                <w:color w:val="auto"/>
                <w:sz w:val="24"/>
                <w:szCs w:val="24"/>
              </w:rPr>
              <w:t>2.5</w:t>
            </w:r>
            <w:r>
              <w:rPr>
                <w:rFonts w:hint="eastAsia" w:ascii="宋体" w:hAnsi="宋体" w:eastAsia="宋体" w:cs="宋体"/>
                <w:b w:val="0"/>
                <w:bCs w:val="0"/>
                <w:color w:val="auto"/>
                <w:sz w:val="24"/>
                <w:szCs w:val="24"/>
              </w:rPr>
              <w:t>分；未提供方案或方案不合理的本项不得分。</w:t>
            </w:r>
          </w:p>
        </w:tc>
      </w:tr>
      <w:tr>
        <w:trPr>
          <w:jc w:val="center"/>
        </w:trPr>
        <w:tc>
          <w:tcPr>
            <w:tcW w:w="1028" w:type="dxa"/>
            <w:tcBorders>
              <w:top w:val="outset" w:color="auto" w:sz="6" w:space="0"/>
              <w:left w:val="outset" w:color="auto" w:sz="6" w:space="0"/>
              <w:bottom w:val="outset" w:color="auto" w:sz="6" w:space="0"/>
              <w:right w:val="outset" w:color="auto" w:sz="6" w:space="0"/>
            </w:tcBorders>
            <w:vAlign w:val="top"/>
          </w:tcPr>
          <w:p>
            <w:pPr>
              <w:rPr>
                <w:rFonts w:hint="eastAsia" w:ascii="宋体" w:hAnsi="宋体" w:eastAsia="宋体" w:cs="宋体"/>
                <w:b w:val="0"/>
                <w:bCs w:val="0"/>
                <w:color w:val="auto"/>
                <w:sz w:val="24"/>
                <w:szCs w:val="24"/>
              </w:rPr>
            </w:pPr>
            <w:r>
              <w:rPr>
                <w:rFonts w:hint="eastAsia" w:ascii="宋体" w:hAnsi="宋体" w:cs="宋体"/>
                <w:b w:val="0"/>
                <w:bCs w:val="0"/>
                <w:color w:val="auto"/>
                <w:sz w:val="24"/>
                <w:szCs w:val="24"/>
              </w:rPr>
              <w:t>4</w:t>
            </w:r>
            <w:r>
              <w:rPr>
                <w:rFonts w:hint="eastAsia" w:ascii="宋体" w:hAnsi="宋体" w:eastAsia="宋体" w:cs="宋体"/>
                <w:b w:val="0"/>
                <w:bCs w:val="0"/>
                <w:color w:val="auto"/>
                <w:sz w:val="24"/>
                <w:szCs w:val="24"/>
              </w:rPr>
              <w:t>、文明和安全操作流程和制度</w:t>
            </w:r>
          </w:p>
        </w:tc>
        <w:tc>
          <w:tcPr>
            <w:tcW w:w="702" w:type="dxa"/>
            <w:tcBorders>
              <w:top w:val="outset" w:color="auto" w:sz="6" w:space="0"/>
              <w:left w:val="nil"/>
              <w:bottom w:val="outset" w:color="auto" w:sz="6" w:space="0"/>
              <w:right w:val="outset" w:color="auto" w:sz="6" w:space="0"/>
            </w:tcBorders>
            <w:vAlign w:val="top"/>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3.00</w:t>
            </w:r>
          </w:p>
        </w:tc>
        <w:tc>
          <w:tcPr>
            <w:tcW w:w="7652" w:type="dxa"/>
            <w:tcBorders>
              <w:top w:val="outset" w:color="auto" w:sz="6" w:space="0"/>
              <w:left w:val="nil"/>
              <w:bottom w:val="outset" w:color="auto" w:sz="6" w:space="0"/>
              <w:right w:val="outset" w:color="auto" w:sz="6" w:space="0"/>
            </w:tcBorders>
            <w:vAlign w:val="top"/>
          </w:tcPr>
          <w:p>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招标小组根据投标人所提供针对文明和安全操作流程和制度的承诺情况进行评分，应答内容最明确合理、切合采购人实际情况的得3分；应答内容较明确合理、基本符合采购人实际情况的2</w:t>
            </w:r>
            <w:r>
              <w:rPr>
                <w:rFonts w:hint="eastAsia" w:ascii="宋体" w:hAnsi="宋体" w:cs="宋体"/>
                <w:b w:val="0"/>
                <w:bCs w:val="0"/>
                <w:color w:val="auto"/>
                <w:sz w:val="24"/>
                <w:szCs w:val="24"/>
              </w:rPr>
              <w:t>.75</w:t>
            </w:r>
            <w:r>
              <w:rPr>
                <w:rFonts w:hint="eastAsia" w:ascii="宋体" w:hAnsi="宋体" w:eastAsia="宋体" w:cs="宋体"/>
                <w:b w:val="0"/>
                <w:bCs w:val="0"/>
                <w:color w:val="auto"/>
                <w:sz w:val="24"/>
                <w:szCs w:val="24"/>
              </w:rPr>
              <w:t>分；应答内容简单不完善的得</w:t>
            </w:r>
            <w:r>
              <w:rPr>
                <w:rFonts w:hint="eastAsia" w:ascii="宋体" w:hAnsi="宋体" w:cs="宋体"/>
                <w:b w:val="0"/>
                <w:bCs w:val="0"/>
                <w:color w:val="auto"/>
                <w:sz w:val="24"/>
                <w:szCs w:val="24"/>
              </w:rPr>
              <w:t>2.5</w:t>
            </w:r>
            <w:r>
              <w:rPr>
                <w:rFonts w:hint="eastAsia" w:ascii="宋体" w:hAnsi="宋体" w:eastAsia="宋体" w:cs="宋体"/>
                <w:b w:val="0"/>
                <w:bCs w:val="0"/>
                <w:color w:val="auto"/>
                <w:sz w:val="24"/>
                <w:szCs w:val="24"/>
              </w:rPr>
              <w:t>分；未提供的不得分。</w:t>
            </w:r>
          </w:p>
        </w:tc>
      </w:tr>
      <w:tr>
        <w:trPr>
          <w:jc w:val="center"/>
        </w:trPr>
        <w:tc>
          <w:tcPr>
            <w:tcW w:w="1028" w:type="dxa"/>
            <w:tcBorders>
              <w:top w:val="outset" w:color="auto" w:sz="6" w:space="0"/>
              <w:left w:val="outset" w:color="auto" w:sz="6" w:space="0"/>
              <w:bottom w:val="outset" w:color="auto" w:sz="6" w:space="0"/>
              <w:right w:val="outset" w:color="auto" w:sz="6" w:space="0"/>
            </w:tcBorders>
            <w:vAlign w:val="top"/>
          </w:tcPr>
          <w:p>
            <w:pPr>
              <w:rPr>
                <w:rFonts w:hint="eastAsia" w:ascii="宋体" w:hAnsi="宋体" w:eastAsia="宋体" w:cs="宋体"/>
                <w:b w:val="0"/>
                <w:bCs w:val="0"/>
                <w:color w:val="auto"/>
                <w:sz w:val="24"/>
                <w:szCs w:val="24"/>
              </w:rPr>
            </w:pPr>
            <w:r>
              <w:rPr>
                <w:rFonts w:hint="eastAsia" w:ascii="宋体" w:hAnsi="宋体" w:cs="宋体"/>
                <w:b w:val="0"/>
                <w:bCs w:val="0"/>
                <w:color w:val="auto"/>
                <w:sz w:val="24"/>
                <w:szCs w:val="24"/>
              </w:rPr>
              <w:t>5</w:t>
            </w:r>
            <w:r>
              <w:rPr>
                <w:rFonts w:hint="eastAsia" w:ascii="宋体" w:hAnsi="宋体" w:eastAsia="宋体" w:cs="宋体"/>
                <w:b w:val="0"/>
                <w:bCs w:val="0"/>
                <w:color w:val="auto"/>
                <w:sz w:val="24"/>
                <w:szCs w:val="24"/>
              </w:rPr>
              <w:t>、安全生产应急预案</w:t>
            </w:r>
          </w:p>
        </w:tc>
        <w:tc>
          <w:tcPr>
            <w:tcW w:w="702" w:type="dxa"/>
            <w:tcBorders>
              <w:top w:val="outset" w:color="auto" w:sz="6" w:space="0"/>
              <w:left w:val="nil"/>
              <w:bottom w:val="outset" w:color="auto" w:sz="6" w:space="0"/>
              <w:right w:val="outset" w:color="auto" w:sz="6" w:space="0"/>
            </w:tcBorders>
            <w:vAlign w:val="top"/>
          </w:tcPr>
          <w:p>
            <w:pPr>
              <w:jc w:val="center"/>
              <w:rPr>
                <w:rFonts w:hint="eastAsia" w:ascii="宋体" w:hAnsi="宋体" w:eastAsia="宋体" w:cs="宋体"/>
                <w:b w:val="0"/>
                <w:bCs w:val="0"/>
                <w:color w:val="auto"/>
                <w:sz w:val="24"/>
                <w:szCs w:val="24"/>
              </w:rPr>
            </w:pPr>
            <w:r>
              <w:rPr>
                <w:rFonts w:hint="eastAsia" w:ascii="宋体" w:hAnsi="宋体" w:cs="宋体"/>
                <w:b w:val="0"/>
                <w:bCs w:val="0"/>
                <w:color w:val="auto"/>
                <w:sz w:val="24"/>
                <w:szCs w:val="24"/>
              </w:rPr>
              <w:t>2</w:t>
            </w:r>
            <w:r>
              <w:rPr>
                <w:rFonts w:hint="eastAsia" w:ascii="宋体" w:hAnsi="宋体" w:eastAsia="宋体" w:cs="宋体"/>
                <w:b w:val="0"/>
                <w:bCs w:val="0"/>
                <w:color w:val="auto"/>
                <w:sz w:val="24"/>
                <w:szCs w:val="24"/>
              </w:rPr>
              <w:t>.00</w:t>
            </w:r>
          </w:p>
        </w:tc>
        <w:tc>
          <w:tcPr>
            <w:tcW w:w="7652" w:type="dxa"/>
            <w:tcBorders>
              <w:top w:val="outset" w:color="auto" w:sz="6" w:space="0"/>
              <w:left w:val="nil"/>
              <w:bottom w:val="outset" w:color="auto" w:sz="6" w:space="0"/>
              <w:right w:val="outset" w:color="auto" w:sz="6" w:space="0"/>
            </w:tcBorders>
            <w:vAlign w:val="top"/>
          </w:tcPr>
          <w:p>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招标小组根据投标人针对本项目从安全生产、应急保障两个方面给出安全应急预案全部内容进行评分，方案详实、阐述清晰、科学合理、可操作性强，切合项目实际的得</w:t>
            </w:r>
            <w:r>
              <w:rPr>
                <w:rFonts w:hint="eastAsia" w:ascii="宋体" w:hAnsi="宋体" w:cs="宋体"/>
                <w:b w:val="0"/>
                <w:bCs w:val="0"/>
                <w:color w:val="auto"/>
                <w:sz w:val="24"/>
                <w:szCs w:val="24"/>
              </w:rPr>
              <w:t>2</w:t>
            </w:r>
            <w:r>
              <w:rPr>
                <w:rFonts w:hint="eastAsia" w:ascii="宋体" w:hAnsi="宋体" w:eastAsia="宋体" w:cs="宋体"/>
                <w:b w:val="0"/>
                <w:bCs w:val="0"/>
                <w:color w:val="auto"/>
                <w:sz w:val="24"/>
                <w:szCs w:val="24"/>
              </w:rPr>
              <w:t>分；方案阐述合理，虽部分内容表述有所欠缺，但总体符合项目实际、具有可操作性的得</w:t>
            </w:r>
            <w:r>
              <w:rPr>
                <w:rFonts w:hint="eastAsia" w:ascii="宋体" w:hAnsi="宋体" w:cs="宋体"/>
                <w:b w:val="0"/>
                <w:bCs w:val="0"/>
                <w:color w:val="auto"/>
                <w:sz w:val="24"/>
                <w:szCs w:val="24"/>
              </w:rPr>
              <w:t>1.75</w:t>
            </w:r>
            <w:r>
              <w:rPr>
                <w:rFonts w:hint="eastAsia" w:ascii="宋体" w:hAnsi="宋体" w:eastAsia="宋体" w:cs="宋体"/>
                <w:b w:val="0"/>
                <w:bCs w:val="0"/>
                <w:color w:val="auto"/>
                <w:sz w:val="24"/>
                <w:szCs w:val="24"/>
              </w:rPr>
              <w:t>分；方案与本项目实际情况存在一定偏差，但内容总体合理的得</w:t>
            </w:r>
            <w:r>
              <w:rPr>
                <w:rFonts w:hint="eastAsia" w:ascii="宋体" w:hAnsi="宋体" w:cs="宋体"/>
                <w:b w:val="0"/>
                <w:bCs w:val="0"/>
                <w:color w:val="auto"/>
                <w:sz w:val="24"/>
                <w:szCs w:val="24"/>
              </w:rPr>
              <w:t>1.5</w:t>
            </w:r>
            <w:r>
              <w:rPr>
                <w:rFonts w:hint="eastAsia" w:ascii="宋体" w:hAnsi="宋体" w:eastAsia="宋体" w:cs="宋体"/>
                <w:b w:val="0"/>
                <w:bCs w:val="0"/>
                <w:color w:val="auto"/>
                <w:sz w:val="24"/>
                <w:szCs w:val="24"/>
              </w:rPr>
              <w:t>分；未提供方案或方案不合理的本项不得分。</w:t>
            </w:r>
          </w:p>
        </w:tc>
      </w:tr>
      <w:tr>
        <w:trPr>
          <w:jc w:val="center"/>
        </w:trPr>
        <w:tc>
          <w:tcPr>
            <w:tcW w:w="1028" w:type="dxa"/>
            <w:tcBorders>
              <w:top w:val="outset" w:color="auto" w:sz="6" w:space="0"/>
              <w:left w:val="outset" w:color="auto" w:sz="6" w:space="0"/>
              <w:bottom w:val="outset" w:color="auto" w:sz="6" w:space="0"/>
              <w:right w:val="outset" w:color="auto" w:sz="6" w:space="0"/>
            </w:tcBorders>
            <w:vAlign w:val="top"/>
          </w:tcPr>
          <w:p>
            <w:pPr>
              <w:rPr>
                <w:rFonts w:hint="eastAsia" w:ascii="宋体" w:hAnsi="宋体" w:eastAsia="宋体" w:cs="宋体"/>
                <w:b w:val="0"/>
                <w:bCs w:val="0"/>
                <w:color w:val="auto"/>
                <w:sz w:val="24"/>
                <w:szCs w:val="24"/>
              </w:rPr>
            </w:pPr>
            <w:r>
              <w:rPr>
                <w:rFonts w:hint="eastAsia" w:ascii="宋体" w:hAnsi="宋体" w:cs="宋体"/>
                <w:b w:val="0"/>
                <w:bCs w:val="0"/>
                <w:color w:val="auto"/>
                <w:sz w:val="24"/>
                <w:szCs w:val="24"/>
              </w:rPr>
              <w:t>6</w:t>
            </w:r>
            <w:r>
              <w:rPr>
                <w:rFonts w:hint="eastAsia" w:ascii="宋体" w:hAnsi="宋体" w:eastAsia="宋体" w:cs="宋体"/>
                <w:b w:val="0"/>
                <w:bCs w:val="0"/>
                <w:color w:val="auto"/>
                <w:sz w:val="24"/>
                <w:szCs w:val="24"/>
              </w:rPr>
              <w:t>、实施团队1</w:t>
            </w:r>
          </w:p>
        </w:tc>
        <w:tc>
          <w:tcPr>
            <w:tcW w:w="702" w:type="dxa"/>
            <w:tcBorders>
              <w:top w:val="outset" w:color="auto" w:sz="6" w:space="0"/>
              <w:left w:val="nil"/>
              <w:bottom w:val="outset" w:color="auto" w:sz="6" w:space="0"/>
              <w:right w:val="outset" w:color="auto" w:sz="6" w:space="0"/>
            </w:tcBorders>
            <w:vAlign w:val="top"/>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2.00</w:t>
            </w:r>
          </w:p>
        </w:tc>
        <w:tc>
          <w:tcPr>
            <w:tcW w:w="7652" w:type="dxa"/>
            <w:tcBorders>
              <w:top w:val="outset" w:color="auto" w:sz="6" w:space="0"/>
              <w:left w:val="nil"/>
              <w:bottom w:val="outset" w:color="auto" w:sz="6" w:space="0"/>
              <w:right w:val="outset" w:color="auto" w:sz="6" w:space="0"/>
            </w:tcBorders>
            <w:vAlign w:val="top"/>
          </w:tcPr>
          <w:p>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投标人针对本项目配备的项目</w:t>
            </w:r>
            <w:r>
              <w:rPr>
                <w:rFonts w:hint="eastAsia" w:ascii="宋体" w:hAnsi="宋体" w:eastAsia="宋体" w:cs="宋体"/>
                <w:b w:val="0"/>
                <w:bCs w:val="0"/>
                <w:color w:val="auto"/>
                <w:sz w:val="24"/>
                <w:szCs w:val="24"/>
                <w:lang w:eastAsia="zh-CN"/>
              </w:rPr>
              <w:t>负责人</w:t>
            </w:r>
            <w:r>
              <w:rPr>
                <w:rFonts w:hint="eastAsia" w:ascii="宋体" w:hAnsi="宋体" w:eastAsia="宋体" w:cs="宋体"/>
                <w:b w:val="0"/>
                <w:bCs w:val="0"/>
                <w:color w:val="auto"/>
                <w:sz w:val="24"/>
                <w:szCs w:val="24"/>
              </w:rPr>
              <w:t>具有</w:t>
            </w:r>
            <w:r>
              <w:rPr>
                <w:rFonts w:hint="eastAsia" w:ascii="宋体" w:hAnsi="宋体" w:eastAsia="宋体" w:cs="宋体"/>
                <w:b w:val="0"/>
                <w:bCs w:val="0"/>
                <w:color w:val="auto"/>
                <w:kern w:val="2"/>
                <w:sz w:val="24"/>
                <w:szCs w:val="24"/>
                <w:lang w:val="zh-CN" w:bidi="en-US"/>
              </w:rPr>
              <w:t>一级建造师（机电工程）且为高级工程师</w:t>
            </w:r>
            <w:r>
              <w:rPr>
                <w:rFonts w:hint="eastAsia" w:ascii="宋体" w:hAnsi="宋体" w:eastAsia="宋体" w:cs="宋体"/>
                <w:b w:val="0"/>
                <w:bCs w:val="0"/>
                <w:color w:val="auto"/>
                <w:sz w:val="24"/>
                <w:szCs w:val="24"/>
              </w:rPr>
              <w:t>的得2分。须提供证书复印件以及响应文件提交截止时间前六个月任意一个月（不含响应文件提交截止当月）供应商为其缴纳的社保证明材料。注：项目经理与技术负责人不得为同一人。</w:t>
            </w:r>
          </w:p>
        </w:tc>
      </w:tr>
      <w:tr>
        <w:trPr>
          <w:jc w:val="center"/>
        </w:trPr>
        <w:tc>
          <w:tcPr>
            <w:tcW w:w="1028" w:type="dxa"/>
            <w:tcBorders>
              <w:top w:val="outset" w:color="auto" w:sz="6" w:space="0"/>
              <w:left w:val="outset" w:color="auto" w:sz="6" w:space="0"/>
              <w:bottom w:val="outset" w:color="auto" w:sz="6" w:space="0"/>
              <w:right w:val="outset" w:color="auto" w:sz="6" w:space="0"/>
            </w:tcBorders>
            <w:vAlign w:val="top"/>
          </w:tcPr>
          <w:p>
            <w:pPr>
              <w:rPr>
                <w:rFonts w:hint="eastAsia" w:ascii="宋体" w:hAnsi="宋体" w:eastAsia="宋体" w:cs="宋体"/>
                <w:b w:val="0"/>
                <w:bCs w:val="0"/>
                <w:color w:val="auto"/>
                <w:sz w:val="24"/>
                <w:szCs w:val="24"/>
              </w:rPr>
            </w:pPr>
            <w:r>
              <w:rPr>
                <w:rFonts w:hint="eastAsia" w:ascii="宋体" w:hAnsi="宋体" w:cs="宋体"/>
                <w:b w:val="0"/>
                <w:bCs w:val="0"/>
                <w:color w:val="auto"/>
                <w:sz w:val="24"/>
                <w:szCs w:val="24"/>
              </w:rPr>
              <w:t>7</w:t>
            </w:r>
            <w:r>
              <w:rPr>
                <w:rFonts w:hint="eastAsia" w:ascii="宋体" w:hAnsi="宋体" w:eastAsia="宋体" w:cs="宋体"/>
                <w:b w:val="0"/>
                <w:bCs w:val="0"/>
                <w:color w:val="auto"/>
                <w:sz w:val="24"/>
                <w:szCs w:val="24"/>
              </w:rPr>
              <w:t>、实施团队2</w:t>
            </w:r>
          </w:p>
        </w:tc>
        <w:tc>
          <w:tcPr>
            <w:tcW w:w="702" w:type="dxa"/>
            <w:tcBorders>
              <w:top w:val="outset" w:color="auto" w:sz="6" w:space="0"/>
              <w:left w:val="nil"/>
              <w:bottom w:val="outset" w:color="auto" w:sz="6" w:space="0"/>
              <w:right w:val="outset" w:color="auto" w:sz="6" w:space="0"/>
            </w:tcBorders>
            <w:vAlign w:val="top"/>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2.00</w:t>
            </w:r>
          </w:p>
        </w:tc>
        <w:tc>
          <w:tcPr>
            <w:tcW w:w="7652" w:type="dxa"/>
            <w:tcBorders>
              <w:top w:val="outset" w:color="auto" w:sz="6" w:space="0"/>
              <w:left w:val="nil"/>
              <w:bottom w:val="outset" w:color="auto" w:sz="6" w:space="0"/>
              <w:right w:val="outset" w:color="auto" w:sz="6" w:space="0"/>
            </w:tcBorders>
            <w:vAlign w:val="top"/>
          </w:tcPr>
          <w:p>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投标人针对本项目配备的技术负责人具有高级工程师职称证书（电力或电气相关专业）的得2分，具有</w:t>
            </w:r>
            <w:r>
              <w:rPr>
                <w:rFonts w:hint="eastAsia" w:ascii="宋体" w:hAnsi="宋体" w:eastAsia="宋体" w:cs="宋体"/>
                <w:b w:val="0"/>
                <w:bCs w:val="0"/>
                <w:color w:val="auto"/>
                <w:kern w:val="2"/>
                <w:sz w:val="24"/>
                <w:szCs w:val="24"/>
                <w:lang w:val="zh-CN" w:bidi="en-US"/>
              </w:rPr>
              <w:t>中级工程师</w:t>
            </w:r>
            <w:r>
              <w:rPr>
                <w:rFonts w:hint="eastAsia" w:ascii="宋体" w:hAnsi="宋体" w:eastAsia="宋体" w:cs="宋体"/>
                <w:b w:val="0"/>
                <w:bCs w:val="0"/>
                <w:color w:val="auto"/>
                <w:sz w:val="24"/>
                <w:szCs w:val="24"/>
              </w:rPr>
              <w:t>（电力或电气相关专业）</w:t>
            </w:r>
            <w:r>
              <w:rPr>
                <w:rFonts w:hint="eastAsia" w:ascii="宋体" w:hAnsi="宋体" w:eastAsia="宋体" w:cs="宋体"/>
                <w:b w:val="0"/>
                <w:bCs w:val="0"/>
                <w:color w:val="auto"/>
                <w:kern w:val="2"/>
                <w:sz w:val="24"/>
                <w:szCs w:val="24"/>
                <w:lang w:val="zh-CN" w:bidi="en-US"/>
              </w:rPr>
              <w:t>的得</w:t>
            </w:r>
            <w:r>
              <w:rPr>
                <w:rFonts w:hint="eastAsia" w:ascii="宋体" w:hAnsi="宋体" w:eastAsia="宋体" w:cs="宋体"/>
                <w:b w:val="0"/>
                <w:bCs w:val="0"/>
                <w:color w:val="auto"/>
                <w:kern w:val="2"/>
                <w:sz w:val="24"/>
                <w:szCs w:val="24"/>
                <w:lang w:bidi="en-US"/>
              </w:rPr>
              <w:t>1分</w:t>
            </w:r>
            <w:r>
              <w:rPr>
                <w:rFonts w:hint="eastAsia" w:ascii="宋体" w:hAnsi="宋体" w:eastAsia="宋体" w:cs="宋体"/>
                <w:b w:val="0"/>
                <w:bCs w:val="0"/>
                <w:color w:val="auto"/>
                <w:sz w:val="24"/>
                <w:szCs w:val="24"/>
              </w:rPr>
              <w:t>。须提供证书复印件以及响应文件提交截止时间前六个月任意一个月（不含响应文件提交截止当月）供应商为其缴纳的社保证明材料。注：项目经理与技术负责人不得为同一人。</w:t>
            </w:r>
          </w:p>
        </w:tc>
      </w:tr>
      <w:tr>
        <w:trPr>
          <w:jc w:val="center"/>
        </w:trPr>
        <w:tc>
          <w:tcPr>
            <w:tcW w:w="1028" w:type="dxa"/>
            <w:tcBorders>
              <w:top w:val="outset" w:color="auto" w:sz="6" w:space="0"/>
              <w:left w:val="outset" w:color="auto" w:sz="6" w:space="0"/>
              <w:bottom w:val="outset" w:color="auto" w:sz="6" w:space="0"/>
              <w:right w:val="outset" w:color="auto" w:sz="6" w:space="0"/>
            </w:tcBorders>
            <w:vAlign w:val="top"/>
          </w:tcPr>
          <w:p>
            <w:pPr>
              <w:rPr>
                <w:rFonts w:hint="eastAsia" w:ascii="宋体" w:hAnsi="宋体" w:eastAsia="宋体" w:cs="宋体"/>
                <w:b w:val="0"/>
                <w:bCs w:val="0"/>
                <w:color w:val="auto"/>
                <w:sz w:val="24"/>
                <w:szCs w:val="24"/>
              </w:rPr>
            </w:pPr>
            <w:r>
              <w:rPr>
                <w:rFonts w:hint="eastAsia" w:ascii="宋体" w:hAnsi="宋体" w:cs="宋体"/>
                <w:b w:val="0"/>
                <w:bCs w:val="0"/>
                <w:color w:val="auto"/>
                <w:sz w:val="24"/>
                <w:szCs w:val="24"/>
              </w:rPr>
              <w:t>8</w:t>
            </w:r>
            <w:r>
              <w:rPr>
                <w:rFonts w:hint="eastAsia" w:ascii="宋体" w:hAnsi="宋体" w:eastAsia="宋体" w:cs="宋体"/>
                <w:b w:val="0"/>
                <w:bCs w:val="0"/>
                <w:color w:val="auto"/>
                <w:sz w:val="24"/>
                <w:szCs w:val="24"/>
              </w:rPr>
              <w:t>、实施团队3</w:t>
            </w:r>
          </w:p>
        </w:tc>
        <w:tc>
          <w:tcPr>
            <w:tcW w:w="702" w:type="dxa"/>
            <w:tcBorders>
              <w:top w:val="outset" w:color="auto" w:sz="6" w:space="0"/>
              <w:left w:val="nil"/>
              <w:bottom w:val="outset" w:color="auto" w:sz="6" w:space="0"/>
              <w:right w:val="outset" w:color="auto" w:sz="6" w:space="0"/>
            </w:tcBorders>
            <w:vAlign w:val="top"/>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2.00</w:t>
            </w:r>
          </w:p>
        </w:tc>
        <w:tc>
          <w:tcPr>
            <w:tcW w:w="7652" w:type="dxa"/>
            <w:tcBorders>
              <w:top w:val="outset" w:color="auto" w:sz="6" w:space="0"/>
              <w:left w:val="nil"/>
              <w:bottom w:val="outset" w:color="auto" w:sz="6" w:space="0"/>
              <w:right w:val="outset" w:color="auto" w:sz="6" w:space="0"/>
            </w:tcBorders>
            <w:vAlign w:val="top"/>
          </w:tcPr>
          <w:p>
            <w:pPr>
              <w:rPr>
                <w:rFonts w:hint="eastAsia" w:ascii="宋体" w:hAnsi="宋体" w:eastAsia="宋体"/>
                <w:b w:val="0"/>
                <w:bCs w:val="0"/>
                <w:color w:val="auto"/>
                <w:sz w:val="24"/>
                <w:szCs w:val="24"/>
              </w:rPr>
            </w:pPr>
            <w:r>
              <w:rPr>
                <w:rFonts w:hint="eastAsia" w:ascii="宋体" w:hAnsi="宋体" w:eastAsia="宋体" w:cs="宋体"/>
                <w:b w:val="0"/>
                <w:bCs w:val="0"/>
                <w:color w:val="auto"/>
                <w:sz w:val="24"/>
                <w:szCs w:val="24"/>
                <w:lang w:bidi="ar-SA"/>
              </w:rPr>
              <w:t>投标人针对本项目配备的技术质量安全负责人同时具有：工程师职称、安全员证书、高压电工作业证书、继电保护作业证书和电气试验作业证书的得2分。须提供以上相关证书复印件以及响应文件提交截止时间前六个月任意一个月（不含响应文件提交截止当月）投标人为其缴纳的社保证明材料。以上人员不得重复，且该人员不得与其他岗位相互兼任。</w:t>
            </w:r>
          </w:p>
        </w:tc>
      </w:tr>
      <w:tr>
        <w:trPr>
          <w:jc w:val="center"/>
        </w:trPr>
        <w:tc>
          <w:tcPr>
            <w:tcW w:w="1028" w:type="dxa"/>
            <w:tcBorders>
              <w:top w:val="outset" w:color="auto" w:sz="6" w:space="0"/>
              <w:left w:val="outset" w:color="auto" w:sz="6" w:space="0"/>
              <w:bottom w:val="outset" w:color="auto" w:sz="6" w:space="0"/>
              <w:right w:val="outset" w:color="auto" w:sz="6" w:space="0"/>
            </w:tcBorders>
            <w:vAlign w:val="top"/>
          </w:tcPr>
          <w:p>
            <w:pPr>
              <w:rPr>
                <w:rFonts w:hint="eastAsia" w:ascii="宋体" w:hAnsi="宋体" w:eastAsia="宋体" w:cs="宋体"/>
                <w:b w:val="0"/>
                <w:bCs w:val="0"/>
                <w:color w:val="auto"/>
                <w:sz w:val="24"/>
                <w:szCs w:val="24"/>
              </w:rPr>
            </w:pPr>
            <w:r>
              <w:rPr>
                <w:rFonts w:hint="eastAsia" w:ascii="宋体" w:hAnsi="宋体" w:cs="宋体"/>
                <w:b w:val="0"/>
                <w:bCs w:val="0"/>
                <w:color w:val="auto"/>
                <w:sz w:val="24"/>
                <w:szCs w:val="24"/>
              </w:rPr>
              <w:t>8</w:t>
            </w:r>
            <w:r>
              <w:rPr>
                <w:rFonts w:hint="eastAsia" w:ascii="宋体" w:hAnsi="宋体" w:eastAsia="宋体" w:cs="宋体"/>
                <w:b w:val="0"/>
                <w:bCs w:val="0"/>
                <w:color w:val="auto"/>
                <w:sz w:val="24"/>
                <w:szCs w:val="24"/>
              </w:rPr>
              <w:t>、实施团队4</w:t>
            </w:r>
          </w:p>
        </w:tc>
        <w:tc>
          <w:tcPr>
            <w:tcW w:w="702" w:type="dxa"/>
            <w:tcBorders>
              <w:top w:val="outset" w:color="auto" w:sz="6" w:space="0"/>
              <w:left w:val="nil"/>
              <w:bottom w:val="outset" w:color="auto" w:sz="6" w:space="0"/>
              <w:right w:val="outset" w:color="auto" w:sz="6" w:space="0"/>
            </w:tcBorders>
            <w:vAlign w:val="top"/>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3.00</w:t>
            </w:r>
          </w:p>
        </w:tc>
        <w:tc>
          <w:tcPr>
            <w:tcW w:w="7652" w:type="dxa"/>
            <w:tcBorders>
              <w:top w:val="outset" w:color="auto" w:sz="6" w:space="0"/>
              <w:left w:val="nil"/>
              <w:bottom w:val="outset" w:color="auto" w:sz="6" w:space="0"/>
              <w:right w:val="outset" w:color="auto" w:sz="6" w:space="0"/>
            </w:tcBorders>
            <w:vAlign w:val="top"/>
          </w:tcPr>
          <w:p>
            <w:pPr>
              <w:pStyle w:val="29"/>
              <w:ind w:firstLine="422"/>
              <w:rPr>
                <w:rFonts w:hint="eastAsia" w:ascii="宋体" w:hAnsi="宋体" w:cs="宋体"/>
                <w:b w:val="0"/>
                <w:bCs w:val="0"/>
                <w:color w:val="auto"/>
                <w:kern w:val="0"/>
                <w:sz w:val="24"/>
                <w:szCs w:val="24"/>
                <w:lang w:val="en-US"/>
              </w:rPr>
            </w:pPr>
            <w:r>
              <w:rPr>
                <w:rFonts w:hint="eastAsia" w:ascii="宋体" w:hAnsi="宋体" w:cs="宋体"/>
                <w:b w:val="0"/>
                <w:bCs w:val="0"/>
                <w:color w:val="auto"/>
                <w:kern w:val="0"/>
                <w:sz w:val="24"/>
                <w:szCs w:val="24"/>
                <w:lang w:val="en-US"/>
              </w:rPr>
              <w:t>仅提供1支操作队伍不得分，提供2支操作队伍得1.5分，提供3支操作队伍得3分。（最低操作队伍要求：专职安全员1名、继电保护作业员1名、电气试验作业员1名、高压电工作业员1名，以上四名人员为1队。）证明材料：提供安全员C证书扫描件，应急管理部门颁发的继电保护作业、电气试验作业、高压电工作业特种作业操作证，且在有效期内，以及投标单位为其缴纳的社保，社保缴纳时间要求为近6个月的社保缴纳证明（注：近6个月是指本招标项目投标截止之日的上一个月为始点并往前追溯连续缴费累计6个月及以上扫描件为准）</w:t>
            </w:r>
          </w:p>
          <w:p>
            <w:pPr>
              <w:rPr>
                <w:rFonts w:hint="eastAsia" w:ascii="宋体" w:hAnsi="宋体" w:eastAsia="宋体"/>
                <w:b w:val="0"/>
                <w:bCs w:val="0"/>
                <w:color w:val="auto"/>
                <w:sz w:val="24"/>
                <w:szCs w:val="24"/>
              </w:rPr>
            </w:pPr>
          </w:p>
        </w:tc>
      </w:tr>
    </w:tbl>
    <w:p>
      <w:pPr>
        <w:pStyle w:val="19"/>
        <w:shd w:val="clear" w:color="auto" w:fill="FFFFFF"/>
        <w:spacing w:beforeAutospacing="0" w:afterAutospacing="0" w:line="360" w:lineRule="auto"/>
        <w:ind w:firstLine="480"/>
        <w:rPr>
          <w:rFonts w:hint="eastAsia"/>
          <w:sz w:val="19"/>
          <w:szCs w:val="19"/>
          <w:shd w:val="clear" w:color="auto" w:fill="FFFFFF"/>
        </w:rPr>
      </w:pPr>
      <w:r>
        <w:rPr>
          <w:rFonts w:hint="eastAsia"/>
          <w:color w:val="000000"/>
        </w:rPr>
        <w:t>③商务项（</w:t>
      </w:r>
      <w:r>
        <w:rPr>
          <w:rFonts w:ascii="Calibri" w:hAnsi="Calibri" w:cs="Calibri"/>
          <w:color w:val="000000"/>
        </w:rPr>
        <w:t>F3</w:t>
      </w:r>
      <w:r>
        <w:rPr>
          <w:rFonts w:hint="eastAsia"/>
          <w:color w:val="000000"/>
        </w:rPr>
        <w:t>×</w:t>
      </w:r>
      <w:r>
        <w:rPr>
          <w:rFonts w:ascii="Calibri" w:hAnsi="Calibri" w:cs="Calibri"/>
          <w:color w:val="000000"/>
        </w:rPr>
        <w:t>A3</w:t>
      </w:r>
      <w:r>
        <w:rPr>
          <w:rFonts w:hint="eastAsia"/>
          <w:color w:val="000000"/>
        </w:rPr>
        <w:t>）满分为</w:t>
      </w:r>
      <w:r>
        <w:rPr>
          <w:rFonts w:hint="eastAsia"/>
          <w:color w:val="000000"/>
          <w:u w:val="single"/>
        </w:rPr>
        <w:t>1</w:t>
      </w:r>
      <w:r>
        <w:rPr>
          <w:rFonts w:hint="eastAsia"/>
          <w:color w:val="000000"/>
          <w:u w:val="single"/>
          <w:lang w:val="en-US" w:eastAsia="zh-CN"/>
        </w:rPr>
        <w:t>4</w:t>
      </w:r>
      <w:r>
        <w:rPr>
          <w:rFonts w:hint="eastAsia"/>
          <w:color w:val="000000"/>
        </w:rPr>
        <w:t>分</w:t>
      </w:r>
    </w:p>
    <w:tbl>
      <w:tblPr>
        <w:tblpPr w:leftFromText="180" w:rightFromText="180" w:vertAnchor="text" w:horzAnchor="page" w:tblpX="1225" w:tblpY="407"/>
        <w:tblOverlap w:val="never"/>
        <w:tblW w:w="938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28"/>
        <w:gridCol w:w="634"/>
        <w:gridCol w:w="7720"/>
      </w:tblGrid>
      <w:tr>
        <w:tc>
          <w:tcPr>
            <w:tcW w:w="1028" w:type="dxa"/>
            <w:tcBorders>
              <w:top w:val="outset" w:color="auto" w:sz="6" w:space="0"/>
              <w:left w:val="outset" w:color="auto" w:sz="6" w:space="0"/>
              <w:bottom w:val="outset" w:color="auto" w:sz="6" w:space="0"/>
              <w:right w:val="outset" w:color="auto" w:sz="6" w:space="0"/>
            </w:tcBorders>
            <w:vAlign w:val="top"/>
          </w:tcPr>
          <w:p>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1、业绩</w:t>
            </w:r>
          </w:p>
        </w:tc>
        <w:tc>
          <w:tcPr>
            <w:tcW w:w="634" w:type="dxa"/>
            <w:tcBorders>
              <w:top w:val="outset" w:color="auto" w:sz="6" w:space="0"/>
              <w:left w:val="nil"/>
              <w:bottom w:val="outset" w:color="auto" w:sz="6" w:space="0"/>
              <w:right w:val="outset" w:color="auto" w:sz="6" w:space="0"/>
            </w:tcBorders>
            <w:vAlign w:val="top"/>
          </w:tcPr>
          <w:p>
            <w:pPr>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3.00</w:t>
            </w:r>
          </w:p>
        </w:tc>
        <w:tc>
          <w:tcPr>
            <w:tcW w:w="7720" w:type="dxa"/>
            <w:tcBorders>
              <w:top w:val="outset" w:color="auto" w:sz="6" w:space="0"/>
              <w:left w:val="nil"/>
              <w:bottom w:val="outset" w:color="auto" w:sz="6" w:space="0"/>
              <w:right w:val="outset" w:color="auto" w:sz="6" w:space="0"/>
            </w:tcBorders>
            <w:vAlign w:val="top"/>
          </w:tcPr>
          <w:p>
            <w:pPr>
              <w:spacing w:after="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根据供投标人提供2021年1月1日至本项目响应文件提交截止时间止（以合同签订时间为准）由投标人完成的与本项目类似业绩情况，每提供一项得1分，满分3分。应同时提供中标（成交）公告（提供相关网站中标（成交）公告的下载网页并注明网址）、中标（成交）通知书复印件、采购合同文本复印件以及能够证明该业绩项目已经采购人验收合格的相关证明文件复印件或付款凭证证明材料，未同时提供以上佐证材料本项不得分。</w:t>
            </w:r>
          </w:p>
        </w:tc>
      </w:tr>
      <w:tr>
        <w:tc>
          <w:tcPr>
            <w:tcW w:w="1028" w:type="dxa"/>
            <w:tcBorders>
              <w:top w:val="outset" w:color="auto" w:sz="6" w:space="0"/>
              <w:left w:val="outset" w:color="auto" w:sz="6" w:space="0"/>
              <w:bottom w:val="outset" w:color="auto" w:sz="6" w:space="0"/>
              <w:right w:val="outset" w:color="auto" w:sz="6" w:space="0"/>
            </w:tcBorders>
            <w:vAlign w:val="top"/>
          </w:tcPr>
          <w:p>
            <w:pPr>
              <w:rPr>
                <w:rFonts w:hint="eastAsia" w:ascii="宋体" w:hAnsi="宋体" w:eastAsia="宋体" w:cs="宋体"/>
                <w:b w:val="0"/>
                <w:bCs w:val="0"/>
                <w:color w:val="000000"/>
                <w:sz w:val="24"/>
                <w:szCs w:val="24"/>
              </w:rPr>
            </w:pPr>
            <w:r>
              <w:rPr>
                <w:rFonts w:hint="eastAsia" w:ascii="宋体" w:hAnsi="宋体" w:eastAsia="宋体" w:cs="宋体"/>
                <w:b w:val="0"/>
                <w:bCs w:val="0"/>
                <w:sz w:val="24"/>
                <w:szCs w:val="24"/>
              </w:rPr>
              <w:t>2.资质要求1</w:t>
            </w:r>
          </w:p>
        </w:tc>
        <w:tc>
          <w:tcPr>
            <w:tcW w:w="634" w:type="dxa"/>
            <w:tcBorders>
              <w:top w:val="outset" w:color="auto" w:sz="6" w:space="0"/>
              <w:left w:val="nil"/>
              <w:bottom w:val="outset" w:color="auto" w:sz="6" w:space="0"/>
              <w:right w:val="outset" w:color="auto" w:sz="6" w:space="0"/>
            </w:tcBorders>
            <w:vAlign w:val="top"/>
          </w:tcPr>
          <w:p>
            <w:pPr>
              <w:jc w:val="center"/>
              <w:rPr>
                <w:rFonts w:hint="eastAsia" w:ascii="宋体" w:hAnsi="宋体" w:eastAsia="宋体" w:cs="宋体"/>
                <w:b w:val="0"/>
                <w:bCs w:val="0"/>
                <w:color w:val="000000"/>
                <w:sz w:val="24"/>
                <w:szCs w:val="24"/>
              </w:rPr>
            </w:pPr>
            <w:r>
              <w:rPr>
                <w:rFonts w:hint="eastAsia" w:ascii="宋体" w:hAnsi="宋体" w:eastAsia="宋体" w:cs="宋体"/>
                <w:b w:val="0"/>
                <w:bCs w:val="0"/>
                <w:sz w:val="24"/>
                <w:szCs w:val="24"/>
              </w:rPr>
              <w:t>3.00</w:t>
            </w:r>
          </w:p>
        </w:tc>
        <w:tc>
          <w:tcPr>
            <w:tcW w:w="7720" w:type="dxa"/>
            <w:tcBorders>
              <w:top w:val="outset" w:color="auto" w:sz="6" w:space="0"/>
              <w:left w:val="nil"/>
              <w:bottom w:val="outset" w:color="auto" w:sz="6" w:space="0"/>
              <w:right w:val="outset" w:color="auto" w:sz="6" w:space="0"/>
            </w:tcBorders>
            <w:vAlign w:val="top"/>
          </w:tcPr>
          <w:p>
            <w:pPr>
              <w:rPr>
                <w:rFonts w:hint="eastAsia" w:ascii="宋体" w:hAnsi="宋体" w:eastAsia="宋体" w:cs="宋体"/>
                <w:b w:val="0"/>
                <w:bCs w:val="0"/>
                <w:color w:val="000000"/>
                <w:sz w:val="24"/>
                <w:szCs w:val="24"/>
              </w:rPr>
            </w:pPr>
            <w:r>
              <w:rPr>
                <w:rFonts w:hint="eastAsia" w:ascii="宋体" w:hAnsi="宋体" w:eastAsia="宋体" w:cs="宋体"/>
                <w:b w:val="0"/>
                <w:bCs w:val="0"/>
                <w:sz w:val="24"/>
                <w:szCs w:val="24"/>
              </w:rPr>
              <w:t>具有合格有效的输变电工程专业承包一级及以上资质或具备电力工程施工总承包一级及以上，得3分；具有合格有效的输变电工程专业承包二级及以上资质或具备电力工程施工总承包二级及以上，得</w:t>
            </w:r>
            <w:r>
              <w:rPr>
                <w:rFonts w:hint="eastAsia" w:ascii="宋体" w:hAnsi="宋体" w:eastAsia="宋体" w:cs="宋体"/>
                <w:b w:val="0"/>
                <w:bCs w:val="0"/>
                <w:sz w:val="24"/>
                <w:szCs w:val="24"/>
                <w:lang w:val="en-US" w:eastAsia="zh-CN"/>
              </w:rPr>
              <w:t>1.5</w:t>
            </w:r>
            <w:r>
              <w:rPr>
                <w:rFonts w:hint="eastAsia" w:ascii="宋体" w:hAnsi="宋体" w:eastAsia="宋体" w:cs="宋体"/>
                <w:b w:val="0"/>
                <w:bCs w:val="0"/>
                <w:sz w:val="24"/>
                <w:szCs w:val="24"/>
              </w:rPr>
              <w:t>分</w:t>
            </w:r>
            <w:r>
              <w:rPr>
                <w:rFonts w:hint="eastAsia" w:ascii="宋体" w:hAnsi="宋体" w:eastAsia="宋体" w:cs="宋体"/>
                <w:b w:val="0"/>
                <w:bCs w:val="0"/>
                <w:sz w:val="24"/>
                <w:szCs w:val="24"/>
                <w:lang w:eastAsia="zh-CN"/>
              </w:rPr>
              <w:t>，未提供不得分</w:t>
            </w:r>
            <w:r>
              <w:rPr>
                <w:rFonts w:hint="eastAsia" w:ascii="宋体" w:hAnsi="宋体" w:eastAsia="宋体" w:cs="宋体"/>
                <w:b w:val="0"/>
                <w:bCs w:val="0"/>
                <w:sz w:val="24"/>
                <w:szCs w:val="24"/>
              </w:rPr>
              <w:t>。</w:t>
            </w:r>
          </w:p>
        </w:tc>
      </w:tr>
      <w:tr>
        <w:tc>
          <w:tcPr>
            <w:tcW w:w="1028" w:type="dxa"/>
            <w:tcBorders>
              <w:top w:val="outset" w:color="auto" w:sz="6" w:space="0"/>
              <w:left w:val="outset" w:color="auto" w:sz="6" w:space="0"/>
              <w:bottom w:val="outset" w:color="auto" w:sz="6" w:space="0"/>
              <w:right w:val="outset" w:color="auto" w:sz="6" w:space="0"/>
            </w:tcBorders>
            <w:vAlign w:val="top"/>
          </w:tcPr>
          <w:p>
            <w:pPr>
              <w:rPr>
                <w:rFonts w:hint="eastAsia" w:ascii="宋体" w:hAnsi="宋体" w:eastAsia="宋体" w:cs="宋体"/>
                <w:b w:val="0"/>
                <w:bCs w:val="0"/>
                <w:color w:val="000000"/>
                <w:sz w:val="24"/>
                <w:szCs w:val="24"/>
              </w:rPr>
            </w:pPr>
            <w:r>
              <w:rPr>
                <w:rFonts w:hint="eastAsia" w:ascii="宋体" w:hAnsi="宋体" w:eastAsia="宋体" w:cs="宋体"/>
                <w:b w:val="0"/>
                <w:bCs w:val="0"/>
                <w:sz w:val="24"/>
                <w:szCs w:val="24"/>
              </w:rPr>
              <w:t>3.资质要求2</w:t>
            </w:r>
          </w:p>
        </w:tc>
        <w:tc>
          <w:tcPr>
            <w:tcW w:w="634" w:type="dxa"/>
            <w:tcBorders>
              <w:top w:val="outset" w:color="auto" w:sz="6" w:space="0"/>
              <w:left w:val="nil"/>
              <w:bottom w:val="outset" w:color="auto" w:sz="6" w:space="0"/>
              <w:right w:val="outset" w:color="auto" w:sz="6" w:space="0"/>
            </w:tcBorders>
            <w:vAlign w:val="top"/>
          </w:tcPr>
          <w:p>
            <w:pPr>
              <w:jc w:val="center"/>
              <w:rPr>
                <w:rFonts w:hint="eastAsia" w:ascii="宋体" w:hAnsi="宋体" w:eastAsia="宋体" w:cs="宋体"/>
                <w:b w:val="0"/>
                <w:bCs w:val="0"/>
                <w:color w:val="00000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.00</w:t>
            </w:r>
          </w:p>
        </w:tc>
        <w:tc>
          <w:tcPr>
            <w:tcW w:w="7720" w:type="dxa"/>
            <w:tcBorders>
              <w:top w:val="outset" w:color="auto" w:sz="6" w:space="0"/>
              <w:left w:val="nil"/>
              <w:bottom w:val="outset" w:color="auto" w:sz="6" w:space="0"/>
              <w:right w:val="outset" w:color="auto" w:sz="6" w:space="0"/>
            </w:tcBorders>
            <w:vAlign w:val="top"/>
          </w:tcPr>
          <w:p>
            <w:pP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sz w:val="24"/>
                <w:szCs w:val="24"/>
              </w:rPr>
              <w:t>具有有效的《施工企业安全生产许可证》,同时具备电力监管机构核发的承装（修、试）电力设施许可证三级或以上资质证书，且按时通过年检合格得</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分</w:t>
            </w:r>
            <w:r>
              <w:rPr>
                <w:rFonts w:hint="eastAsia" w:ascii="宋体" w:hAnsi="宋体" w:eastAsia="宋体" w:cs="宋体"/>
                <w:b w:val="0"/>
                <w:bCs w:val="0"/>
                <w:sz w:val="24"/>
                <w:szCs w:val="24"/>
                <w:lang w:eastAsia="zh-CN"/>
              </w:rPr>
              <w:t>，未提供不得分。</w:t>
            </w:r>
          </w:p>
        </w:tc>
      </w:tr>
      <w:tr>
        <w:trPr>
          <w:trHeight w:val="1673" w:hRule="atLeast"/>
        </w:trPr>
        <w:tc>
          <w:tcPr>
            <w:tcW w:w="1028" w:type="dxa"/>
            <w:tcBorders>
              <w:top w:val="outset" w:color="auto" w:sz="6" w:space="0"/>
              <w:left w:val="outset" w:color="auto" w:sz="6" w:space="0"/>
              <w:bottom w:val="outset" w:color="auto" w:sz="6" w:space="0"/>
              <w:right w:val="outset" w:color="auto" w:sz="6" w:space="0"/>
            </w:tcBorders>
            <w:vAlign w:val="top"/>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4、响应速度等情况</w:t>
            </w:r>
          </w:p>
        </w:tc>
        <w:tc>
          <w:tcPr>
            <w:tcW w:w="634" w:type="dxa"/>
            <w:tcBorders>
              <w:top w:val="outset" w:color="auto" w:sz="6" w:space="0"/>
              <w:left w:val="nil"/>
              <w:bottom w:val="outset" w:color="auto" w:sz="6" w:space="0"/>
              <w:right w:val="outset" w:color="auto" w:sz="6" w:space="0"/>
            </w:tcBorders>
            <w:vAlign w:val="top"/>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w:t>
            </w:r>
          </w:p>
        </w:tc>
        <w:tc>
          <w:tcPr>
            <w:tcW w:w="7720" w:type="dxa"/>
            <w:tcBorders>
              <w:top w:val="outset" w:color="auto" w:sz="6" w:space="0"/>
              <w:left w:val="nil"/>
              <w:bottom w:val="outset" w:color="auto" w:sz="6" w:space="0"/>
              <w:right w:val="outset" w:color="auto" w:sz="6" w:space="0"/>
            </w:tcBorders>
            <w:vAlign w:val="top"/>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根据各投标人提供的售后服务响应的速度（故障响应时间）以及能力由评委进行评议：承诺1小时内响应、2小时内上门维护的得3分；1小时以内响应，4小时内上门维护的得2分；1小时以内响应，6小时内上门维护的得1分；其余情况不得分。</w:t>
            </w:r>
          </w:p>
        </w:tc>
      </w:tr>
      <w:tr>
        <w:trPr>
          <w:trHeight w:val="1673" w:hRule="atLeast"/>
        </w:trPr>
        <w:tc>
          <w:tcPr>
            <w:tcW w:w="1028" w:type="dxa"/>
            <w:tcBorders>
              <w:top w:val="outset" w:color="auto" w:sz="6" w:space="0"/>
              <w:left w:val="outset" w:color="auto" w:sz="6" w:space="0"/>
              <w:bottom w:val="outset" w:color="auto" w:sz="6" w:space="0"/>
              <w:right w:val="outset" w:color="auto" w:sz="6" w:space="0"/>
            </w:tcBorders>
            <w:vAlign w:val="top"/>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5、售后服务方案</w:t>
            </w:r>
          </w:p>
        </w:tc>
        <w:tc>
          <w:tcPr>
            <w:tcW w:w="634" w:type="dxa"/>
            <w:tcBorders>
              <w:top w:val="outset" w:color="auto" w:sz="6" w:space="0"/>
              <w:left w:val="nil"/>
              <w:bottom w:val="outset" w:color="auto" w:sz="6" w:space="0"/>
              <w:right w:val="outset" w:color="auto" w:sz="6" w:space="0"/>
            </w:tcBorders>
            <w:vAlign w:val="top"/>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w:t>
            </w:r>
          </w:p>
        </w:tc>
        <w:tc>
          <w:tcPr>
            <w:tcW w:w="7720" w:type="dxa"/>
            <w:tcBorders>
              <w:top w:val="outset" w:color="auto" w:sz="6" w:space="0"/>
              <w:left w:val="nil"/>
              <w:bottom w:val="outset" w:color="auto" w:sz="6" w:space="0"/>
              <w:right w:val="outset" w:color="auto" w:sz="6" w:space="0"/>
            </w:tcBorders>
            <w:vAlign w:val="top"/>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根据投标人提供的售后服务方案（包括但不限于：维保期内的服务、响应计划、维保期后的服务等）由磋商小组进行评分：方案详实、完整、有针对性的得3分；方案较为详实或内容比较有针对性的得2.5分；方案部分详实或部分内容有针对性的得2分，未提供的本项不得分。</w:t>
            </w:r>
          </w:p>
        </w:tc>
      </w:tr>
    </w:tbl>
    <w:p>
      <w:pPr>
        <w:adjustRightInd/>
        <w:snapToGrid/>
        <w:spacing w:after="0"/>
        <w:rPr>
          <w:b/>
          <w:sz w:val="32"/>
          <w:szCs w:val="32"/>
        </w:rPr>
      </w:pPr>
    </w:p>
    <w:p>
      <w:pPr>
        <w:adjustRightInd/>
        <w:snapToGrid/>
        <w:spacing w:after="0"/>
        <w:rPr>
          <w:b/>
          <w:sz w:val="32"/>
          <w:szCs w:val="32"/>
        </w:rPr>
      </w:pPr>
      <w:r>
        <w:rPr>
          <w:b/>
          <w:sz w:val="32"/>
          <w:szCs w:val="32"/>
        </w:rPr>
        <w:br w:type="page"/>
      </w:r>
    </w:p>
    <w:p>
      <w:pPr>
        <w:jc w:val="center"/>
        <w:rPr>
          <w:sz w:val="24"/>
        </w:rPr>
      </w:pPr>
      <w:r>
        <w:rPr>
          <w:rFonts w:hint="eastAsia"/>
          <w:b/>
          <w:sz w:val="32"/>
          <w:szCs w:val="32"/>
        </w:rPr>
        <w:t>一、投  标  书</w:t>
      </w:r>
    </w:p>
    <w:p>
      <w:pPr>
        <w:rPr>
          <w:rFonts w:ascii="仿宋_GB2312" w:eastAsia="仿宋_GB2312"/>
          <w:sz w:val="24"/>
        </w:rPr>
      </w:pPr>
      <w:r>
        <w:rPr>
          <w:rFonts w:hint="eastAsia" w:ascii="仿宋_GB2312" w:eastAsia="仿宋_GB2312"/>
          <w:sz w:val="24"/>
        </w:rPr>
        <w:t>致：福建省肿瘤医院</w:t>
      </w:r>
    </w:p>
    <w:p>
      <w:pPr>
        <w:rPr>
          <w:rFonts w:ascii="仿宋_GB2312" w:eastAsia="仿宋_GB2312"/>
          <w:sz w:val="24"/>
        </w:rPr>
      </w:pPr>
      <w:r>
        <w:rPr>
          <w:rFonts w:hint="eastAsia" w:ascii="仿宋_GB2312" w:eastAsia="仿宋_GB2312"/>
          <w:sz w:val="24"/>
        </w:rPr>
        <w:t>1、根据你方</w:t>
      </w:r>
      <w:r>
        <w:rPr>
          <w:rFonts w:hint="eastAsia" w:ascii="仿宋_GB2312" w:eastAsia="仿宋_GB2312"/>
          <w:sz w:val="24"/>
          <w:u w:val="single"/>
        </w:rPr>
        <w:t xml:space="preserve">                                     </w:t>
      </w:r>
      <w:r>
        <w:rPr>
          <w:rFonts w:hint="eastAsia" w:ascii="仿宋_GB2312" w:eastAsia="仿宋_GB2312"/>
          <w:sz w:val="24"/>
        </w:rPr>
        <w:t>项目的投标须知、招标文件等内容，遵照《中华人民共和国招标投标法》等有关规定，经踏勘项目现场和研究上述招标文件的投标须知、合同条款、图纸、工程建设标准和工程量清单及其他有关文件后，我方愿以人民币（大写）</w:t>
      </w:r>
      <w:r>
        <w:rPr>
          <w:rFonts w:hint="eastAsia" w:ascii="仿宋_GB2312" w:eastAsia="仿宋_GB2312"/>
          <w:b/>
          <w:sz w:val="24"/>
          <w:u w:val="single"/>
        </w:rPr>
        <w:t xml:space="preserve">：      </w:t>
      </w:r>
      <w:r>
        <w:rPr>
          <w:rFonts w:hint="eastAsia" w:ascii="仿宋_GB2312" w:eastAsia="仿宋_GB2312"/>
          <w:sz w:val="24"/>
          <w:u w:val="single"/>
        </w:rPr>
        <w:t xml:space="preserve">  （小写：           ）</w:t>
      </w:r>
      <w:r>
        <w:rPr>
          <w:rFonts w:hint="eastAsia" w:ascii="仿宋_GB2312" w:eastAsia="仿宋_GB2312"/>
          <w:sz w:val="24"/>
        </w:rPr>
        <w:t>的投标报价并按上述图纸、合同条款、建设标准要求承包上述项目，并承担任何质量缺陷保修责任。</w:t>
      </w:r>
    </w:p>
    <w:p>
      <w:pPr>
        <w:ind w:firstLine="456" w:firstLineChars="190"/>
        <w:rPr>
          <w:rFonts w:ascii="仿宋_GB2312" w:eastAsia="仿宋_GB2312"/>
          <w:sz w:val="24"/>
        </w:rPr>
      </w:pPr>
      <w:r>
        <w:rPr>
          <w:rFonts w:hint="eastAsia" w:ascii="仿宋_GB2312" w:eastAsia="仿宋_GB2312"/>
          <w:sz w:val="24"/>
        </w:rPr>
        <w:t>2、我方已详细审核全部招标文件及有关附件。</w:t>
      </w:r>
    </w:p>
    <w:p>
      <w:pPr>
        <w:ind w:firstLine="456" w:firstLineChars="190"/>
        <w:rPr>
          <w:rFonts w:ascii="仿宋_GB2312" w:eastAsia="仿宋_GB2312"/>
          <w:sz w:val="24"/>
        </w:rPr>
      </w:pPr>
      <w:r>
        <w:rPr>
          <w:rFonts w:hint="eastAsia" w:ascii="仿宋_GB2312" w:eastAsia="仿宋_GB2312"/>
          <w:sz w:val="24"/>
        </w:rPr>
        <w:t>3、一旦我方中标，我方保证质量达到</w:t>
      </w:r>
      <w:r>
        <w:rPr>
          <w:rFonts w:hint="eastAsia" w:ascii="仿宋_GB2312" w:eastAsia="仿宋_GB2312"/>
          <w:b/>
          <w:sz w:val="24"/>
          <w:u w:val="single"/>
        </w:rPr>
        <w:t>投标须知、投标文件等规定</w:t>
      </w:r>
      <w:r>
        <w:rPr>
          <w:rFonts w:hint="eastAsia" w:ascii="仿宋_GB2312" w:eastAsia="仿宋_GB2312"/>
          <w:sz w:val="24"/>
        </w:rPr>
        <w:t>标准。</w:t>
      </w:r>
    </w:p>
    <w:p>
      <w:pPr>
        <w:ind w:firstLine="456" w:firstLineChars="190"/>
        <w:rPr>
          <w:rFonts w:ascii="仿宋_GB2312" w:eastAsia="仿宋_GB2312"/>
          <w:sz w:val="24"/>
        </w:rPr>
      </w:pPr>
      <w:r>
        <w:rPr>
          <w:rFonts w:hint="eastAsia" w:ascii="仿宋_GB2312" w:eastAsia="仿宋_GB2312"/>
          <w:sz w:val="24"/>
        </w:rPr>
        <w:t>4、我方同意所提交的投标文件在招标文件的投标须知中规定的投标有效期内有效，在此期间内如果中标，我方将受此约束。</w:t>
      </w:r>
    </w:p>
    <w:p>
      <w:pPr>
        <w:ind w:firstLine="426"/>
        <w:rPr>
          <w:rFonts w:ascii="仿宋_GB2312" w:eastAsia="仿宋_GB2312"/>
          <w:sz w:val="24"/>
        </w:rPr>
      </w:pPr>
      <w:r>
        <w:rPr>
          <w:rFonts w:hint="eastAsia" w:ascii="仿宋_GB2312" w:eastAsia="仿宋_GB2312"/>
          <w:sz w:val="24"/>
        </w:rPr>
        <w:t>5、除非另外达成协议并生效，你方的中标通知书和本投标文件将成为约束双方的合同文件的组成部分。</w:t>
      </w:r>
    </w:p>
    <w:p>
      <w:pPr>
        <w:ind w:firstLine="480" w:firstLineChars="200"/>
        <w:rPr>
          <w:rFonts w:ascii="仿宋_GB2312" w:eastAsia="仿宋_GB2312"/>
          <w:sz w:val="24"/>
        </w:rPr>
      </w:pPr>
      <w:r>
        <w:rPr>
          <w:rFonts w:hint="eastAsia" w:ascii="仿宋_GB2312" w:eastAsia="仿宋_GB2312"/>
          <w:sz w:val="24"/>
        </w:rPr>
        <w:t>附件：报价清单</w:t>
      </w:r>
    </w:p>
    <w:p>
      <w:pPr>
        <w:ind w:firstLine="2760" w:firstLineChars="1150"/>
        <w:rPr>
          <w:rFonts w:ascii="仿宋_GB2312" w:eastAsia="仿宋_GB2312"/>
          <w:sz w:val="24"/>
        </w:rPr>
      </w:pPr>
      <w:r>
        <w:rPr>
          <w:rFonts w:hint="eastAsia" w:ascii="仿宋_GB2312" w:eastAsia="仿宋_GB2312"/>
          <w:sz w:val="24"/>
        </w:rPr>
        <w:t xml:space="preserve">投标人（盖章）： </w:t>
      </w:r>
    </w:p>
    <w:p>
      <w:pPr>
        <w:ind w:firstLine="2760" w:firstLineChars="1150"/>
        <w:rPr>
          <w:rFonts w:ascii="仿宋_GB2312" w:eastAsia="仿宋_GB2312"/>
          <w:sz w:val="24"/>
        </w:rPr>
      </w:pPr>
      <w:r>
        <w:rPr>
          <w:rFonts w:hint="eastAsia" w:ascii="仿宋_GB2312" w:eastAsia="仿宋_GB2312"/>
          <w:sz w:val="24"/>
        </w:rPr>
        <w:t xml:space="preserve">单位地址： </w:t>
      </w:r>
    </w:p>
    <w:p>
      <w:pPr>
        <w:ind w:firstLine="2760" w:firstLineChars="1150"/>
        <w:rPr>
          <w:rFonts w:ascii="仿宋_GB2312" w:eastAsia="仿宋_GB2312"/>
          <w:sz w:val="24"/>
        </w:rPr>
      </w:pPr>
      <w:r>
        <w:rPr>
          <w:rFonts w:hint="eastAsia" w:ascii="仿宋_GB2312" w:eastAsia="仿宋_GB2312"/>
          <w:sz w:val="24"/>
        </w:rPr>
        <w:t>法定代表人（签字或盖章）：</w:t>
      </w:r>
    </w:p>
    <w:p>
      <w:pPr>
        <w:ind w:firstLine="2760" w:firstLineChars="1150"/>
        <w:rPr>
          <w:rFonts w:ascii="仿宋_GB2312" w:eastAsia="仿宋_GB2312"/>
          <w:sz w:val="24"/>
        </w:rPr>
      </w:pPr>
      <w:r>
        <w:rPr>
          <w:rFonts w:hint="eastAsia" w:ascii="仿宋_GB2312" w:eastAsia="仿宋_GB2312"/>
          <w:sz w:val="24"/>
        </w:rPr>
        <w:t xml:space="preserve">邮政编码：         电话：       传真：  </w:t>
      </w:r>
    </w:p>
    <w:p>
      <w:pPr>
        <w:ind w:firstLine="2760" w:firstLineChars="1150"/>
        <w:rPr>
          <w:rFonts w:ascii="仿宋_GB2312" w:eastAsia="仿宋_GB2312"/>
          <w:sz w:val="24"/>
        </w:rPr>
      </w:pPr>
      <w:r>
        <w:rPr>
          <w:rFonts w:hint="eastAsia" w:ascii="仿宋_GB2312" w:eastAsia="仿宋_GB2312"/>
          <w:sz w:val="24"/>
        </w:rPr>
        <w:t xml:space="preserve">开户银行名称： </w:t>
      </w:r>
    </w:p>
    <w:p>
      <w:pPr>
        <w:ind w:firstLine="2760" w:firstLineChars="1150"/>
        <w:rPr>
          <w:rFonts w:ascii="仿宋_GB2312" w:eastAsia="仿宋_GB2312"/>
          <w:sz w:val="24"/>
        </w:rPr>
      </w:pPr>
      <w:r>
        <w:rPr>
          <w:rFonts w:hint="eastAsia" w:ascii="仿宋_GB2312" w:eastAsia="仿宋_GB2312"/>
          <w:sz w:val="24"/>
        </w:rPr>
        <w:t xml:space="preserve">开户银行帐号： </w:t>
      </w:r>
    </w:p>
    <w:p>
      <w:pPr>
        <w:ind w:left="2100" w:leftChars="0" w:firstLine="696" w:firstLineChars="290"/>
        <w:rPr>
          <w:rFonts w:ascii="仿宋_GB2312" w:eastAsia="仿宋_GB2312"/>
          <w:sz w:val="24"/>
        </w:rPr>
      </w:pPr>
      <w:r>
        <w:rPr>
          <w:rFonts w:hint="eastAsia" w:ascii="仿宋_GB2312" w:eastAsia="仿宋_GB2312"/>
          <w:sz w:val="24"/>
        </w:rPr>
        <w:t xml:space="preserve">开户银行地址： </w:t>
      </w:r>
    </w:p>
    <w:p>
      <w:pPr>
        <w:ind w:firstLine="2760" w:firstLineChars="1150"/>
        <w:rPr>
          <w:rFonts w:ascii="仿宋_GB2312" w:eastAsia="仿宋_GB2312"/>
          <w:sz w:val="24"/>
        </w:rPr>
      </w:pPr>
      <w:r>
        <w:rPr>
          <w:rFonts w:hint="eastAsia" w:ascii="仿宋_GB2312" w:eastAsia="仿宋_GB2312"/>
          <w:sz w:val="24"/>
        </w:rPr>
        <w:t xml:space="preserve">开户银行电话： </w:t>
      </w:r>
    </w:p>
    <w:p>
      <w:pPr>
        <w:ind w:firstLine="600"/>
        <w:rPr>
          <w:rFonts w:ascii="仿宋_GB2312" w:eastAsia="仿宋_GB2312"/>
          <w:sz w:val="24"/>
        </w:rPr>
      </w:pPr>
      <w:r>
        <w:rPr>
          <w:rFonts w:hint="eastAsia" w:ascii="仿宋_GB2312" w:eastAsia="仿宋_GB2312"/>
          <w:sz w:val="24"/>
        </w:rPr>
        <w:t xml:space="preserve">                       </w:t>
      </w:r>
    </w:p>
    <w:p>
      <w:pPr>
        <w:ind w:firstLine="5160" w:firstLineChars="2150"/>
        <w:rPr>
          <w:rFonts w:ascii="仿宋_GB2312" w:eastAsia="仿宋_GB2312"/>
          <w:sz w:val="24"/>
        </w:rPr>
      </w:pPr>
      <w:r>
        <w:rPr>
          <w:rFonts w:hint="eastAsia" w:ascii="仿宋_GB2312" w:eastAsia="仿宋_GB2312"/>
          <w:sz w:val="24"/>
        </w:rPr>
        <w:t>日期：   年   月    日</w:t>
      </w:r>
    </w:p>
    <w:p>
      <w:pPr>
        <w:rPr>
          <w:rFonts w:ascii="仿宋_GB2312" w:eastAsia="仿宋_GB2312"/>
          <w:sz w:val="18"/>
          <w:szCs w:val="18"/>
          <w:u w:val="single"/>
        </w:rPr>
      </w:pPr>
    </w:p>
    <w:p>
      <w:pPr>
        <w:rPr>
          <w:rFonts w:ascii="仿宋_GB2312" w:eastAsia="仿宋_GB2312"/>
          <w:sz w:val="24"/>
        </w:rPr>
      </w:pPr>
    </w:p>
    <w:p>
      <w:pPr>
        <w:rPr>
          <w:rFonts w:ascii="仿宋_GB2312" w:eastAsia="仿宋_GB2312"/>
          <w:sz w:val="24"/>
        </w:rPr>
      </w:pPr>
    </w:p>
    <w:p>
      <w:pPr>
        <w:jc w:val="center"/>
        <w:rPr>
          <w:b/>
          <w:sz w:val="32"/>
          <w:szCs w:val="32"/>
        </w:rPr>
      </w:pPr>
      <w:r>
        <w:rPr>
          <w:rFonts w:hint="eastAsia"/>
          <w:b/>
          <w:sz w:val="32"/>
          <w:szCs w:val="32"/>
        </w:rPr>
        <w:t>二、投标委托代表人资格证明书</w:t>
      </w:r>
    </w:p>
    <w:p>
      <w:pPr>
        <w:rPr>
          <w:sz w:val="24"/>
        </w:rPr>
      </w:pPr>
    </w:p>
    <w:p>
      <w:pPr>
        <w:spacing w:line="360" w:lineRule="auto"/>
        <w:rPr>
          <w:rFonts w:ascii="仿宋_GB2312" w:eastAsia="仿宋_GB2312"/>
          <w:sz w:val="24"/>
          <w:u w:val="single"/>
        </w:rPr>
      </w:pPr>
      <w:r>
        <w:rPr>
          <w:rFonts w:hint="eastAsia" w:ascii="仿宋_GB2312" w:eastAsia="仿宋_GB2312"/>
          <w:sz w:val="24"/>
        </w:rPr>
        <w:t>单位名称：</w:t>
      </w:r>
      <w:r>
        <w:rPr>
          <w:rFonts w:hint="eastAsia" w:ascii="仿宋_GB2312" w:eastAsia="仿宋_GB2312"/>
          <w:sz w:val="24"/>
          <w:u w:val="single"/>
        </w:rPr>
        <w:t xml:space="preserve">                                  </w:t>
      </w:r>
    </w:p>
    <w:p>
      <w:pPr>
        <w:spacing w:line="360" w:lineRule="auto"/>
        <w:rPr>
          <w:rFonts w:ascii="仿宋_GB2312" w:eastAsia="仿宋_GB2312"/>
          <w:sz w:val="24"/>
          <w:u w:val="single"/>
        </w:rPr>
      </w:pPr>
      <w:r>
        <w:rPr>
          <w:rFonts w:hint="eastAsia" w:ascii="仿宋_GB2312" w:eastAsia="仿宋_GB2312"/>
          <w:sz w:val="24"/>
        </w:rPr>
        <w:t>地址：</w:t>
      </w:r>
      <w:r>
        <w:rPr>
          <w:rFonts w:hint="eastAsia" w:ascii="仿宋_GB2312" w:eastAsia="仿宋_GB2312"/>
          <w:sz w:val="24"/>
          <w:u w:val="single"/>
        </w:rPr>
        <w:t xml:space="preserve">                               </w:t>
      </w:r>
    </w:p>
    <w:p>
      <w:pPr>
        <w:spacing w:line="360" w:lineRule="auto"/>
        <w:rPr>
          <w:rFonts w:ascii="仿宋_GB2312" w:eastAsia="仿宋_GB2312"/>
          <w:sz w:val="24"/>
        </w:rPr>
      </w:pPr>
      <w:r>
        <w:rPr>
          <w:rFonts w:hint="eastAsia" w:ascii="仿宋_GB2312" w:eastAsia="仿宋_GB2312"/>
          <w:sz w:val="24"/>
        </w:rPr>
        <w:t>姓名：</w:t>
      </w:r>
      <w:r>
        <w:rPr>
          <w:rFonts w:hint="eastAsia" w:ascii="仿宋_GB2312" w:eastAsia="仿宋_GB2312"/>
          <w:sz w:val="24"/>
          <w:u w:val="single"/>
        </w:rPr>
        <w:t xml:space="preserve">      </w:t>
      </w:r>
      <w:r>
        <w:rPr>
          <w:rFonts w:hint="eastAsia" w:ascii="仿宋_GB2312" w:eastAsia="仿宋_GB2312"/>
          <w:sz w:val="24"/>
        </w:rPr>
        <w:t xml:space="preserve">    性别：</w:t>
      </w:r>
      <w:r>
        <w:rPr>
          <w:rFonts w:hint="eastAsia" w:ascii="仿宋_GB2312" w:eastAsia="仿宋_GB2312"/>
          <w:sz w:val="24"/>
          <w:u w:val="single"/>
        </w:rPr>
        <w:t xml:space="preserve">     </w:t>
      </w:r>
      <w:r>
        <w:rPr>
          <w:rFonts w:hint="eastAsia" w:ascii="仿宋_GB2312" w:eastAsia="仿宋_GB2312"/>
          <w:sz w:val="24"/>
        </w:rPr>
        <w:t>年龄：</w:t>
      </w:r>
      <w:r>
        <w:rPr>
          <w:rFonts w:hint="eastAsia" w:ascii="仿宋_GB2312" w:eastAsia="仿宋_GB2312"/>
          <w:sz w:val="24"/>
          <w:u w:val="single"/>
        </w:rPr>
        <w:t xml:space="preserve">    </w:t>
      </w:r>
      <w:r>
        <w:rPr>
          <w:rFonts w:hint="eastAsia" w:ascii="仿宋_GB2312" w:eastAsia="仿宋_GB2312"/>
          <w:sz w:val="24"/>
        </w:rPr>
        <w:t xml:space="preserve">  职务：</w:t>
      </w:r>
      <w:r>
        <w:rPr>
          <w:rFonts w:hint="eastAsia" w:ascii="仿宋_GB2312" w:eastAsia="仿宋_GB2312"/>
          <w:sz w:val="24"/>
          <w:u w:val="single"/>
        </w:rPr>
        <w:t xml:space="preserve">    </w:t>
      </w:r>
      <w:r>
        <w:rPr>
          <w:rFonts w:hint="eastAsia" w:ascii="仿宋_GB2312" w:eastAsia="仿宋_GB2312"/>
          <w:sz w:val="24"/>
        </w:rPr>
        <w:t xml:space="preserve">   系委托代表人。为施工、竣工和保修</w:t>
      </w:r>
      <w:r>
        <w:rPr>
          <w:rFonts w:hint="eastAsia" w:ascii="仿宋_GB2312" w:eastAsia="仿宋_GB2312"/>
          <w:sz w:val="24"/>
          <w:u w:val="single"/>
        </w:rPr>
        <w:t xml:space="preserve">                                   </w:t>
      </w:r>
      <w:r>
        <w:rPr>
          <w:rFonts w:hint="eastAsia" w:ascii="仿宋_GB2312" w:eastAsia="仿宋_GB2312"/>
          <w:sz w:val="24"/>
        </w:rPr>
        <w:t>项目，签署上述项目的投标文件、进行合同谈判、签署合同和处理与之有关的一切事务。</w:t>
      </w:r>
    </w:p>
    <w:p>
      <w:pPr>
        <w:spacing w:line="360" w:lineRule="auto"/>
        <w:rPr>
          <w:rFonts w:ascii="仿宋_GB2312" w:eastAsia="仿宋_GB2312"/>
          <w:sz w:val="24"/>
        </w:rPr>
      </w:pPr>
    </w:p>
    <w:p>
      <w:pPr>
        <w:spacing w:line="360" w:lineRule="auto"/>
        <w:ind w:firstLine="4680" w:firstLineChars="1950"/>
        <w:rPr>
          <w:rFonts w:ascii="仿宋_GB2312" w:eastAsia="仿宋_GB2312"/>
          <w:sz w:val="24"/>
        </w:rPr>
      </w:pPr>
      <w:r>
        <w:rPr>
          <w:rFonts w:hint="eastAsia" w:ascii="仿宋_GB2312" w:eastAsia="仿宋_GB2312"/>
          <w:sz w:val="24"/>
        </w:rPr>
        <w:t xml:space="preserve">投标人（盖章）：   </w:t>
      </w:r>
    </w:p>
    <w:p>
      <w:pPr>
        <w:spacing w:line="360" w:lineRule="auto"/>
        <w:ind w:firstLine="4920" w:firstLineChars="2050"/>
        <w:rPr>
          <w:rFonts w:ascii="仿宋_GB2312" w:eastAsia="仿宋_GB2312"/>
          <w:sz w:val="24"/>
        </w:rPr>
      </w:pPr>
      <w:r>
        <w:rPr>
          <w:rFonts w:hint="eastAsia" w:ascii="仿宋_GB2312" w:eastAsia="仿宋_GB2312"/>
          <w:sz w:val="24"/>
        </w:rPr>
        <w:t>年   月  日</w:t>
      </w:r>
    </w:p>
    <w:p>
      <w:pPr>
        <w:jc w:val="center"/>
        <w:rPr>
          <w:b/>
          <w:sz w:val="32"/>
          <w:szCs w:val="32"/>
        </w:rPr>
      </w:pPr>
      <w:r>
        <w:rPr>
          <w:sz w:val="24"/>
        </w:rPr>
        <w:br w:type="page"/>
      </w:r>
      <w:r>
        <w:rPr>
          <w:rFonts w:hint="eastAsia"/>
          <w:b/>
          <w:sz w:val="32"/>
          <w:szCs w:val="32"/>
        </w:rPr>
        <w:t>三、投标承诺书</w:t>
      </w:r>
    </w:p>
    <w:p>
      <w:pPr>
        <w:tabs>
          <w:tab w:val="left" w:pos="5355"/>
        </w:tabs>
        <w:spacing w:before="100" w:beforeAutospacing="1" w:after="100" w:afterAutospacing="1" w:line="480" w:lineRule="auto"/>
        <w:ind w:firstLine="480" w:firstLineChars="200"/>
        <w:rPr>
          <w:rFonts w:hint="eastAsia" w:ascii="仿宋_GB2312" w:hAnsi="宋体" w:eastAsia="仿宋_GB2312" w:cs="宋体"/>
          <w:bCs/>
          <w:sz w:val="24"/>
        </w:rPr>
      </w:pPr>
      <w:r>
        <w:rPr>
          <w:rFonts w:hint="eastAsia" w:ascii="仿宋_GB2312" w:hAnsi="宋体" w:eastAsia="仿宋_GB2312" w:cs="宋体"/>
          <w:bCs/>
          <w:sz w:val="24"/>
        </w:rPr>
        <w:t>我司承诺对</w:t>
      </w:r>
      <w:r>
        <w:rPr>
          <w:rFonts w:hint="eastAsia" w:ascii="仿宋_GB2312" w:hAnsi="宋体" w:eastAsia="仿宋_GB2312" w:cs="宋体"/>
          <w:bCs/>
          <w:sz w:val="24"/>
          <w:u w:val="single"/>
        </w:rPr>
        <w:t xml:space="preserve">                              </w:t>
      </w:r>
      <w:r>
        <w:rPr>
          <w:rFonts w:hint="eastAsia" w:ascii="仿宋_GB2312" w:hAnsi="宋体" w:eastAsia="仿宋_GB2312" w:cs="宋体"/>
          <w:bCs/>
          <w:sz w:val="24"/>
        </w:rPr>
        <w:t>项目的院内公开招标最终确定的综合评定最优结果表示认可，并承诺不会对福建省肿瘤医院在本项目招标过程中的工作模式以及终止本项目招标的可能提出疑议。</w:t>
      </w:r>
    </w:p>
    <w:p>
      <w:pPr>
        <w:tabs>
          <w:tab w:val="left" w:pos="5355"/>
        </w:tabs>
        <w:spacing w:before="100" w:beforeAutospacing="1" w:after="100" w:afterAutospacing="1" w:line="480" w:lineRule="auto"/>
        <w:ind w:firstLine="480" w:firstLineChars="200"/>
        <w:rPr>
          <w:rFonts w:hint="eastAsia" w:ascii="仿宋_GB2312" w:hAnsi="宋体" w:eastAsia="仿宋_GB2312" w:cs="宋体"/>
          <w:sz w:val="24"/>
        </w:rPr>
      </w:pPr>
      <w:r>
        <w:rPr>
          <w:rFonts w:hint="eastAsia" w:ascii="仿宋_GB2312" w:hAnsi="宋体" w:eastAsia="仿宋_GB2312" w:cs="宋体"/>
          <w:bCs/>
          <w:sz w:val="24"/>
        </w:rPr>
        <w:t>我司承诺本投标所有的相关承诺书、投标文件等都作为本项目合同不可分割的部分，并承诺本项目合同、承诺书、投标书、方案等相关资料中发生歧义、冲突的条款、指标均以福建省肿瘤医院解释或要求为标准。投标人承诺中标后能够完全配合本项目施工的进度开展工作。</w:t>
      </w:r>
    </w:p>
    <w:p>
      <w:pPr>
        <w:tabs>
          <w:tab w:val="left" w:pos="5355"/>
        </w:tabs>
        <w:spacing w:before="100" w:beforeAutospacing="1" w:after="100" w:afterAutospacing="1" w:line="480" w:lineRule="auto"/>
        <w:ind w:firstLine="480" w:firstLineChars="200"/>
        <w:rPr>
          <w:rFonts w:hint="eastAsia" w:ascii="仿宋_GB2312" w:hAnsi="宋体" w:eastAsia="仿宋_GB2312" w:cs="宋体"/>
          <w:sz w:val="24"/>
        </w:rPr>
      </w:pPr>
      <w:r>
        <w:rPr>
          <w:rFonts w:hint="eastAsia" w:ascii="仿宋_GB2312" w:hAnsi="宋体" w:eastAsia="仿宋_GB2312" w:cs="宋体"/>
          <w:bCs/>
          <w:sz w:val="24"/>
        </w:rPr>
        <w:t>我司承诺福建省肿瘤医院在授予我司合同时有权利增加补充相关内容。</w:t>
      </w:r>
    </w:p>
    <w:p>
      <w:pPr>
        <w:tabs>
          <w:tab w:val="left" w:pos="5355"/>
        </w:tabs>
        <w:spacing w:before="100" w:beforeAutospacing="1" w:after="100" w:afterAutospacing="1" w:line="480" w:lineRule="auto"/>
        <w:rPr>
          <w:rFonts w:hint="eastAsia" w:ascii="仿宋_GB2312" w:hAnsi="宋体" w:eastAsia="仿宋_GB2312" w:cs="宋体"/>
          <w:sz w:val="24"/>
        </w:rPr>
      </w:pPr>
      <w:r>
        <w:rPr>
          <w:rFonts w:hint="eastAsia" w:ascii="仿宋_GB2312" w:hAnsi="宋体" w:eastAsia="仿宋_GB2312" w:cs="宋体"/>
          <w:sz w:val="24"/>
        </w:rPr>
        <w:t>投标人名称（全称并加公章）：</w:t>
      </w:r>
    </w:p>
    <w:p>
      <w:pPr>
        <w:tabs>
          <w:tab w:val="left" w:pos="5355"/>
        </w:tabs>
        <w:spacing w:before="100" w:beforeAutospacing="1" w:after="100" w:afterAutospacing="1" w:line="480" w:lineRule="auto"/>
        <w:rPr>
          <w:rFonts w:hint="eastAsia" w:ascii="仿宋_GB2312" w:hAnsi="宋体" w:eastAsia="仿宋_GB2312" w:cs="宋体"/>
          <w:sz w:val="24"/>
        </w:rPr>
      </w:pPr>
      <w:r>
        <w:rPr>
          <w:rFonts w:hint="eastAsia" w:ascii="仿宋_GB2312" w:hAnsi="宋体" w:eastAsia="仿宋_GB2312" w:cs="宋体"/>
          <w:sz w:val="24"/>
        </w:rPr>
        <w:t>投标人代表签字：</w:t>
      </w:r>
    </w:p>
    <w:p>
      <w:pPr>
        <w:tabs>
          <w:tab w:val="left" w:pos="5355"/>
        </w:tabs>
        <w:spacing w:before="100" w:beforeAutospacing="1" w:after="100" w:afterAutospacing="1" w:line="480" w:lineRule="auto"/>
        <w:rPr>
          <w:b/>
          <w:sz w:val="24"/>
        </w:rPr>
      </w:pPr>
      <w:r>
        <w:rPr>
          <w:rFonts w:hint="eastAsia" w:ascii="仿宋_GB2312" w:hAnsi="宋体" w:eastAsia="仿宋_GB2312" w:cs="宋体"/>
          <w:sz w:val="24"/>
        </w:rPr>
        <w:t>日期：     年    月   日</w:t>
      </w:r>
    </w:p>
    <w:p>
      <w:pPr>
        <w:adjustRightInd/>
        <w:snapToGrid/>
        <w:spacing w:after="0"/>
      </w:pPr>
      <w:r>
        <w:br w:type="page"/>
      </w:r>
    </w:p>
    <w:p>
      <w:pPr>
        <w:jc w:val="center"/>
        <w:rPr>
          <w:rFonts w:hint="eastAsia" w:ascii="宋体" w:hAnsi="宋体" w:eastAsia="宋体"/>
          <w:b/>
          <w:sz w:val="28"/>
          <w:szCs w:val="28"/>
        </w:rPr>
      </w:pPr>
      <w:r>
        <w:rPr>
          <w:rFonts w:ascii="宋体" w:hAnsi="宋体" w:eastAsia="宋体"/>
          <w:b/>
          <w:sz w:val="28"/>
          <w:szCs w:val="28"/>
        </w:rPr>
        <w:t>四、投标人资格承诺函</w:t>
      </w:r>
    </w:p>
    <w:p>
      <w:pPr>
        <w:pStyle w:val="28"/>
        <w:ind w:firstLine="480"/>
        <w:rPr>
          <w:rFonts w:ascii="宋体" w:hAnsi="宋体" w:eastAsia="宋体" w:cs="宋体"/>
          <w:bCs/>
        </w:rPr>
      </w:pPr>
      <w:r>
        <w:rPr>
          <w:rFonts w:ascii="宋体" w:hAnsi="宋体" w:eastAsia="宋体" w:cs="宋体"/>
          <w:bCs/>
        </w:rPr>
        <w:t>致：（招标人）</w:t>
      </w:r>
    </w:p>
    <w:p>
      <w:pPr>
        <w:pStyle w:val="28"/>
        <w:ind w:firstLine="960"/>
        <w:rPr>
          <w:rFonts w:ascii="宋体" w:hAnsi="宋体" w:eastAsia="宋体" w:cs="宋体"/>
          <w:bCs/>
        </w:rPr>
      </w:pPr>
      <w:r>
        <w:rPr>
          <w:rFonts w:ascii="宋体" w:hAnsi="宋体" w:eastAsia="宋体" w:cs="宋体"/>
          <w:bCs/>
        </w:rPr>
        <w:t>单位名称(自然人姓名):</w:t>
      </w:r>
    </w:p>
    <w:p>
      <w:pPr>
        <w:pStyle w:val="28"/>
        <w:ind w:firstLine="960"/>
        <w:rPr>
          <w:rFonts w:ascii="宋体" w:hAnsi="宋体" w:eastAsia="宋体" w:cs="宋体"/>
          <w:bCs/>
        </w:rPr>
      </w:pPr>
      <w:r>
        <w:rPr>
          <w:rFonts w:ascii="宋体" w:hAnsi="宋体" w:eastAsia="宋体" w:cs="宋体"/>
          <w:bCs/>
        </w:rPr>
        <w:t>统一社会信用代码(自然人身份证号码):</w:t>
      </w:r>
    </w:p>
    <w:p>
      <w:pPr>
        <w:pStyle w:val="28"/>
        <w:ind w:firstLine="960"/>
        <w:rPr>
          <w:rFonts w:ascii="宋体" w:hAnsi="宋体" w:eastAsia="宋体" w:cs="宋体"/>
          <w:bCs/>
        </w:rPr>
      </w:pPr>
      <w:r>
        <w:rPr>
          <w:rFonts w:ascii="宋体" w:hAnsi="宋体" w:eastAsia="宋体" w:cs="宋体"/>
          <w:bCs/>
        </w:rPr>
        <w:t>法定代表人(负责人):</w:t>
      </w:r>
    </w:p>
    <w:p>
      <w:pPr>
        <w:pStyle w:val="28"/>
        <w:ind w:firstLine="960"/>
        <w:rPr>
          <w:rFonts w:ascii="宋体" w:hAnsi="宋体" w:eastAsia="宋体" w:cs="宋体"/>
          <w:bCs/>
        </w:rPr>
      </w:pPr>
      <w:r>
        <w:rPr>
          <w:rFonts w:ascii="宋体" w:hAnsi="宋体" w:eastAsia="宋体" w:cs="宋体"/>
          <w:bCs/>
        </w:rPr>
        <w:t>联系地址和电话:</w:t>
      </w:r>
    </w:p>
    <w:p>
      <w:pPr>
        <w:pStyle w:val="28"/>
        <w:ind w:firstLine="480"/>
        <w:rPr>
          <w:rFonts w:ascii="宋体" w:hAnsi="宋体" w:eastAsia="宋体" w:cs="宋体"/>
          <w:bCs/>
        </w:rPr>
      </w:pPr>
      <w:r>
        <w:rPr>
          <w:rFonts w:ascii="宋体" w:hAnsi="宋体" w:eastAsia="宋体" w:cs="宋体"/>
          <w:bCs/>
        </w:rPr>
        <w:t>我单位(本人)自愿参加本次政府采购活动，严格遵守《中华人民共和国政府采购法》及相关法律法规，坚守公开、公平公正和诚实信用等原则，依法诚信经营，并郑重承诺:</w:t>
      </w:r>
    </w:p>
    <w:p>
      <w:pPr>
        <w:pStyle w:val="28"/>
        <w:ind w:firstLine="480"/>
        <w:rPr>
          <w:rFonts w:ascii="宋体" w:hAnsi="宋体" w:eastAsia="宋体" w:cs="宋体"/>
          <w:bCs/>
        </w:rPr>
      </w:pPr>
      <w:r>
        <w:rPr>
          <w:rFonts w:ascii="宋体" w:hAnsi="宋体" w:eastAsia="宋体" w:cs="宋体"/>
          <w:bCs/>
        </w:rPr>
        <w:t>一、我单位(本人)具备采购文件要求以及《中华人民共和国政府采购法》第二十二条规定的条件:</w:t>
      </w:r>
    </w:p>
    <w:p>
      <w:pPr>
        <w:pStyle w:val="28"/>
        <w:ind w:firstLine="960"/>
        <w:rPr>
          <w:rFonts w:ascii="宋体" w:hAnsi="宋体" w:eastAsia="宋体" w:cs="宋体"/>
          <w:bCs/>
        </w:rPr>
      </w:pPr>
      <w:r>
        <w:rPr>
          <w:rFonts w:ascii="宋体" w:hAnsi="宋体" w:eastAsia="宋体" w:cs="宋体"/>
          <w:bCs/>
        </w:rPr>
        <w:t>1.具有独立承担民事责任的能力;</w:t>
      </w:r>
    </w:p>
    <w:p>
      <w:pPr>
        <w:pStyle w:val="28"/>
        <w:ind w:firstLine="960"/>
        <w:rPr>
          <w:rFonts w:ascii="宋体" w:hAnsi="宋体" w:eastAsia="宋体" w:cs="宋体"/>
          <w:bCs/>
        </w:rPr>
      </w:pPr>
      <w:r>
        <w:rPr>
          <w:rFonts w:ascii="宋体" w:hAnsi="宋体" w:eastAsia="宋体" w:cs="宋体"/>
          <w:bCs/>
        </w:rPr>
        <w:t>2.具有良好的商业信誉和健全的财务会计制度;</w:t>
      </w:r>
    </w:p>
    <w:p>
      <w:pPr>
        <w:pStyle w:val="28"/>
        <w:ind w:firstLine="960"/>
        <w:rPr>
          <w:rFonts w:ascii="宋体" w:hAnsi="宋体" w:eastAsia="宋体" w:cs="宋体"/>
          <w:bCs/>
        </w:rPr>
      </w:pPr>
      <w:r>
        <w:rPr>
          <w:rFonts w:ascii="宋体" w:hAnsi="宋体" w:eastAsia="宋体" w:cs="宋体"/>
          <w:bCs/>
        </w:rPr>
        <w:t>3.具有履行合同所必需的设备和专业技术能力;</w:t>
      </w:r>
    </w:p>
    <w:p>
      <w:pPr>
        <w:pStyle w:val="28"/>
        <w:ind w:firstLine="960"/>
        <w:rPr>
          <w:rFonts w:ascii="宋体" w:hAnsi="宋体" w:eastAsia="宋体" w:cs="宋体"/>
          <w:bCs/>
        </w:rPr>
      </w:pPr>
      <w:r>
        <w:rPr>
          <w:rFonts w:ascii="宋体" w:hAnsi="宋体" w:eastAsia="宋体" w:cs="宋体"/>
          <w:bCs/>
        </w:rPr>
        <w:t>4.有依法缴纳税收和社会保障资金的良好记录;</w:t>
      </w:r>
    </w:p>
    <w:p>
      <w:pPr>
        <w:pStyle w:val="28"/>
        <w:ind w:firstLine="960"/>
        <w:rPr>
          <w:rFonts w:ascii="宋体" w:hAnsi="宋体" w:eastAsia="宋体" w:cs="宋体"/>
          <w:bCs/>
        </w:rPr>
      </w:pPr>
      <w:r>
        <w:rPr>
          <w:rFonts w:ascii="宋体" w:hAnsi="宋体" w:eastAsia="宋体" w:cs="宋体"/>
          <w:bCs/>
        </w:rPr>
        <w:t>5.参加政府采购活动前三年内，在经营活动中没有重大违法记录；</w:t>
      </w:r>
    </w:p>
    <w:p>
      <w:pPr>
        <w:pStyle w:val="28"/>
        <w:ind w:firstLine="960"/>
        <w:rPr>
          <w:rFonts w:ascii="宋体" w:hAnsi="宋体" w:eastAsia="宋体" w:cs="宋体"/>
          <w:bCs/>
        </w:rPr>
      </w:pPr>
      <w:r>
        <w:rPr>
          <w:rFonts w:ascii="宋体" w:hAnsi="宋体" w:eastAsia="宋体" w:cs="宋体"/>
          <w:bCs/>
        </w:rPr>
        <w:t>6.法律、行政法规规定的其他条件。</w:t>
      </w:r>
    </w:p>
    <w:p>
      <w:pPr>
        <w:pStyle w:val="28"/>
        <w:ind w:firstLine="480"/>
        <w:rPr>
          <w:rFonts w:ascii="宋体" w:hAnsi="宋体" w:eastAsia="宋体" w:cs="宋体"/>
          <w:bCs/>
        </w:rPr>
      </w:pPr>
      <w:r>
        <w:rPr>
          <w:rFonts w:ascii="宋体" w:hAnsi="宋体" w:eastAsia="宋体" w:cs="宋体"/>
          <w:bCs/>
        </w:rPr>
        <w:t>二、不存在违反《中华人民共和国政府采购法实施条例》第十八条规定的“单位负责人为同一人或者存在直接控股、管理关系的不同投标人，不得参加同一合同项下的招标活动。除单一来源招标项目外，为招标项目提供整体设计、规范编制或者项目管理、监理、检测等服务的投标人，不得再参加该招标项目的其他招标活动”情形。</w:t>
      </w:r>
    </w:p>
    <w:p>
      <w:pPr>
        <w:pStyle w:val="28"/>
        <w:ind w:firstLine="480"/>
        <w:rPr>
          <w:rFonts w:ascii="宋体" w:hAnsi="宋体" w:eastAsia="宋体" w:cs="宋体"/>
          <w:bCs/>
        </w:rPr>
      </w:pPr>
      <w:r>
        <w:rPr>
          <w:rFonts w:ascii="宋体" w:hAnsi="宋体" w:eastAsia="宋体" w:cs="宋体"/>
          <w:bCs/>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28"/>
        <w:ind w:firstLine="480"/>
        <w:jc w:val="right"/>
        <w:rPr>
          <w:rFonts w:ascii="宋体" w:hAnsi="宋体" w:eastAsia="宋体" w:cs="宋体"/>
          <w:bCs/>
        </w:rPr>
      </w:pPr>
      <w:r>
        <w:rPr>
          <w:rFonts w:ascii="宋体" w:hAnsi="宋体" w:eastAsia="宋体" w:cs="宋体"/>
          <w:bCs/>
        </w:rPr>
        <w:t>投标人：名称(单位公章):</w:t>
      </w:r>
    </w:p>
    <w:p>
      <w:pPr>
        <w:pStyle w:val="28"/>
        <w:ind w:firstLine="480"/>
        <w:jc w:val="right"/>
        <w:rPr>
          <w:rFonts w:ascii="宋体" w:hAnsi="宋体" w:eastAsia="宋体" w:cs="宋体"/>
          <w:bCs/>
        </w:rPr>
      </w:pPr>
      <w:r>
        <w:rPr>
          <w:rFonts w:ascii="宋体" w:hAnsi="宋体" w:eastAsia="宋体" w:cs="宋体"/>
          <w:bCs/>
        </w:rPr>
        <w:t>日期：　　年　　月　　日</w:t>
      </w:r>
    </w:p>
    <w:p>
      <w:pPr>
        <w:pStyle w:val="28"/>
        <w:ind w:firstLine="480"/>
        <w:rPr>
          <w:rFonts w:ascii="宋体" w:hAnsi="宋体" w:eastAsia="宋体" w:cs="宋体"/>
          <w:bCs/>
        </w:rPr>
      </w:pPr>
      <w:r>
        <w:rPr>
          <w:rFonts w:ascii="宋体" w:hAnsi="宋体" w:eastAsia="宋体" w:cs="宋体"/>
          <w:bCs/>
        </w:rPr>
        <w:t>注：</w:t>
      </w:r>
    </w:p>
    <w:p>
      <w:pPr>
        <w:pStyle w:val="28"/>
        <w:ind w:firstLine="960"/>
        <w:rPr>
          <w:rFonts w:ascii="宋体" w:hAnsi="宋体" w:eastAsia="宋体" w:cs="宋体"/>
          <w:bCs/>
        </w:rPr>
      </w:pPr>
      <w:r>
        <w:rPr>
          <w:rFonts w:ascii="宋体" w:hAnsi="宋体" w:eastAsia="宋体" w:cs="宋体"/>
          <w:bCs/>
        </w:rPr>
        <w:t>1.我单位(本人)专指参加政府采购活动的投标人(含自然人)；</w:t>
      </w:r>
    </w:p>
    <w:p>
      <w:pPr>
        <w:pStyle w:val="28"/>
        <w:ind w:firstLine="960"/>
        <w:rPr>
          <w:rFonts w:ascii="宋体" w:hAnsi="宋体" w:eastAsia="宋体" w:cs="宋体"/>
          <w:bCs/>
        </w:rPr>
      </w:pPr>
      <w:r>
        <w:rPr>
          <w:rFonts w:ascii="宋体" w:hAnsi="宋体" w:eastAsia="宋体" w:cs="宋体"/>
          <w:bCs/>
        </w:rPr>
        <w:t>2.资格承诺的投标人应在投标(响应)文件中按此模板提供承诺函，否则，视为未按照招标文件规定提交投标人的资格及资信文件，按资格审查不通过处理。</w:t>
      </w:r>
    </w:p>
    <w:p/>
    <w:sectPr>
      <w:footerReference r:id="rId4" w:type="default"/>
      <w:pgSz w:w="11906" w:h="16838"/>
      <w:pgMar w:top="1440" w:right="1800" w:bottom="1440" w:left="1800" w:header="708" w:footer="708" w:gutter="0"/>
      <w:cols w:space="720" w:num="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DejaVu Sans">
    <w:altName w:val="Segoe Print"/>
    <w:panose1 w:val="020B0603030804020204"/>
    <w:charset w:val="00"/>
    <w:family w:val="auto"/>
    <w:pitch w:val="default"/>
    <w:sig w:usb0="E7006EFF" w:usb1="D200FDFF" w:usb2="0A246029" w:usb3="0400200C" w:csb0="600001FF" w:csb1="DFFF0000"/>
  </w:font>
  <w:font w:name="Calibri">
    <w:panose1 w:val="020F0502020204030204"/>
    <w:charset w:val="00"/>
    <w:family w:val="auto"/>
    <w:pitch w:val="default"/>
    <w:sig w:usb0="E4002EFF" w:usb1="C000247B" w:usb2="00000009" w:usb3="00000000" w:csb0="200001FF" w:csb1="00000000"/>
  </w:font>
  <w:font w:name="方正书宋_GBK">
    <w:altName w:val="宋体"/>
    <w:panose1 w:val="02000000000000000000"/>
    <w:charset w:val="86"/>
    <w:family w:val="auto"/>
    <w:pitch w:val="default"/>
    <w:sig w:usb0="00000001" w:usb1="08000000" w:usb2="00000000" w:usb3="00000000" w:csb0="00040000" w:csb1="00000000"/>
  </w:font>
  <w:font w:name="方正黑体_GBK">
    <w:altName w:val="黑体"/>
    <w:panose1 w:val="02000000000000000000"/>
    <w:charset w:val="86"/>
    <w:family w:val="auto"/>
    <w:pitch w:val="default"/>
    <w:sig w:usb0="00000001" w:usb1="08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Noto Sans Syriac Eastern">
    <w:altName w:val="宋体"/>
    <w:panose1 w:val="02040503050306020203"/>
    <w:charset w:val="86"/>
    <w:family w:val="auto"/>
    <w:pitch w:val="default"/>
    <w:sig w:usb0="00000000" w:usb1="00000000" w:usb2="00000080" w:usb3="00000000" w:csb0="203E0161" w:csb1="D7FF0000"/>
  </w:font>
  <w:font w:name="方正仿宋简体">
    <w:altName w:val="Arial Unicode MS"/>
    <w:panose1 w:val="00000000000000000000"/>
    <w:charset w:val="86"/>
    <w:family w:val="auto"/>
    <w:pitch w:val="default"/>
    <w:sig w:usb0="00000000" w:usb1="00000000" w:usb2="00000010" w:usb3="00000000" w:csb0="00040000" w:csb1="00000000"/>
  </w:font>
  <w:font w:name="方正仿宋_GBK">
    <w:altName w:val="Arial Unicode MS"/>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文泉驿微米黑">
    <w:altName w:val="黑体"/>
    <w:panose1 w:val="020B0606030804020204"/>
    <w:charset w:val="86"/>
    <w:family w:val="auto"/>
    <w:pitch w:val="default"/>
    <w:sig w:usb0="E10002EF" w:usb1="6BDFFCFB" w:usb2="00800036" w:usb3="00000000" w:csb0="603E019F" w:csb1="DFD7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pPr>
    <w:r>
      <w:rPr>
        <w:rFonts w:ascii="Tahoma" w:hAnsi="Tahoma" w:eastAsia="微软雅黑" w:cs="Times New Roman"/>
        <w:kern w:val="0"/>
        <w:sz w:val="18"/>
        <w:szCs w:val="18"/>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4"/>
                </w:pPr>
                <w:r>
                  <w:fldChar w:fldCharType="begin"/>
                </w:r>
                <w:r>
                  <w:instrText xml:space="preserve"> PAGE  \* MERGEFORMAT </w:instrText>
                </w:r>
                <w:r>
                  <w:fldChar w:fldCharType="separate"/>
                </w:r>
                <w:r>
                  <w:t>1</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232748097">
    <w:nsid w:val="C0AFD241"/>
    <w:multiLevelType w:val="singleLevel"/>
    <w:tmpl w:val="C0AFD241"/>
    <w:lvl w:ilvl="0" w:tentative="1">
      <w:start w:val="1"/>
      <w:numFmt w:val="decimal"/>
      <w:lvlText w:val="%1."/>
      <w:lvlJc w:val="left"/>
      <w:pPr>
        <w:tabs>
          <w:tab w:val="left" w:pos="420"/>
        </w:tabs>
        <w:ind w:left="845" w:hanging="425"/>
      </w:pPr>
      <w:rPr>
        <w:rFonts w:hint="default"/>
      </w:rPr>
    </w:lvl>
  </w:abstractNum>
  <w:abstractNum w:abstractNumId="3263560335">
    <w:nsid w:val="C285FA8F"/>
    <w:multiLevelType w:val="singleLevel"/>
    <w:tmpl w:val="C285FA8F"/>
    <w:lvl w:ilvl="0" w:tentative="1">
      <w:start w:val="1"/>
      <w:numFmt w:val="decimal"/>
      <w:lvlText w:val="%1."/>
      <w:lvlJc w:val="left"/>
      <w:pPr>
        <w:tabs>
          <w:tab w:val="left" w:pos="420"/>
        </w:tabs>
        <w:ind w:left="845" w:hanging="425"/>
      </w:pPr>
      <w:rPr>
        <w:rFonts w:hint="default"/>
      </w:rPr>
    </w:lvl>
  </w:abstractNum>
  <w:abstractNum w:abstractNumId="3938595135">
    <w:nsid w:val="EAC2313F"/>
    <w:multiLevelType w:val="singleLevel"/>
    <w:tmpl w:val="EAC2313F"/>
    <w:lvl w:ilvl="0" w:tentative="1">
      <w:start w:val="1"/>
      <w:numFmt w:val="decimal"/>
      <w:lvlText w:val="%1."/>
      <w:lvlJc w:val="left"/>
      <w:pPr>
        <w:tabs>
          <w:tab w:val="left" w:pos="420"/>
        </w:tabs>
        <w:ind w:left="845" w:hanging="425"/>
      </w:pPr>
      <w:rPr>
        <w:rFonts w:hint="default"/>
      </w:rPr>
    </w:lvl>
  </w:abstractNum>
  <w:abstractNum w:abstractNumId="4259432594">
    <w:nsid w:val="FDE1C892"/>
    <w:multiLevelType w:val="singleLevel"/>
    <w:tmpl w:val="FDE1C892"/>
    <w:lvl w:ilvl="0" w:tentative="1">
      <w:start w:val="1"/>
      <w:numFmt w:val="decimal"/>
      <w:lvlText w:val="%1."/>
      <w:lvlJc w:val="left"/>
      <w:pPr>
        <w:tabs>
          <w:tab w:val="left" w:pos="420"/>
        </w:tabs>
        <w:ind w:left="845" w:hanging="425"/>
      </w:pPr>
      <w:rPr>
        <w:rFonts w:hint="default"/>
      </w:rPr>
    </w:lvl>
  </w:abstractNum>
  <w:abstractNum w:abstractNumId="442648873">
    <w:nsid w:val="1A624929"/>
    <w:multiLevelType w:val="multilevel"/>
    <w:tmpl w:val="1A624929"/>
    <w:lvl w:ilvl="0" w:tentative="1">
      <w:start w:val="1"/>
      <w:numFmt w:val="decimal"/>
      <w:lvlText w:val="%1."/>
      <w:lvlJc w:val="left"/>
      <w:pPr>
        <w:ind w:left="995" w:hanging="440"/>
      </w:pPr>
    </w:lvl>
    <w:lvl w:ilvl="1" w:tentative="1">
      <w:start w:val="1"/>
      <w:numFmt w:val="lowerLetter"/>
      <w:lvlText w:val="%2)"/>
      <w:lvlJc w:val="left"/>
      <w:pPr>
        <w:ind w:left="1435" w:hanging="440"/>
      </w:pPr>
    </w:lvl>
    <w:lvl w:ilvl="2" w:tentative="1">
      <w:start w:val="1"/>
      <w:numFmt w:val="lowerRoman"/>
      <w:lvlText w:val="%3."/>
      <w:lvlJc w:val="right"/>
      <w:pPr>
        <w:ind w:left="1875" w:hanging="440"/>
      </w:pPr>
    </w:lvl>
    <w:lvl w:ilvl="3" w:tentative="1">
      <w:start w:val="1"/>
      <w:numFmt w:val="decimal"/>
      <w:lvlText w:val="%4."/>
      <w:lvlJc w:val="left"/>
      <w:pPr>
        <w:ind w:left="2315" w:hanging="440"/>
      </w:pPr>
    </w:lvl>
    <w:lvl w:ilvl="4" w:tentative="1">
      <w:start w:val="1"/>
      <w:numFmt w:val="lowerLetter"/>
      <w:lvlText w:val="%5)"/>
      <w:lvlJc w:val="left"/>
      <w:pPr>
        <w:ind w:left="2755" w:hanging="440"/>
      </w:pPr>
    </w:lvl>
    <w:lvl w:ilvl="5" w:tentative="1">
      <w:start w:val="1"/>
      <w:numFmt w:val="lowerRoman"/>
      <w:lvlText w:val="%6."/>
      <w:lvlJc w:val="right"/>
      <w:pPr>
        <w:ind w:left="3195" w:hanging="440"/>
      </w:pPr>
    </w:lvl>
    <w:lvl w:ilvl="6" w:tentative="1">
      <w:start w:val="1"/>
      <w:numFmt w:val="decimal"/>
      <w:lvlText w:val="%7."/>
      <w:lvlJc w:val="left"/>
      <w:pPr>
        <w:ind w:left="3635" w:hanging="440"/>
      </w:pPr>
    </w:lvl>
    <w:lvl w:ilvl="7" w:tentative="1">
      <w:start w:val="1"/>
      <w:numFmt w:val="lowerLetter"/>
      <w:lvlText w:val="%8)"/>
      <w:lvlJc w:val="left"/>
      <w:pPr>
        <w:ind w:left="4075" w:hanging="440"/>
      </w:pPr>
    </w:lvl>
    <w:lvl w:ilvl="8" w:tentative="1">
      <w:start w:val="1"/>
      <w:numFmt w:val="lowerRoman"/>
      <w:lvlText w:val="%9."/>
      <w:lvlJc w:val="right"/>
      <w:pPr>
        <w:ind w:left="4515" w:hanging="440"/>
      </w:pPr>
    </w:lvl>
  </w:abstractNum>
  <w:num w:numId="1">
    <w:abstractNumId w:val="442648873"/>
  </w:num>
  <w:num w:numId="2">
    <w:abstractNumId w:val="3232748097"/>
  </w:num>
  <w:num w:numId="3">
    <w:abstractNumId w:val="3938595135"/>
  </w:num>
  <w:num w:numId="4">
    <w:abstractNumId w:val="4259432594"/>
  </w:num>
  <w:num w:numId="5">
    <w:abstractNumId w:val="32635603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doNotLeaveBackslashAlone/>
    <w:ulTrailSpace/>
    <w:doNotExpandShiftReturn/>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qFormat="1" w:unhideWhenUsed="0" w:uiPriority="0" w:semiHidden="0"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unhideWhenUsed="0" w:uiPriority="99" w:semiHidden="0" w:name="Emphasis"/>
    <w:lsdException w:uiPriority="99"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link w:val="30"/>
    <w:qFormat/>
    <w:uiPriority w:val="9"/>
    <w:pPr>
      <w:keepNext/>
      <w:keepLines/>
      <w:spacing w:before="480" w:after="80"/>
      <w:outlineLvl w:val="0"/>
    </w:pPr>
    <w:rPr>
      <w:rFonts w:ascii="Cambria" w:hAnsi="Cambria" w:eastAsia="宋体" w:cs="黑体"/>
      <w:color w:val="365F90"/>
      <w:sz w:val="48"/>
      <w:szCs w:val="48"/>
    </w:rPr>
  </w:style>
  <w:style w:type="paragraph" w:styleId="3">
    <w:name w:val="heading 2"/>
    <w:basedOn w:val="1"/>
    <w:link w:val="31"/>
    <w:semiHidden/>
    <w:unhideWhenUsed/>
    <w:qFormat/>
    <w:uiPriority w:val="9"/>
    <w:pPr>
      <w:keepNext/>
      <w:keepLines/>
      <w:spacing w:before="160" w:after="80"/>
      <w:outlineLvl w:val="1"/>
    </w:pPr>
    <w:rPr>
      <w:rFonts w:ascii="Cambria" w:hAnsi="Cambria" w:eastAsia="宋体" w:cs="黑体"/>
      <w:color w:val="365F90"/>
      <w:sz w:val="40"/>
      <w:szCs w:val="40"/>
    </w:rPr>
  </w:style>
  <w:style w:type="paragraph" w:styleId="4">
    <w:name w:val="heading 3"/>
    <w:basedOn w:val="1"/>
    <w:link w:val="32"/>
    <w:semiHidden/>
    <w:unhideWhenUsed/>
    <w:qFormat/>
    <w:uiPriority w:val="9"/>
    <w:pPr>
      <w:keepNext/>
      <w:keepLines/>
      <w:spacing w:before="160" w:after="80"/>
      <w:outlineLvl w:val="2"/>
    </w:pPr>
    <w:rPr>
      <w:rFonts w:ascii="Cambria" w:hAnsi="Cambria" w:eastAsia="宋体" w:cs="黑体"/>
      <w:color w:val="365F90"/>
      <w:sz w:val="32"/>
      <w:szCs w:val="32"/>
    </w:rPr>
  </w:style>
  <w:style w:type="paragraph" w:styleId="5">
    <w:name w:val="heading 4"/>
    <w:basedOn w:val="1"/>
    <w:link w:val="33"/>
    <w:semiHidden/>
    <w:unhideWhenUsed/>
    <w:qFormat/>
    <w:uiPriority w:val="9"/>
    <w:pPr>
      <w:keepNext/>
      <w:keepLines/>
      <w:spacing w:before="80" w:after="40"/>
      <w:outlineLvl w:val="3"/>
    </w:pPr>
    <w:rPr>
      <w:rFonts w:cs="黑体"/>
      <w:color w:val="365F90"/>
      <w:sz w:val="28"/>
      <w:szCs w:val="28"/>
    </w:rPr>
  </w:style>
  <w:style w:type="paragraph" w:styleId="6">
    <w:name w:val="heading 5"/>
    <w:basedOn w:val="1"/>
    <w:link w:val="34"/>
    <w:semiHidden/>
    <w:unhideWhenUsed/>
    <w:qFormat/>
    <w:uiPriority w:val="9"/>
    <w:pPr>
      <w:keepNext/>
      <w:keepLines/>
      <w:spacing w:before="80" w:after="40"/>
      <w:outlineLvl w:val="4"/>
    </w:pPr>
    <w:rPr>
      <w:rFonts w:cs="黑体"/>
      <w:color w:val="365F90"/>
      <w:sz w:val="24"/>
      <w:szCs w:val="24"/>
    </w:rPr>
  </w:style>
  <w:style w:type="paragraph" w:styleId="7">
    <w:name w:val="heading 6"/>
    <w:basedOn w:val="1"/>
    <w:link w:val="35"/>
    <w:semiHidden/>
    <w:unhideWhenUsed/>
    <w:qFormat/>
    <w:uiPriority w:val="9"/>
    <w:pPr>
      <w:keepNext/>
      <w:keepLines/>
      <w:spacing w:before="40"/>
      <w:outlineLvl w:val="5"/>
    </w:pPr>
    <w:rPr>
      <w:rFonts w:cs="黑体"/>
      <w:b/>
      <w:bCs/>
      <w:color w:val="365F90"/>
    </w:rPr>
  </w:style>
  <w:style w:type="paragraph" w:styleId="8">
    <w:name w:val="heading 7"/>
    <w:basedOn w:val="1"/>
    <w:link w:val="36"/>
    <w:semiHidden/>
    <w:unhideWhenUsed/>
    <w:qFormat/>
    <w:uiPriority w:val="9"/>
    <w:pPr>
      <w:keepNext/>
      <w:keepLines/>
      <w:spacing w:before="40"/>
      <w:outlineLvl w:val="6"/>
    </w:pPr>
    <w:rPr>
      <w:rFonts w:cs="黑体"/>
      <w:b/>
      <w:bCs/>
      <w:color w:val="565656"/>
    </w:rPr>
  </w:style>
  <w:style w:type="paragraph" w:styleId="9">
    <w:name w:val="heading 8"/>
    <w:basedOn w:val="1"/>
    <w:link w:val="37"/>
    <w:semiHidden/>
    <w:unhideWhenUsed/>
    <w:qFormat/>
    <w:uiPriority w:val="9"/>
    <w:pPr>
      <w:keepNext/>
      <w:keepLines/>
      <w:outlineLvl w:val="7"/>
    </w:pPr>
    <w:rPr>
      <w:rFonts w:cs="黑体"/>
      <w:color w:val="565656"/>
    </w:rPr>
  </w:style>
  <w:style w:type="paragraph" w:styleId="10">
    <w:name w:val="heading 9"/>
    <w:basedOn w:val="1"/>
    <w:link w:val="38"/>
    <w:semiHidden/>
    <w:unhideWhenUsed/>
    <w:qFormat/>
    <w:uiPriority w:val="9"/>
    <w:pPr>
      <w:keepNext/>
      <w:keepLines/>
      <w:outlineLvl w:val="8"/>
    </w:pPr>
    <w:rPr>
      <w:rFonts w:eastAsia="宋体" w:cs="黑体"/>
      <w:color w:val="565656"/>
    </w:rPr>
  </w:style>
  <w:style w:type="character" w:default="1" w:styleId="22">
    <w:name w:val="Default Paragraph Font"/>
    <w:semiHidden/>
    <w:unhideWhenUsed/>
    <w:qFormat/>
    <w:uiPriority w:val="1"/>
  </w:style>
  <w:style w:type="paragraph" w:styleId="11">
    <w:name w:val="Body Text"/>
    <w:basedOn w:val="1"/>
    <w:link w:val="49"/>
    <w:unhideWhenUsed/>
    <w:qFormat/>
    <w:uiPriority w:val="0"/>
    <w:pPr>
      <w:spacing w:after="120"/>
    </w:pPr>
  </w:style>
  <w:style w:type="paragraph" w:styleId="12">
    <w:name w:val="Body Text Indent"/>
    <w:basedOn w:val="1"/>
    <w:qFormat/>
    <w:uiPriority w:val="0"/>
    <w:pPr>
      <w:tabs>
        <w:tab w:val="left" w:pos="0"/>
        <w:tab w:val="left" w:pos="993"/>
        <w:tab w:val="left" w:pos="1134"/>
      </w:tabs>
      <w:spacing w:line="500" w:lineRule="exact"/>
      <w:ind w:firstLine="567"/>
      <w:jc w:val="both"/>
    </w:pPr>
    <w:rPr>
      <w:rFonts w:ascii="宋体"/>
      <w:sz w:val="28"/>
      <w:lang w:eastAsia="zh-CN"/>
    </w:rPr>
  </w:style>
  <w:style w:type="paragraph" w:styleId="13">
    <w:name w:val="Plain Text"/>
    <w:basedOn w:val="1"/>
    <w:link w:val="47"/>
    <w:unhideWhenUsed/>
    <w:qFormat/>
    <w:uiPriority w:val="99"/>
    <w:rPr>
      <w:rFonts w:ascii="宋体" w:hAnsi="Courier New" w:eastAsia="宋体" w:cs="Courier New"/>
      <w:kern w:val="2"/>
      <w:sz w:val="21"/>
      <w:szCs w:val="21"/>
    </w:rPr>
  </w:style>
  <w:style w:type="paragraph" w:styleId="14">
    <w:name w:val="footer"/>
    <w:basedOn w:val="1"/>
    <w:link w:val="46"/>
    <w:unhideWhenUsed/>
    <w:qFormat/>
    <w:uiPriority w:val="99"/>
    <w:pPr>
      <w:tabs>
        <w:tab w:val="center" w:pos="4153"/>
        <w:tab w:val="right" w:pos="8306"/>
      </w:tabs>
    </w:pPr>
    <w:rPr>
      <w:sz w:val="18"/>
      <w:szCs w:val="18"/>
    </w:rPr>
  </w:style>
  <w:style w:type="paragraph" w:styleId="15">
    <w:name w:val="Body Text First Indent 2"/>
    <w:basedOn w:val="12"/>
    <w:qFormat/>
    <w:uiPriority w:val="99"/>
    <w:pPr>
      <w:widowControl w:val="0"/>
      <w:adjustRightInd w:val="0"/>
      <w:spacing w:after="120" w:line="360" w:lineRule="atLeast"/>
      <w:ind w:left="420" w:leftChars="200" w:firstLine="420" w:firstLineChars="200"/>
    </w:pPr>
    <w:rPr>
      <w:rFonts w:ascii="Times New Roman"/>
      <w:sz w:val="20"/>
    </w:rPr>
  </w:style>
  <w:style w:type="paragraph" w:styleId="16">
    <w:name w:val="header"/>
    <w:basedOn w:val="1"/>
    <w:link w:val="45"/>
    <w:unhideWhenUsed/>
    <w:qFormat/>
    <w:uiPriority w:val="99"/>
    <w:pPr>
      <w:tabs>
        <w:tab w:val="center" w:pos="4153"/>
        <w:tab w:val="right" w:pos="8306"/>
      </w:tabs>
      <w:jc w:val="center"/>
    </w:pPr>
    <w:rPr>
      <w:sz w:val="18"/>
      <w:szCs w:val="18"/>
    </w:rPr>
  </w:style>
  <w:style w:type="paragraph" w:styleId="17">
    <w:name w:val="index heading"/>
    <w:basedOn w:val="1"/>
    <w:qFormat/>
    <w:uiPriority w:val="0"/>
    <w:pPr>
      <w:widowControl w:val="0"/>
      <w:adjustRightInd/>
      <w:snapToGrid/>
      <w:spacing w:after="0"/>
      <w:jc w:val="both"/>
    </w:pPr>
    <w:rPr>
      <w:rFonts w:ascii="Calibri" w:hAnsi="Calibri" w:eastAsia="宋体"/>
      <w:kern w:val="2"/>
      <w:sz w:val="21"/>
      <w:szCs w:val="21"/>
    </w:rPr>
  </w:style>
  <w:style w:type="paragraph" w:styleId="18">
    <w:name w:val="Subtitle"/>
    <w:basedOn w:val="1"/>
    <w:link w:val="40"/>
    <w:qFormat/>
    <w:uiPriority w:val="11"/>
    <w:pPr>
      <w:spacing w:after="160"/>
      <w:jc w:val="center"/>
    </w:pPr>
    <w:rPr>
      <w:rFonts w:ascii="Cambria" w:hAnsi="Cambria" w:eastAsia="宋体" w:cs="黑体"/>
      <w:color w:val="565656"/>
      <w:spacing w:val="15"/>
      <w:sz w:val="28"/>
      <w:szCs w:val="28"/>
    </w:rPr>
  </w:style>
  <w:style w:type="paragraph" w:styleId="19">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paragraph" w:styleId="20">
    <w:name w:val="index 1"/>
    <w:basedOn w:val="1"/>
    <w:unhideWhenUsed/>
    <w:qFormat/>
    <w:uiPriority w:val="0"/>
  </w:style>
  <w:style w:type="paragraph" w:styleId="21">
    <w:name w:val="Title"/>
    <w:basedOn w:val="1"/>
    <w:link w:val="39"/>
    <w:qFormat/>
    <w:uiPriority w:val="10"/>
    <w:pPr>
      <w:spacing w:after="80"/>
      <w:contextualSpacing/>
      <w:jc w:val="center"/>
    </w:pPr>
    <w:rPr>
      <w:rFonts w:ascii="Cambria" w:hAnsi="Cambria" w:eastAsia="宋体" w:cs="黑体"/>
      <w:spacing w:val="-10"/>
      <w:kern w:val="28"/>
      <w:sz w:val="56"/>
      <w:szCs w:val="56"/>
    </w:rPr>
  </w:style>
  <w:style w:type="character" w:styleId="23">
    <w:name w:val="Strong"/>
    <w:basedOn w:val="22"/>
    <w:qFormat/>
    <w:uiPriority w:val="99"/>
    <w:rPr>
      <w:b/>
    </w:rPr>
  </w:style>
  <w:style w:type="paragraph" w:customStyle="1" w:styleId="24">
    <w:name w:val="Quote"/>
    <w:basedOn w:val="1"/>
    <w:link w:val="41"/>
    <w:qFormat/>
    <w:uiPriority w:val="29"/>
    <w:pPr>
      <w:spacing w:before="160" w:after="160"/>
      <w:jc w:val="center"/>
    </w:pPr>
    <w:rPr>
      <w:i/>
      <w:iCs/>
      <w:color w:val="3F3F3F"/>
    </w:rPr>
  </w:style>
  <w:style w:type="paragraph" w:customStyle="1" w:styleId="25">
    <w:name w:val="List Paragraph"/>
    <w:basedOn w:val="1"/>
    <w:qFormat/>
    <w:uiPriority w:val="99"/>
    <w:pPr>
      <w:ind w:left="720"/>
      <w:contextualSpacing/>
    </w:pPr>
  </w:style>
  <w:style w:type="paragraph" w:customStyle="1" w:styleId="26">
    <w:name w:val="Intense Quote"/>
    <w:basedOn w:val="1"/>
    <w:link w:val="43"/>
    <w:qFormat/>
    <w:uiPriority w:val="30"/>
    <w:pPr>
      <w:pBdr>
        <w:top w:val="single" w:color="366091" w:sz="4" w:space="10"/>
        <w:bottom w:val="single" w:color="366091" w:sz="4" w:space="10"/>
      </w:pBdr>
      <w:spacing w:before="360" w:after="360"/>
      <w:ind w:left="864" w:right="864"/>
      <w:jc w:val="center"/>
    </w:pPr>
    <w:rPr>
      <w:i/>
      <w:iCs/>
      <w:color w:val="365F90"/>
    </w:rPr>
  </w:style>
  <w:style w:type="paragraph" w:customStyle="1" w:styleId="27">
    <w:name w:val="_Style 38"/>
    <w:basedOn w:val="1"/>
    <w:qFormat/>
    <w:uiPriority w:val="34"/>
    <w:pPr>
      <w:ind w:firstLine="420" w:firstLineChars="200"/>
    </w:pPr>
  </w:style>
  <w:style w:type="paragraph" w:customStyle="1" w:styleId="28">
    <w:name w:val="null3"/>
    <w:qFormat/>
    <w:uiPriority w:val="0"/>
    <w:rPr>
      <w:rFonts w:hint="eastAsia" w:ascii="Calibri" w:hAnsi="Calibri" w:eastAsia="宋体" w:cs="Times New Roman"/>
      <w:kern w:val="0"/>
      <w:sz w:val="20"/>
      <w:szCs w:val="20"/>
      <w:lang w:val="en-US" w:eastAsia="zh-CN" w:bidi="ar-SA"/>
    </w:rPr>
  </w:style>
  <w:style w:type="paragraph" w:customStyle="1" w:styleId="29">
    <w:name w:val="首行缩进"/>
    <w:basedOn w:val="1"/>
    <w:qFormat/>
    <w:uiPriority w:val="0"/>
    <w:pPr>
      <w:widowControl w:val="0"/>
      <w:adjustRightInd/>
      <w:snapToGrid/>
      <w:spacing w:after="0"/>
      <w:ind w:firstLine="480" w:firstLineChars="200"/>
      <w:jc w:val="both"/>
    </w:pPr>
    <w:rPr>
      <w:rFonts w:ascii="Times New Roman" w:hAnsi="Times New Roman" w:eastAsia="宋体"/>
      <w:kern w:val="2"/>
      <w:sz w:val="21"/>
      <w:szCs w:val="24"/>
      <w:lang w:val="zh-CN"/>
    </w:rPr>
  </w:style>
  <w:style w:type="character" w:customStyle="1" w:styleId="30">
    <w:name w:val="标题 1 字符"/>
    <w:basedOn w:val="22"/>
    <w:link w:val="2"/>
    <w:uiPriority w:val="9"/>
    <w:rPr>
      <w:rFonts w:ascii="Cambria" w:hAnsi="Cambria" w:eastAsia="宋体" w:cs="黑体"/>
      <w:color w:val="365F90"/>
      <w:sz w:val="48"/>
      <w:szCs w:val="48"/>
    </w:rPr>
  </w:style>
  <w:style w:type="character" w:customStyle="1" w:styleId="31">
    <w:name w:val="标题 2 字符"/>
    <w:basedOn w:val="22"/>
    <w:link w:val="3"/>
    <w:uiPriority w:val="9"/>
    <w:rPr>
      <w:rFonts w:ascii="Cambria" w:hAnsi="Cambria" w:eastAsia="宋体" w:cs="黑体"/>
      <w:color w:val="365F90"/>
      <w:sz w:val="40"/>
      <w:szCs w:val="40"/>
    </w:rPr>
  </w:style>
  <w:style w:type="character" w:customStyle="1" w:styleId="32">
    <w:name w:val="标题 3 字符"/>
    <w:basedOn w:val="22"/>
    <w:link w:val="4"/>
    <w:uiPriority w:val="9"/>
    <w:rPr>
      <w:rFonts w:ascii="Cambria" w:hAnsi="Cambria" w:eastAsia="宋体" w:cs="黑体"/>
      <w:color w:val="365F90"/>
      <w:sz w:val="32"/>
      <w:szCs w:val="32"/>
    </w:rPr>
  </w:style>
  <w:style w:type="character" w:customStyle="1" w:styleId="33">
    <w:name w:val="标题 4 字符"/>
    <w:basedOn w:val="22"/>
    <w:link w:val="5"/>
    <w:uiPriority w:val="9"/>
    <w:rPr>
      <w:rFonts w:cs="黑体"/>
      <w:color w:val="365F90"/>
      <w:sz w:val="28"/>
      <w:szCs w:val="28"/>
    </w:rPr>
  </w:style>
  <w:style w:type="character" w:customStyle="1" w:styleId="34">
    <w:name w:val="标题 5 字符"/>
    <w:basedOn w:val="22"/>
    <w:link w:val="6"/>
    <w:uiPriority w:val="9"/>
    <w:rPr>
      <w:rFonts w:cs="黑体"/>
      <w:color w:val="365F90"/>
      <w:sz w:val="24"/>
      <w:szCs w:val="24"/>
    </w:rPr>
  </w:style>
  <w:style w:type="character" w:customStyle="1" w:styleId="35">
    <w:name w:val="标题 6 字符"/>
    <w:basedOn w:val="22"/>
    <w:link w:val="7"/>
    <w:uiPriority w:val="9"/>
    <w:rPr>
      <w:rFonts w:cs="黑体"/>
      <w:b/>
      <w:bCs/>
      <w:color w:val="365F90"/>
    </w:rPr>
  </w:style>
  <w:style w:type="character" w:customStyle="1" w:styleId="36">
    <w:name w:val="标题 7 字符"/>
    <w:basedOn w:val="22"/>
    <w:link w:val="8"/>
    <w:uiPriority w:val="9"/>
    <w:rPr>
      <w:rFonts w:cs="黑体"/>
      <w:b/>
      <w:bCs/>
      <w:color w:val="565656"/>
    </w:rPr>
  </w:style>
  <w:style w:type="character" w:customStyle="1" w:styleId="37">
    <w:name w:val="标题 8 字符"/>
    <w:basedOn w:val="22"/>
    <w:link w:val="9"/>
    <w:uiPriority w:val="9"/>
    <w:rPr>
      <w:rFonts w:cs="黑体"/>
      <w:color w:val="565656"/>
    </w:rPr>
  </w:style>
  <w:style w:type="character" w:customStyle="1" w:styleId="38">
    <w:name w:val="标题 9 字符"/>
    <w:basedOn w:val="22"/>
    <w:link w:val="10"/>
    <w:uiPriority w:val="9"/>
    <w:rPr>
      <w:rFonts w:eastAsia="宋体" w:cs="黑体"/>
      <w:color w:val="565656"/>
    </w:rPr>
  </w:style>
  <w:style w:type="character" w:customStyle="1" w:styleId="39">
    <w:name w:val="标题 字符"/>
    <w:basedOn w:val="22"/>
    <w:link w:val="21"/>
    <w:uiPriority w:val="10"/>
    <w:rPr>
      <w:rFonts w:ascii="Cambria" w:hAnsi="Cambria" w:eastAsia="宋体" w:cs="黑体"/>
      <w:spacing w:val="-10"/>
      <w:kern w:val="28"/>
      <w:sz w:val="56"/>
      <w:szCs w:val="56"/>
    </w:rPr>
  </w:style>
  <w:style w:type="character" w:customStyle="1" w:styleId="40">
    <w:name w:val="副标题 字符"/>
    <w:basedOn w:val="22"/>
    <w:link w:val="18"/>
    <w:uiPriority w:val="11"/>
    <w:rPr>
      <w:rFonts w:ascii="Cambria" w:hAnsi="Cambria" w:eastAsia="宋体" w:cs="黑体"/>
      <w:color w:val="565656"/>
      <w:spacing w:val="15"/>
      <w:sz w:val="28"/>
      <w:szCs w:val="28"/>
    </w:rPr>
  </w:style>
  <w:style w:type="character" w:customStyle="1" w:styleId="41">
    <w:name w:val="引用 字符"/>
    <w:basedOn w:val="22"/>
    <w:link w:val="24"/>
    <w:qFormat/>
    <w:uiPriority w:val="29"/>
    <w:rPr>
      <w:i/>
      <w:iCs/>
      <w:color w:val="3F3F3F"/>
    </w:rPr>
  </w:style>
  <w:style w:type="character" w:customStyle="1" w:styleId="42">
    <w:name w:val="Intense Emphasis"/>
    <w:basedOn w:val="22"/>
    <w:qFormat/>
    <w:uiPriority w:val="21"/>
    <w:rPr>
      <w:i/>
      <w:iCs/>
      <w:color w:val="365F90"/>
    </w:rPr>
  </w:style>
  <w:style w:type="character" w:customStyle="1" w:styleId="43">
    <w:name w:val="明显引用 字符"/>
    <w:basedOn w:val="22"/>
    <w:link w:val="26"/>
    <w:qFormat/>
    <w:uiPriority w:val="30"/>
    <w:rPr>
      <w:i/>
      <w:iCs/>
      <w:color w:val="365F90"/>
    </w:rPr>
  </w:style>
  <w:style w:type="character" w:customStyle="1" w:styleId="44">
    <w:name w:val="Intense Reference"/>
    <w:basedOn w:val="22"/>
    <w:qFormat/>
    <w:uiPriority w:val="32"/>
    <w:rPr>
      <w:b/>
      <w:bCs/>
      <w:color w:val="365F90"/>
      <w:spacing w:val="5"/>
    </w:rPr>
  </w:style>
  <w:style w:type="character" w:customStyle="1" w:styleId="45">
    <w:name w:val="页眉 字符"/>
    <w:basedOn w:val="22"/>
    <w:link w:val="16"/>
    <w:uiPriority w:val="99"/>
    <w:rPr>
      <w:sz w:val="18"/>
      <w:szCs w:val="18"/>
    </w:rPr>
  </w:style>
  <w:style w:type="character" w:customStyle="1" w:styleId="46">
    <w:name w:val="页脚 字符"/>
    <w:basedOn w:val="22"/>
    <w:link w:val="14"/>
    <w:uiPriority w:val="99"/>
    <w:rPr>
      <w:sz w:val="18"/>
      <w:szCs w:val="18"/>
    </w:rPr>
  </w:style>
  <w:style w:type="character" w:customStyle="1" w:styleId="47">
    <w:name w:val="纯文本 字符1"/>
    <w:basedOn w:val="22"/>
    <w:link w:val="13"/>
    <w:uiPriority w:val="99"/>
    <w:rPr>
      <w:rFonts w:ascii="宋体" w:hAnsi="Courier New" w:eastAsia="宋体" w:cs="Courier New"/>
      <w:szCs w:val="21"/>
    </w:rPr>
  </w:style>
  <w:style w:type="character" w:customStyle="1" w:styleId="48">
    <w:name w:val="纯文本 字符"/>
    <w:basedOn w:val="22"/>
    <w:semiHidden/>
    <w:qFormat/>
    <w:uiPriority w:val="99"/>
    <w:rPr>
      <w:rFonts w:ascii="宋体" w:hAnsi="Courier New" w:cs="Courier New"/>
      <w:kern w:val="0"/>
      <w:sz w:val="22"/>
    </w:rPr>
  </w:style>
  <w:style w:type="character" w:customStyle="1" w:styleId="49">
    <w:name w:val="正文文本 字符"/>
    <w:basedOn w:val="22"/>
    <w:link w:val="11"/>
    <w:uiPriority w:val="0"/>
    <w:rPr>
      <w:rFonts w:ascii="Tahoma" w:hAnsi="Tahoma" w:eastAsia="微软雅黑" w:cs="Times New Roman"/>
      <w:kern w:val="0"/>
      <w:sz w:val="2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1325</Words>
  <Characters>7557</Characters>
  <Lines>62</Lines>
  <Paragraphs>17</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2025-03-29T06:45:00Z</dcterms:created>
  <dc:creator>Admin</dc:creator>
  <cp:lastModifiedBy>Admin</cp:lastModifiedBy>
  <cp:lastPrinted>2025-04-02T07:59:00Z</cp:lastPrinted>
  <dcterms:modified xsi:type="dcterms:W3CDTF">2025-04-02T06:39:47Z</dcterms:modified>
  <dc:title>福建省肿瘤医院配电房年检服务项目招标文件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5C80D8BEA91BD0B27651EB67775C6D83_43</vt:lpwstr>
  </property>
</Properties>
</file>