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jc w:val="center"/>
        <w:rPr>
          <w:rFonts w:hint="eastAsia" w:ascii="仿宋_GB2312" w:hAnsi="仿宋_GB2312" w:eastAsia="方正小标宋简体" w:cs="仿宋_GB2312"/>
          <w:b w:val="0"/>
          <w:kern w:val="2"/>
          <w:sz w:val="32"/>
          <w:szCs w:val="32"/>
          <w:lang w:eastAsia="zh-CN"/>
        </w:rPr>
      </w:pPr>
      <w:r>
        <w:rPr>
          <w:rFonts w:hint="eastAsia" w:ascii="方正小标宋简体" w:hAnsi="方正小标宋简体" w:eastAsia="方正小标宋简体" w:cs="方正小标宋简体"/>
          <w:b w:val="0"/>
          <w:kern w:val="2"/>
          <w:sz w:val="44"/>
          <w:szCs w:val="44"/>
          <w:lang w:val="en-US" w:eastAsia="zh-CN"/>
        </w:rPr>
        <w:t>福建省肿瘤医院采购</w:t>
      </w:r>
      <w:r>
        <w:rPr>
          <w:rFonts w:hint="eastAsia" w:ascii="方正小标宋简体" w:hAnsi="方正小标宋简体" w:eastAsia="方正小标宋简体" w:cs="方正小标宋简体"/>
          <w:b w:val="0"/>
          <w:kern w:val="2"/>
          <w:sz w:val="44"/>
          <w:szCs w:val="44"/>
        </w:rPr>
        <w:t>调研公</w:t>
      </w:r>
      <w:r>
        <w:rPr>
          <w:rFonts w:hint="eastAsia" w:ascii="方正小标宋简体" w:hAnsi="方正小标宋简体" w:eastAsia="方正小标宋简体" w:cs="方正小标宋简体"/>
          <w:b w:val="0"/>
          <w:kern w:val="2"/>
          <w:sz w:val="44"/>
          <w:szCs w:val="44"/>
          <w:lang w:val="en-US" w:eastAsia="zh-CN"/>
        </w:rPr>
        <w:t>告</w:t>
      </w:r>
    </w:p>
    <w:p>
      <w:pPr>
        <w:widowControl/>
        <w:shd w:val="clear" w:color="auto" w:fill="FFFFFF"/>
        <w:wordWrap/>
        <w:adjustRightInd w:val="0"/>
        <w:snapToGrid w:val="0"/>
        <w:spacing w:beforeLines="50" w:line="59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7"/>
              <w:widowControl/>
              <w:spacing w:line="3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w:t>
            </w:r>
            <w:r>
              <w:rPr>
                <w:rFonts w:hint="eastAsia" w:ascii="仿宋_GB2312" w:hAnsi="仿宋_GB2312" w:eastAsia="仿宋_GB2312" w:cs="仿宋_GB2312"/>
                <w:color w:val="000000"/>
                <w:kern w:val="0"/>
                <w:sz w:val="32"/>
                <w:szCs w:val="32"/>
                <w:lang w:val="en-US" w:eastAsia="zh-CN"/>
              </w:rPr>
              <w:t>名称</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住院医师教学管理系统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before="150" w:line="560" w:lineRule="exact"/>
              <w:jc w:val="both"/>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调研报名时间：</w:t>
            </w:r>
            <w:r>
              <w:rPr>
                <w:rFonts w:hint="eastAsia" w:ascii="仿宋_GB2312" w:hAnsi="仿宋_GB2312" w:eastAsia="仿宋_GB2312" w:cs="仿宋_GB2312"/>
                <w:color w:val="000000"/>
                <w:kern w:val="0"/>
                <w:sz w:val="32"/>
                <w:szCs w:val="32"/>
                <w:lang w:val="en-US" w:eastAsia="zh-CN"/>
              </w:rPr>
              <w:t xml:space="preserve"> 2025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 xml:space="preserve"> 4</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u w:val="single"/>
                <w:lang w:val="en-US" w:eastAsia="zh-CN"/>
              </w:rPr>
              <w:t>7</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至 </w:t>
            </w:r>
            <w:r>
              <w:rPr>
                <w:rFonts w:hint="eastAsia" w:ascii="仿宋_GB2312" w:hAnsi="仿宋_GB2312" w:eastAsia="仿宋_GB2312" w:cs="仿宋_GB2312"/>
                <w:color w:val="000000"/>
                <w:kern w:val="0"/>
                <w:sz w:val="32"/>
                <w:szCs w:val="32"/>
                <w:u w:val="single"/>
                <w:lang w:val="en-US" w:eastAsia="zh-CN"/>
              </w:rPr>
              <w:t>4</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14</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spacing w:val="-8"/>
                <w:kern w:val="0"/>
                <w:sz w:val="32"/>
                <w:szCs w:val="32"/>
                <w:shd w:val="clear" w:color="auto" w:fill="FFFFFF"/>
              </w:rPr>
              <w:t>(节假日除外)8：00-12：00或14：00-17：</w:t>
            </w:r>
            <w:r>
              <w:rPr>
                <w:rFonts w:hint="eastAsia" w:ascii="仿宋_GB2312" w:hAnsi="仿宋_GB2312" w:eastAsia="仿宋_GB2312" w:cs="仿宋_GB2312"/>
                <w:color w:val="000000"/>
                <w:spacing w:val="-8"/>
                <w:kern w:val="0"/>
                <w:sz w:val="32"/>
                <w:szCs w:val="32"/>
                <w:shd w:val="clear" w:color="auto" w:fill="FFFFFF"/>
                <w:lang w:val="en-US" w:eastAsia="zh-CN"/>
              </w:rPr>
              <w:t>0</w:t>
            </w:r>
            <w:r>
              <w:rPr>
                <w:rFonts w:hint="eastAsia" w:ascii="仿宋_GB2312" w:hAnsi="仿宋_GB2312" w:eastAsia="仿宋_GB2312" w:cs="仿宋_GB2312"/>
                <w:color w:val="000000"/>
                <w:spacing w:val="-8"/>
                <w:kern w:val="0"/>
                <w:sz w:val="32"/>
                <w:szCs w:val="32"/>
                <w:shd w:val="clear" w:color="auto" w:fill="FFFFFF"/>
              </w:rPr>
              <w:t>0</w:t>
            </w:r>
            <w:r>
              <w:rPr>
                <w:rFonts w:hint="eastAsia" w:ascii="仿宋_GB2312" w:hAnsi="仿宋_GB2312" w:eastAsia="仿宋_GB2312" w:cs="仿宋_GB2312"/>
                <w:color w:val="000000"/>
                <w:spacing w:val="-8"/>
                <w:kern w:val="0"/>
                <w:sz w:val="32"/>
                <w:szCs w:val="32"/>
                <w:shd w:val="clear" w:color="auto" w:fill="FFFFFF"/>
                <w:lang w:val="en-US" w:eastAsia="zh-CN"/>
              </w:rPr>
              <w:t>(北京时间）</w:t>
            </w:r>
          </w:p>
          <w:p>
            <w:pPr>
              <w:widowControl/>
              <w:spacing w:line="315" w:lineRule="atLeast"/>
              <w:jc w:val="both"/>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w:t>
            </w:r>
            <w:r>
              <w:rPr>
                <w:rFonts w:hint="eastAsia" w:ascii="仿宋_GB2312" w:hAnsi="仿宋_GB2312" w:eastAsia="仿宋_GB2312" w:cs="仿宋_GB2312"/>
                <w:color w:val="000000"/>
                <w:kern w:val="0"/>
                <w:sz w:val="32"/>
                <w:szCs w:val="32"/>
                <w:u w:val="none" w:color="auto"/>
                <w:lang w:val="en-US" w:eastAsia="zh-CN"/>
              </w:rPr>
              <w:t xml:space="preserve"> 2025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 xml:space="preserve"> 4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u w:val="single"/>
                <w:lang w:val="en-US" w:eastAsia="zh-CN"/>
              </w:rPr>
              <w:t>17</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 9:00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highlight w:val="none"/>
              </w:rPr>
              <w:t>文件正本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份,副本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文件递交处：福建省肿瘤医院</w:t>
            </w:r>
            <w:r>
              <w:rPr>
                <w:rFonts w:hint="eastAsia" w:ascii="仿宋_GB2312" w:hAnsi="仿宋_GB2312" w:eastAsia="仿宋_GB2312" w:cs="仿宋_GB2312"/>
                <w:color w:val="000000"/>
                <w:kern w:val="0"/>
                <w:sz w:val="32"/>
                <w:szCs w:val="32"/>
                <w:lang w:val="en-US" w:eastAsia="zh-CN"/>
              </w:rPr>
              <w:t>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wordWrap/>
              <w:adjustRightInd w:val="0"/>
              <w:snapToGrid w:val="0"/>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spacing w:line="336" w:lineRule="auto"/>
        <w:jc w:val="both"/>
        <w:rPr>
          <w:rFonts w:hint="eastAsia" w:ascii="仿宋_GB2312" w:hAnsi="仿宋_GB2312" w:eastAsia="仿宋_GB2312" w:cs="仿宋_GB2312"/>
          <w:b w:val="0"/>
          <w:bCs/>
          <w:color w:val="000000"/>
          <w:kern w:val="0"/>
          <w:sz w:val="32"/>
          <w:szCs w:val="32"/>
          <w:shd w:val="clear" w:color="auto" w:fill="FFFFFF"/>
        </w:rPr>
      </w:pPr>
    </w:p>
    <w:p>
      <w:pPr>
        <w:widowControl/>
        <w:shd w:val="clear" w:color="auto" w:fill="FFFFFF"/>
        <w:spacing w:line="336" w:lineRule="auto"/>
        <w:jc w:val="both"/>
        <w:rPr>
          <w:rFonts w:hint="eastAsia"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地　址： 福建省福州市福马路420号</w:t>
      </w:r>
      <w:r>
        <w:rPr>
          <w:rFonts w:hint="eastAsia" w:ascii="仿宋_GB2312" w:hAnsi="仿宋_GB2312" w:eastAsia="仿宋_GB2312" w:cs="仿宋_GB2312"/>
          <w:b w:val="0"/>
          <w:bCs/>
          <w:color w:val="000000"/>
          <w:kern w:val="0"/>
          <w:sz w:val="32"/>
          <w:szCs w:val="32"/>
          <w:shd w:val="clear" w:color="auto" w:fill="FFFFFF"/>
          <w:lang w:val="en-US" w:eastAsia="zh-CN"/>
        </w:rPr>
        <w:t xml:space="preserve"> </w:t>
      </w:r>
    </w:p>
    <w:p>
      <w:pPr>
        <w:widowControl/>
        <w:shd w:val="clear" w:color="auto" w:fill="FFFFFF"/>
        <w:spacing w:line="336" w:lineRule="auto"/>
        <w:ind w:left="1260" w:leftChars="0" w:firstLine="420" w:firstLineChars="0"/>
        <w:jc w:val="both"/>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000000"/>
          <w:kern w:val="0"/>
          <w:sz w:val="32"/>
          <w:szCs w:val="32"/>
          <w:shd w:val="clear" w:color="auto" w:fill="FFFFFF"/>
          <w:lang w:val="en-US" w:eastAsia="zh-CN"/>
        </w:rPr>
        <w:t>福建</w:t>
      </w:r>
      <w:r>
        <w:rPr>
          <w:rFonts w:hint="eastAsia" w:ascii="仿宋_GB2312" w:hAnsi="仿宋_GB2312" w:eastAsia="仿宋_GB2312" w:cs="仿宋_GB2312"/>
          <w:b w:val="0"/>
          <w:bCs/>
          <w:color w:val="000000"/>
          <w:kern w:val="0"/>
          <w:sz w:val="32"/>
          <w:szCs w:val="32"/>
          <w:shd w:val="clear" w:color="auto" w:fill="FFFFFF"/>
        </w:rPr>
        <w:t>省肿瘤医院</w:t>
      </w:r>
      <w:r>
        <w:rPr>
          <w:rFonts w:hint="eastAsia" w:ascii="仿宋_GB2312" w:hAnsi="仿宋_GB2312" w:eastAsia="仿宋_GB2312" w:cs="仿宋_GB2312"/>
          <w:b w:val="0"/>
          <w:bCs/>
          <w:color w:val="000000"/>
          <w:kern w:val="0"/>
          <w:sz w:val="32"/>
          <w:szCs w:val="32"/>
          <w:shd w:val="clear" w:color="auto" w:fill="FFFFFF"/>
          <w:lang w:val="en-US" w:eastAsia="zh-CN"/>
        </w:rPr>
        <w:t>科研楼四楼网络技术中心</w:t>
      </w:r>
    </w:p>
    <w:p>
      <w:pPr>
        <w:widowControl/>
        <w:shd w:val="clear" w:color="auto" w:fill="FFFFFF"/>
        <w:spacing w:line="440" w:lineRule="atLeast"/>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rPr>
        <w:t>邮　编： 350014　 </w:t>
      </w:r>
    </w:p>
    <w:p>
      <w:pPr>
        <w:widowControl/>
        <w:shd w:val="clear" w:color="auto" w:fill="FFFFFF"/>
        <w:spacing w:line="440" w:lineRule="atLeast"/>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lang w:val="en-US" w:eastAsia="zh-CN"/>
        </w:rPr>
        <w:t>报名联系</w:t>
      </w:r>
      <w:r>
        <w:rPr>
          <w:rFonts w:hint="eastAsia" w:ascii="仿宋_GB2312" w:hAnsi="仿宋_GB2312" w:eastAsia="仿宋_GB2312" w:cs="仿宋_GB2312"/>
          <w:b w:val="0"/>
          <w:bCs/>
          <w:color w:val="000000"/>
          <w:kern w:val="0"/>
          <w:sz w:val="32"/>
          <w:szCs w:val="32"/>
          <w:shd w:val="clear" w:color="auto" w:fill="FFFFFF"/>
        </w:rPr>
        <w:t>电话： 0591-83660063-8822</w:t>
      </w:r>
    </w:p>
    <w:p>
      <w:pPr>
        <w:widowControl/>
        <w:shd w:val="clear" w:color="auto" w:fill="FFFFFF"/>
        <w:spacing w:line="440" w:lineRule="atLeast"/>
        <w:jc w:val="both"/>
        <w:rPr>
          <w:rFonts w:hint="eastAsia"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联系人：</w:t>
      </w:r>
      <w:r>
        <w:rPr>
          <w:rFonts w:hint="eastAsia" w:ascii="仿宋_GB2312" w:hAnsi="仿宋_GB2312" w:eastAsia="仿宋_GB2312" w:cs="仿宋_GB2312"/>
          <w:b w:val="0"/>
          <w:bCs/>
          <w:color w:val="000000"/>
          <w:kern w:val="0"/>
          <w:sz w:val="32"/>
          <w:szCs w:val="32"/>
          <w:shd w:val="clear" w:color="auto" w:fill="FFFFFF"/>
          <w:lang w:val="en-US" w:eastAsia="zh-CN"/>
        </w:rPr>
        <w:t>高工、</w:t>
      </w:r>
      <w:r>
        <w:rPr>
          <w:rFonts w:hint="eastAsia" w:ascii="仿宋_GB2312" w:hAnsi="仿宋_GB2312" w:eastAsia="仿宋_GB2312" w:cs="仿宋_GB2312"/>
          <w:b w:val="0"/>
          <w:bCs/>
          <w:color w:val="000000"/>
          <w:kern w:val="0"/>
          <w:sz w:val="32"/>
          <w:szCs w:val="32"/>
          <w:shd w:val="clear" w:color="auto" w:fill="FFFFFF"/>
        </w:rPr>
        <w:t xml:space="preserve"> </w:t>
      </w:r>
      <w:r>
        <w:rPr>
          <w:rFonts w:hint="eastAsia" w:ascii="仿宋_GB2312" w:hAnsi="仿宋_GB2312" w:eastAsia="仿宋_GB2312" w:cs="仿宋_GB2312"/>
          <w:b w:val="0"/>
          <w:bCs/>
          <w:color w:val="000000"/>
          <w:kern w:val="0"/>
          <w:sz w:val="32"/>
          <w:szCs w:val="32"/>
          <w:shd w:val="clear" w:color="auto" w:fill="FFFFFF"/>
          <w:lang w:val="en-US" w:eastAsia="zh-CN"/>
        </w:rPr>
        <w:t>金工</w:t>
      </w:r>
    </w:p>
    <w:p>
      <w:pPr>
        <w:pStyle w:val="1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widowControl/>
        <w:shd w:val="clear" w:color="auto" w:fill="FFFFFF"/>
        <w:wordWrap/>
        <w:adjustRightInd w:val="0"/>
        <w:snapToGrid w:val="0"/>
        <w:spacing w:line="240" w:lineRule="auto"/>
        <w:ind w:firstLine="420" w:firstLineChars="0"/>
        <w:jc w:val="center"/>
        <w:textAlignment w:val="auto"/>
        <w:rPr>
          <w:rFonts w:hint="eastAsia" w:ascii="黑体" w:hAnsi="黑体" w:eastAsia="黑体" w:cs="黑体"/>
          <w:b w:val="0"/>
          <w:bCs/>
          <w:color w:val="000000"/>
          <w:kern w:val="0"/>
          <w:sz w:val="32"/>
          <w:szCs w:val="32"/>
          <w:shd w:val="clear" w:color="auto" w:fill="FFFFFF"/>
          <w:lang w:val="en-US" w:eastAsia="zh-CN"/>
        </w:rPr>
      </w:pPr>
      <w:r>
        <w:rPr>
          <w:rFonts w:hint="eastAsia" w:ascii="黑体" w:hAnsi="黑体" w:eastAsia="黑体" w:cs="黑体"/>
          <w:b w:val="0"/>
          <w:bCs/>
          <w:color w:val="000000"/>
          <w:kern w:val="0"/>
          <w:sz w:val="32"/>
          <w:szCs w:val="32"/>
          <w:shd w:val="clear" w:color="auto" w:fill="FFFFFF"/>
          <w:lang w:val="en-US" w:eastAsia="zh-CN"/>
        </w:rPr>
        <w:t>第二部分 具体要求</w:t>
      </w:r>
    </w:p>
    <w:p>
      <w:pPr>
        <w:widowControl/>
        <w:shd w:val="clear" w:color="auto" w:fill="FFFFFF"/>
        <w:spacing w:line="440" w:lineRule="atLeast"/>
        <w:jc w:val="both"/>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lang w:val="en-US" w:eastAsia="zh-CN"/>
        </w:rPr>
        <w:t>一、</w:t>
      </w:r>
      <w:r>
        <w:rPr>
          <w:rFonts w:hint="eastAsia" w:ascii="仿宋_GB2312" w:hAnsi="仿宋_GB2312" w:eastAsia="仿宋_GB2312" w:cs="仿宋_GB2312"/>
          <w:b/>
          <w:color w:val="000000"/>
          <w:kern w:val="0"/>
          <w:sz w:val="32"/>
          <w:szCs w:val="32"/>
          <w:shd w:val="clear" w:color="auto" w:fill="FFFFFF"/>
        </w:rPr>
        <w:t>采购内容</w:t>
      </w:r>
    </w:p>
    <w:tbl>
      <w:tblPr>
        <w:tblpPr w:leftFromText="180" w:rightFromText="180" w:vertAnchor="text" w:horzAnchor="page" w:tblpX="1562" w:tblpY="283"/>
        <w:tblOverlap w:val="never"/>
        <w:tblW w:w="9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7"/>
        <w:gridCol w:w="4178"/>
        <w:gridCol w:w="1590"/>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7" w:hRule="exact"/>
        </w:trPr>
        <w:tc>
          <w:tcPr>
            <w:tcW w:w="1697" w:type="dxa"/>
            <w:vAlign w:val="center"/>
          </w:tcPr>
          <w:p>
            <w:pPr>
              <w:widowControl/>
              <w:spacing w:afterLines="5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kern w:val="0"/>
                <w:sz w:val="28"/>
                <w:szCs w:val="28"/>
                <w:lang w:val="en-US" w:eastAsia="zh-CN"/>
              </w:rPr>
              <w:t>合同包</w:t>
            </w:r>
          </w:p>
        </w:tc>
        <w:tc>
          <w:tcPr>
            <w:tcW w:w="4178" w:type="dxa"/>
            <w:vAlign w:val="center"/>
          </w:tcPr>
          <w:p>
            <w:pPr>
              <w:widowControl/>
              <w:spacing w:afterLines="50"/>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名 称</w:t>
            </w:r>
          </w:p>
        </w:tc>
        <w:tc>
          <w:tcPr>
            <w:tcW w:w="1590" w:type="dxa"/>
            <w:vAlign w:val="center"/>
          </w:tcPr>
          <w:p>
            <w:pPr>
              <w:widowControl/>
              <w:spacing w:afterLines="50"/>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数量</w:t>
            </w:r>
          </w:p>
        </w:tc>
        <w:tc>
          <w:tcPr>
            <w:tcW w:w="1894" w:type="dxa"/>
            <w:vAlign w:val="center"/>
          </w:tcPr>
          <w:p>
            <w:pPr>
              <w:widowControl/>
              <w:spacing w:afterLines="5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exact"/>
        </w:trPr>
        <w:tc>
          <w:tcPr>
            <w:tcW w:w="1697" w:type="dxa"/>
            <w:vAlign w:val="center"/>
          </w:tcPr>
          <w:p>
            <w:pPr>
              <w:widowControl/>
              <w:spacing w:afterLines="5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一）</w:t>
            </w:r>
          </w:p>
        </w:tc>
        <w:tc>
          <w:tcPr>
            <w:tcW w:w="4178" w:type="dxa"/>
            <w:vAlign w:val="center"/>
          </w:tcPr>
          <w:p>
            <w:pPr>
              <w:numPr>
                <w:numId w:val="0"/>
              </w:numPr>
              <w:ind w:left="0" w:leftChars="0" w:firstLine="0" w:firstLineChars="0"/>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住院医师教学管理系统</w:t>
            </w:r>
          </w:p>
        </w:tc>
        <w:tc>
          <w:tcPr>
            <w:tcW w:w="1590" w:type="dxa"/>
            <w:vAlign w:val="center"/>
          </w:tcPr>
          <w:p>
            <w:pPr>
              <w:autoSpaceDN w:val="0"/>
              <w:jc w:val="center"/>
              <w:textAlignment w:val="center"/>
              <w:rPr>
                <w:rFonts w:hint="default" w:ascii="仿宋_GB2312" w:hAnsi="仿宋_GB2312" w:eastAsia="仿宋_GB2312" w:cs="仿宋_GB2312"/>
                <w:kern w:val="0"/>
                <w:sz w:val="28"/>
                <w:szCs w:val="28"/>
                <w:lang w:val="en-US"/>
              </w:rPr>
            </w:pPr>
            <w:r>
              <w:rPr>
                <w:rFonts w:hint="eastAsia" w:ascii="仿宋_GB2312" w:hAnsi="仿宋_GB2312" w:eastAsia="仿宋_GB2312" w:cs="仿宋_GB2312"/>
                <w:b w:val="0"/>
                <w:i w:val="0"/>
                <w:color w:val="000000"/>
                <w:sz w:val="28"/>
                <w:szCs w:val="28"/>
                <w:u w:val="none"/>
                <w:lang w:val="en-US" w:eastAsia="zh-CN"/>
              </w:rPr>
              <w:t>1项</w:t>
            </w:r>
          </w:p>
        </w:tc>
        <w:tc>
          <w:tcPr>
            <w:tcW w:w="1894" w:type="dxa"/>
            <w:vAlign w:val="center"/>
          </w:tcPr>
          <w:p>
            <w:pPr>
              <w:autoSpaceDN w:val="0"/>
              <w:jc w:val="center"/>
              <w:textAlignment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49</w:t>
            </w:r>
          </w:p>
        </w:tc>
      </w:tr>
    </w:tbl>
    <w:p>
      <w:pPr>
        <w:keepNext/>
        <w:widowControl/>
        <w:numPr>
          <w:numId w:val="0"/>
        </w:numPr>
        <w:shd w:val="clear" w:color="auto" w:fill="FFFFFF"/>
        <w:autoSpaceDE w:val="0"/>
        <w:spacing w:before="120" w:after="120"/>
        <w:ind w:leftChars="0"/>
        <w:jc w:val="both"/>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lang w:val="en-US" w:eastAsia="zh-CN"/>
        </w:rPr>
        <w:t>二、</w:t>
      </w:r>
      <w:r>
        <w:rPr>
          <w:rFonts w:hint="eastAsia" w:ascii="仿宋_GB2312" w:hAnsi="仿宋_GB2312" w:eastAsia="仿宋_GB2312" w:cs="仿宋_GB2312"/>
          <w:b/>
          <w:color w:val="000000"/>
          <w:kern w:val="0"/>
          <w:sz w:val="32"/>
          <w:szCs w:val="32"/>
          <w:shd w:val="clear" w:color="auto" w:fill="FFFFFF"/>
        </w:rPr>
        <w:t>技术功能及服务要求</w:t>
      </w:r>
    </w:p>
    <w:p>
      <w:pPr>
        <w:pStyle w:val="10"/>
        <w:numPr>
          <w:numId w:val="0"/>
        </w:num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1、合同包（一）</w:t>
      </w:r>
    </w:p>
    <w:tbl>
      <w:tblPr>
        <w:tblW w:w="8557" w:type="dxa"/>
        <w:jc w:val="center"/>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513"/>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845" w:type="dxa"/>
            <w:vMerge w:val="restart"/>
            <w:tcBorders>
              <w:tl2br w:val="nil"/>
              <w:tr2bl w:val="nil"/>
            </w:tcBorders>
            <w:shd w:val="clear" w:color="auto" w:fill="D7D7D7"/>
            <w:vAlign w:val="center"/>
          </w:tcPr>
          <w:p>
            <w:pPr>
              <w:jc w:val="center"/>
              <w:rPr>
                <w:rFonts w:hint="eastAsia" w:ascii="宋体" w:hAnsi="宋体" w:cs="宋体"/>
                <w:b w:val="0"/>
                <w:bCs w:val="0"/>
                <w:color w:val="000000"/>
                <w:kern w:val="2"/>
                <w:sz w:val="28"/>
                <w:szCs w:val="28"/>
                <w:lang w:val="en-US" w:eastAsia="zh-CN" w:bidi="ar-SA"/>
              </w:rPr>
            </w:pPr>
            <w:r>
              <w:rPr>
                <w:rFonts w:hint="eastAsia" w:ascii="宋体" w:hAnsi="宋体" w:cs="宋体"/>
                <w:b w:val="0"/>
                <w:bCs w:val="0"/>
                <w:color w:val="000000"/>
                <w:kern w:val="2"/>
                <w:sz w:val="28"/>
                <w:szCs w:val="28"/>
                <w:lang w:val="en-US" w:eastAsia="zh-CN" w:bidi="ar-SA"/>
              </w:rPr>
              <w:t>序号</w:t>
            </w:r>
          </w:p>
        </w:tc>
        <w:tc>
          <w:tcPr>
            <w:tcW w:w="1513" w:type="dxa"/>
            <w:tcBorders>
              <w:tl2br w:val="nil"/>
              <w:tr2bl w:val="nil"/>
            </w:tcBorders>
            <w:shd w:val="clear" w:color="auto" w:fill="D7D7D7"/>
            <w:vAlign w:val="center"/>
          </w:tcPr>
          <w:p>
            <w:pPr>
              <w:jc w:val="center"/>
              <w:rPr>
                <w:rFonts w:hint="eastAsia" w:ascii="宋体" w:hAnsi="宋体" w:cs="宋体"/>
                <w:b w:val="0"/>
                <w:bCs w:val="0"/>
                <w:color w:val="000000"/>
                <w:kern w:val="2"/>
                <w:sz w:val="28"/>
                <w:szCs w:val="28"/>
                <w:lang w:val="en-US" w:eastAsia="zh-CN" w:bidi="ar-SA"/>
              </w:rPr>
            </w:pPr>
            <w:r>
              <w:rPr>
                <w:rFonts w:hint="eastAsia" w:ascii="宋体" w:hAnsi="宋体" w:cs="宋体"/>
                <w:b w:val="0"/>
                <w:bCs w:val="0"/>
                <w:color w:val="000000"/>
                <w:kern w:val="2"/>
                <w:sz w:val="28"/>
                <w:szCs w:val="28"/>
                <w:lang w:val="en-US" w:eastAsia="zh-CN" w:bidi="ar-SA"/>
              </w:rPr>
              <w:t>项目</w:t>
            </w:r>
          </w:p>
        </w:tc>
        <w:tc>
          <w:tcPr>
            <w:tcW w:w="6199" w:type="dxa"/>
            <w:vMerge w:val="restart"/>
            <w:tcBorders>
              <w:tl2br w:val="nil"/>
              <w:tr2bl w:val="nil"/>
            </w:tcBorders>
            <w:shd w:val="clear" w:color="auto" w:fill="D7D7D7"/>
            <w:vAlign w:val="center"/>
          </w:tcPr>
          <w:p>
            <w:pPr>
              <w:jc w:val="center"/>
              <w:rPr>
                <w:rFonts w:hint="default" w:ascii="宋体" w:hAnsi="宋体" w:eastAsia="宋体" w:cs="宋体"/>
                <w:b w:val="0"/>
                <w:bCs/>
                <w:color w:val="000000"/>
                <w:kern w:val="2"/>
                <w:sz w:val="28"/>
                <w:szCs w:val="28"/>
                <w:lang w:val="en-US" w:eastAsia="zh-CN" w:bidi="ar-SA"/>
              </w:rPr>
            </w:pPr>
            <w:r>
              <w:rPr>
                <w:rFonts w:hint="default" w:ascii="宋体" w:hAnsi="宋体" w:eastAsia="宋体" w:cs="宋体"/>
                <w:b w:val="0"/>
                <w:bCs/>
                <w:color w:val="000000"/>
                <w:kern w:val="2"/>
                <w:sz w:val="28"/>
                <w:szCs w:val="28"/>
                <w:lang w:val="en-US" w:eastAsia="zh-CN" w:bidi="ar-SA"/>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845" w:type="dxa"/>
            <w:vMerge w:val="continue"/>
            <w:tcBorders>
              <w:tl2br w:val="nil"/>
              <w:tr2bl w:val="nil"/>
            </w:tcBorders>
            <w:shd w:val="clear" w:color="auto" w:fill="D7D7D7"/>
            <w:vAlign w:val="center"/>
          </w:tcPr>
          <w:p>
            <w:pPr>
              <w:jc w:val="center"/>
              <w:rPr>
                <w:rFonts w:hint="eastAsia" w:ascii="宋体" w:hAnsi="宋体" w:cs="宋体"/>
                <w:b w:val="0"/>
                <w:bCs w:val="0"/>
                <w:color w:val="000000"/>
                <w:kern w:val="2"/>
                <w:sz w:val="22"/>
                <w:szCs w:val="22"/>
                <w:lang w:val="en-US" w:eastAsia="zh-CN" w:bidi="ar-SA"/>
              </w:rPr>
            </w:pPr>
          </w:p>
        </w:tc>
        <w:tc>
          <w:tcPr>
            <w:tcW w:w="1513" w:type="dxa"/>
            <w:tcBorders>
              <w:tl2br w:val="nil"/>
              <w:tr2bl w:val="nil"/>
            </w:tcBorders>
            <w:shd w:val="clear" w:color="auto" w:fill="D7D7D7"/>
            <w:vAlign w:val="center"/>
          </w:tcPr>
          <w:p>
            <w:pPr>
              <w:jc w:val="center"/>
              <w:rPr>
                <w:rFonts w:hint="default" w:ascii="宋体" w:hAnsi="宋体" w:eastAsia="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功能模块</w:t>
            </w:r>
          </w:p>
        </w:tc>
        <w:tc>
          <w:tcPr>
            <w:tcW w:w="6199" w:type="dxa"/>
            <w:vMerge w:val="continue"/>
            <w:tcBorders>
              <w:tl2br w:val="nil"/>
              <w:tr2bl w:val="nil"/>
            </w:tcBorders>
            <w:shd w:val="clear" w:color="auto" w:fill="D7D7D7"/>
            <w:vAlign w:val="center"/>
          </w:tcPr>
          <w:p>
            <w:pPr>
              <w:jc w:val="center"/>
              <w:rPr>
                <w:rFonts w:hint="default" w:ascii="宋体" w:hAnsi="宋体" w:eastAsia="宋体" w:cs="宋体"/>
                <w:b w:val="0"/>
                <w:bCs/>
                <w:color w:val="00000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45" w:type="dxa"/>
            <w:tcBorders>
              <w:tl2br w:val="nil"/>
              <w:tr2bl w:val="nil"/>
            </w:tcBorders>
            <w:vAlign w:val="center"/>
          </w:tcPr>
          <w:p>
            <w:pPr>
              <w:jc w:val="center"/>
              <w:rPr>
                <w:rFonts w:hint="default" w:ascii="宋体" w:hAnsi="宋体" w:cs="宋体"/>
                <w:b/>
                <w:bCs/>
                <w:sz w:val="22"/>
                <w:szCs w:val="22"/>
                <w:lang w:val="en-US" w:eastAsia="zh-CN"/>
              </w:rPr>
            </w:pPr>
            <w:r>
              <w:rPr>
                <w:rFonts w:hint="eastAsia" w:ascii="宋体" w:hAnsi="宋体" w:cs="宋体"/>
                <w:b w:val="0"/>
                <w:bCs w:val="0"/>
                <w:sz w:val="22"/>
                <w:szCs w:val="22"/>
                <w:lang w:val="en-US" w:eastAsia="zh-CN"/>
              </w:rPr>
              <w:t>1</w:t>
            </w:r>
          </w:p>
        </w:tc>
        <w:tc>
          <w:tcPr>
            <w:tcW w:w="1513" w:type="dxa"/>
            <w:tcBorders>
              <w:tl2br w:val="nil"/>
              <w:tr2bl w:val="nil"/>
            </w:tcBorders>
            <w:vAlign w:val="center"/>
          </w:tcPr>
          <w:p>
            <w:pPr>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color w:val="auto"/>
                <w:kern w:val="2"/>
                <w:sz w:val="22"/>
                <w:szCs w:val="22"/>
                <w:lang w:val="en-US" w:eastAsia="zh-CN" w:bidi="ar-SA"/>
              </w:rPr>
              <w:t>轮转管理</w:t>
            </w:r>
          </w:p>
        </w:tc>
        <w:tc>
          <w:tcPr>
            <w:tcW w:w="6199" w:type="dxa"/>
            <w:tcBorders>
              <w:tl2br w:val="nil"/>
              <w:tr2bl w:val="nil"/>
            </w:tcBorders>
            <w:vAlign w:val="center"/>
          </w:tcPr>
          <w:p>
            <w:pPr>
              <w:pStyle w:val="14"/>
              <w:numPr>
                <w:ilvl w:val="0"/>
                <w:numId w:val="1"/>
              </w:numPr>
              <w:ind w:leftChars="0"/>
              <w:rPr>
                <w:rFonts w:hint="eastAsia" w:ascii="宋体" w:hAnsi="宋体" w:eastAsia="宋体" w:cs="宋体"/>
                <w:sz w:val="22"/>
                <w:szCs w:val="22"/>
                <w:lang w:val="en-US" w:eastAsia="zh-CN"/>
              </w:rPr>
            </w:pPr>
            <w:r>
              <w:rPr>
                <w:rFonts w:hint="eastAsia" w:ascii="宋体" w:hAnsi="宋体" w:eastAsia="宋体" w:cs="宋体"/>
                <w:b w:val="0"/>
                <w:bCs/>
                <w:color w:val="auto"/>
                <w:kern w:val="2"/>
                <w:sz w:val="22"/>
                <w:szCs w:val="22"/>
                <w:lang w:val="en-US" w:eastAsia="zh-CN" w:bidi="ar-SA"/>
              </w:rPr>
              <w:t>涵盖方案管理、轮转计划管理、轮转信息、轮转审核、轮转情况查询等相关功能。</w:t>
            </w:r>
          </w:p>
          <w:p>
            <w:pPr>
              <w:pStyle w:val="14"/>
              <w:numPr>
                <w:ilvl w:val="0"/>
                <w:numId w:val="1"/>
              </w:numPr>
              <w:ind w:leftChars="0"/>
              <w:rPr>
                <w:rFonts w:hint="eastAsia" w:ascii="宋体" w:hAnsi="宋体" w:eastAsia="宋体" w:cs="宋体"/>
                <w:sz w:val="22"/>
                <w:szCs w:val="22"/>
                <w:lang w:val="en-US" w:eastAsia="zh-CN"/>
              </w:rPr>
            </w:pPr>
            <w:r>
              <w:rPr>
                <w:rFonts w:hint="eastAsia" w:ascii="宋体" w:hAnsi="宋体" w:eastAsia="宋体" w:cs="宋体"/>
                <w:b w:val="0"/>
                <w:bCs/>
                <w:color w:val="auto"/>
                <w:kern w:val="2"/>
                <w:sz w:val="22"/>
                <w:szCs w:val="22"/>
                <w:lang w:val="en-US" w:eastAsia="zh-CN" w:bidi="ar-SA"/>
              </w:rPr>
              <w:t>支持多种学员的管理，内置多种培训方案并支持设置标准方案。</w:t>
            </w:r>
          </w:p>
          <w:p>
            <w:pPr>
              <w:pStyle w:val="14"/>
              <w:numPr>
                <w:ilvl w:val="0"/>
                <w:numId w:val="1"/>
              </w:numPr>
              <w:ind w:leftChars="0"/>
              <w:rPr>
                <w:rFonts w:hint="eastAsia" w:ascii="宋体" w:hAnsi="宋体" w:eastAsia="宋体" w:cs="宋体"/>
                <w:sz w:val="22"/>
                <w:szCs w:val="22"/>
                <w:lang w:val="en-US" w:eastAsia="zh-CN"/>
              </w:rPr>
            </w:pPr>
            <w:r>
              <w:rPr>
                <w:rFonts w:hint="eastAsia" w:ascii="宋体" w:hAnsi="宋体" w:eastAsia="宋体" w:cs="宋体"/>
                <w:b w:val="0"/>
                <w:bCs/>
                <w:color w:val="auto"/>
                <w:kern w:val="2"/>
                <w:sz w:val="22"/>
                <w:szCs w:val="22"/>
                <w:lang w:val="en-US" w:eastAsia="zh-CN" w:bidi="ar-SA"/>
              </w:rPr>
              <w:t>支持按时间（年/月/周）导入轮转计划。</w:t>
            </w:r>
          </w:p>
          <w:p>
            <w:pPr>
              <w:pStyle w:val="14"/>
              <w:numPr>
                <w:ilvl w:val="0"/>
                <w:numId w:val="1"/>
              </w:numPr>
              <w:ind w:leftChars="0"/>
              <w:rPr>
                <w:rFonts w:hint="eastAsia" w:ascii="宋体" w:hAnsi="宋体" w:eastAsia="宋体" w:cs="宋体"/>
                <w:sz w:val="22"/>
                <w:szCs w:val="22"/>
                <w:lang w:val="en-US" w:eastAsia="zh-CN"/>
              </w:rPr>
            </w:pPr>
            <w:r>
              <w:rPr>
                <w:rFonts w:hint="eastAsia" w:ascii="宋体" w:hAnsi="宋体" w:eastAsia="宋体" w:cs="宋体"/>
                <w:b w:val="0"/>
                <w:bCs/>
                <w:color w:val="auto"/>
                <w:kern w:val="2"/>
                <w:sz w:val="22"/>
                <w:szCs w:val="22"/>
                <w:lang w:val="en-US" w:eastAsia="zh-CN" w:bidi="ar-SA"/>
              </w:rPr>
              <w:t>支持多维度查看轮转信息、轮转安排等数据。</w:t>
            </w:r>
          </w:p>
          <w:p>
            <w:pPr>
              <w:pStyle w:val="14"/>
              <w:numPr>
                <w:ilvl w:val="0"/>
                <w:numId w:val="1"/>
              </w:numPr>
              <w:ind w:leftChars="0"/>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支持带教老师审核学员相关数据，退回修改功能。</w:t>
            </w:r>
          </w:p>
          <w:p>
            <w:pPr>
              <w:pStyle w:val="14"/>
              <w:numPr>
                <w:ilvl w:val="0"/>
                <w:numId w:val="1"/>
              </w:numPr>
              <w:ind w:leftChars="0"/>
              <w:rPr>
                <w:rFonts w:hint="default"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支持带教出科审核，支持科室管理员出科审核，并根据审核情况，自动判定合格或不合格，并且能够查看出科总结。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845" w:type="dxa"/>
            <w:tcBorders>
              <w:tl2br w:val="nil"/>
              <w:tr2bl w:val="nil"/>
            </w:tcBorders>
            <w:vAlign w:val="center"/>
          </w:tcPr>
          <w:p>
            <w:pPr>
              <w:jc w:val="center"/>
              <w:rPr>
                <w:rFonts w:hint="default"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w:t>
            </w:r>
          </w:p>
        </w:tc>
        <w:tc>
          <w:tcPr>
            <w:tcW w:w="1513" w:type="dxa"/>
            <w:tcBorders>
              <w:tl2br w:val="nil"/>
              <w:tr2bl w:val="nil"/>
            </w:tcBorders>
            <w:vAlign w:val="center"/>
          </w:tcPr>
          <w:p>
            <w:pPr>
              <w:jc w:val="center"/>
              <w:rPr>
                <w:rFonts w:hint="eastAsia" w:ascii="宋体" w:hAnsi="宋体" w:eastAsia="宋体" w:cs="宋体"/>
                <w:b w:val="0"/>
                <w:bCs w:val="0"/>
                <w:kern w:val="2"/>
                <w:sz w:val="22"/>
                <w:szCs w:val="22"/>
                <w:lang w:val="en-US" w:eastAsia="zh-CN" w:bidi="ar-SA"/>
              </w:rPr>
            </w:pPr>
            <w:r>
              <w:rPr>
                <w:rFonts w:hint="eastAsia" w:ascii="宋体" w:hAnsi="宋体" w:cs="宋体"/>
                <w:b w:val="0"/>
                <w:bCs w:val="0"/>
                <w:sz w:val="22"/>
                <w:szCs w:val="22"/>
                <w:lang w:val="en-US" w:eastAsia="zh-CN"/>
              </w:rPr>
              <w:t>教学管理</w:t>
            </w:r>
          </w:p>
        </w:tc>
        <w:tc>
          <w:tcPr>
            <w:tcW w:w="6199" w:type="dxa"/>
            <w:tcBorders>
              <w:tl2br w:val="nil"/>
              <w:tr2bl w:val="nil"/>
            </w:tcBorders>
            <w:vAlign w:val="center"/>
          </w:tcPr>
          <w:p>
            <w:pPr>
              <w:pStyle w:val="14"/>
              <w:numPr>
                <w:ilvl w:val="0"/>
                <w:numId w:val="2"/>
              </w:numPr>
              <w:ind w:leftChars="0"/>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spacing w:val="10"/>
                <w:kern w:val="2"/>
                <w:sz w:val="22"/>
                <w:szCs w:val="22"/>
                <w:lang w:val="en-US" w:eastAsia="zh-CN" w:bidi="ar-SA"/>
              </w:rPr>
              <w:t>涵盖院级培训管理、教学活动管理等相关功能。</w:t>
            </w:r>
          </w:p>
          <w:p>
            <w:pPr>
              <w:pStyle w:val="14"/>
              <w:numPr>
                <w:ilvl w:val="0"/>
                <w:numId w:val="2"/>
              </w:numPr>
              <w:ind w:leftChars="0"/>
              <w:rPr>
                <w:rFonts w:hint="default"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lang w:val="en-US" w:eastAsia="zh-CN" w:bidi="ar-SA"/>
              </w:rPr>
              <w:t>支持根据不同的活动类型来单独配置指标，支持单独维护评价指标、指标分值、活动须知等。</w:t>
            </w:r>
          </w:p>
          <w:p>
            <w:pPr>
              <w:pStyle w:val="14"/>
              <w:numPr>
                <w:ilvl w:val="0"/>
                <w:numId w:val="2"/>
              </w:numPr>
              <w:ind w:leftChars="0"/>
              <w:rPr>
                <w:rFonts w:hint="default"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支持指定培训对象和自主报名。</w:t>
            </w:r>
          </w:p>
          <w:p>
            <w:pPr>
              <w:pStyle w:val="14"/>
              <w:numPr>
                <w:ilvl w:val="0"/>
                <w:numId w:val="2"/>
              </w:numPr>
              <w:ind w:leftChars="0"/>
              <w:rPr>
                <w:rFonts w:hint="default"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pacing w:val="0"/>
                <w:kern w:val="2"/>
                <w:sz w:val="22"/>
                <w:szCs w:val="22"/>
                <w:highlight w:val="none"/>
                <w:lang w:val="en-US" w:eastAsia="zh-CN" w:bidi="ar-SA"/>
              </w:rPr>
              <w:t>支持扫码签到，出勤率，上传活动照片，线上考试，活动评价等功能。</w:t>
            </w:r>
          </w:p>
          <w:p>
            <w:pPr>
              <w:pStyle w:val="14"/>
              <w:numPr>
                <w:ilvl w:val="0"/>
                <w:numId w:val="2"/>
              </w:numPr>
              <w:ind w:leftChars="0"/>
              <w:rPr>
                <w:rFonts w:hint="default" w:ascii="宋体" w:hAnsi="宋体" w:eastAsia="宋体" w:cs="宋体"/>
                <w:b w:val="0"/>
                <w:bCs/>
                <w:color w:val="auto"/>
                <w:kern w:val="2"/>
                <w:sz w:val="22"/>
                <w:szCs w:val="22"/>
                <w:lang w:val="en-US" w:eastAsia="zh-CN" w:bidi="ar-SA"/>
              </w:rPr>
            </w:pPr>
            <w:r>
              <w:rPr>
                <w:rFonts w:hint="eastAsia" w:ascii="宋体" w:hAnsi="宋体" w:cs="宋体"/>
                <w:b w:val="0"/>
                <w:bCs/>
                <w:color w:val="auto"/>
                <w:kern w:val="2"/>
                <w:sz w:val="22"/>
                <w:szCs w:val="22"/>
                <w:highlight w:val="none"/>
                <w:lang w:val="en-US" w:eastAsia="zh-CN" w:bidi="ar-SA"/>
              </w:rPr>
              <w:t>移动</w:t>
            </w:r>
            <w:r>
              <w:rPr>
                <w:rFonts w:hint="eastAsia" w:ascii="宋体" w:hAnsi="宋体" w:eastAsia="宋体" w:cs="宋体"/>
                <w:b w:val="0"/>
                <w:bCs/>
                <w:color w:val="auto"/>
                <w:kern w:val="2"/>
                <w:sz w:val="22"/>
                <w:szCs w:val="22"/>
                <w:highlight w:val="none"/>
                <w:lang w:val="en-US" w:eastAsia="zh-CN" w:bidi="ar-SA"/>
              </w:rPr>
              <w:t>端支持教学活动相关</w:t>
            </w:r>
            <w:r>
              <w:rPr>
                <w:rFonts w:hint="eastAsia" w:ascii="宋体" w:hAnsi="宋体" w:cs="宋体"/>
                <w:b w:val="0"/>
                <w:bCs/>
                <w:color w:val="auto"/>
                <w:kern w:val="2"/>
                <w:sz w:val="22"/>
                <w:szCs w:val="22"/>
                <w:highlight w:val="none"/>
                <w:lang w:val="en-US" w:eastAsia="zh-CN" w:bidi="ar-SA"/>
              </w:rPr>
              <w:t>待办</w:t>
            </w:r>
            <w:r>
              <w:rPr>
                <w:rFonts w:hint="eastAsia" w:ascii="宋体" w:hAnsi="宋体" w:eastAsia="宋体" w:cs="宋体"/>
                <w:b w:val="0"/>
                <w:bCs/>
                <w:color w:val="auto"/>
                <w:kern w:val="2"/>
                <w:sz w:val="22"/>
                <w:szCs w:val="22"/>
                <w:highlight w:val="none"/>
                <w:lang w:val="en-US" w:eastAsia="zh-CN" w:bidi="ar-SA"/>
              </w:rPr>
              <w:t>事项的推送。</w:t>
            </w:r>
          </w:p>
          <w:p>
            <w:pPr>
              <w:pStyle w:val="14"/>
              <w:numPr>
                <w:ilvl w:val="0"/>
                <w:numId w:val="2"/>
              </w:numPr>
              <w:ind w:leftChars="0"/>
              <w:rPr>
                <w:rFonts w:hint="default"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能够以日历的形式，展示每天的教学活动基本信息。</w:t>
            </w:r>
            <w:r>
              <w:rPr>
                <w:rFonts w:hint="eastAsia" w:ascii="宋体" w:hAnsi="宋体" w:eastAsia="宋体" w:cs="宋体"/>
                <w:b w:val="0"/>
                <w:bCs/>
                <w:color w:val="auto"/>
                <w:kern w:val="2"/>
                <w:sz w:val="22"/>
                <w:szCs w:val="22"/>
                <w:highlight w:val="none"/>
                <w:lang w:val="en-US" w:eastAsia="zh-CN" w:bidi="ar-SA"/>
              </w:rPr>
              <w:t>学员能够查看待参加的教学活动信息。</w:t>
            </w:r>
          </w:p>
          <w:p>
            <w:pPr>
              <w:pStyle w:val="14"/>
              <w:numPr>
                <w:ilvl w:val="0"/>
                <w:numId w:val="2"/>
              </w:numPr>
              <w:ind w:leftChars="0"/>
              <w:rPr>
                <w:rFonts w:hint="default"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根据培训人或科室统计不同类型教学活动有效数量及补贴金额。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6" w:hRule="atLeast"/>
          <w:jc w:val="center"/>
        </w:trPr>
        <w:tc>
          <w:tcPr>
            <w:tcW w:w="845" w:type="dxa"/>
            <w:tcBorders>
              <w:tl2br w:val="nil"/>
              <w:tr2bl w:val="nil"/>
            </w:tcBorders>
            <w:vAlign w:val="center"/>
          </w:tcPr>
          <w:p>
            <w:pPr>
              <w:jc w:val="center"/>
              <w:rPr>
                <w:rFonts w:hint="default" w:ascii="宋体" w:hAnsi="宋体" w:cs="宋体"/>
                <w:b w:val="0"/>
                <w:bCs w:val="0"/>
                <w:sz w:val="22"/>
                <w:szCs w:val="22"/>
                <w:lang w:val="en-US" w:eastAsia="zh-CN"/>
              </w:rPr>
            </w:pPr>
            <w:r>
              <w:rPr>
                <w:rFonts w:hint="eastAsia" w:ascii="宋体" w:hAnsi="宋体" w:cs="宋体"/>
                <w:b w:val="0"/>
                <w:bCs w:val="0"/>
                <w:sz w:val="22"/>
                <w:szCs w:val="22"/>
                <w:lang w:val="en-US" w:eastAsia="zh-CN"/>
              </w:rPr>
              <w:t>3</w:t>
            </w:r>
          </w:p>
        </w:tc>
        <w:tc>
          <w:tcPr>
            <w:tcW w:w="1513" w:type="dxa"/>
            <w:tcBorders>
              <w:tl2br w:val="nil"/>
              <w:tr2bl w:val="nil"/>
            </w:tcBorders>
            <w:vAlign w:val="center"/>
          </w:tcPr>
          <w:p>
            <w:pPr>
              <w:jc w:val="center"/>
              <w:rPr>
                <w:rFonts w:hint="eastAsia" w:ascii="宋体" w:hAnsi="宋体" w:eastAsia="宋体" w:cs="宋体"/>
                <w:b w:val="0"/>
                <w:bCs w:val="0"/>
                <w:kern w:val="2"/>
                <w:sz w:val="22"/>
                <w:szCs w:val="22"/>
                <w:lang w:val="en-US" w:eastAsia="zh-CN" w:bidi="ar-SA"/>
              </w:rPr>
            </w:pPr>
            <w:r>
              <w:rPr>
                <w:rFonts w:hint="eastAsia" w:ascii="宋体" w:hAnsi="宋体" w:cs="宋体"/>
                <w:b w:val="0"/>
                <w:bCs w:val="0"/>
                <w:sz w:val="22"/>
                <w:szCs w:val="22"/>
                <w:lang w:val="en-US" w:eastAsia="zh-CN"/>
              </w:rPr>
              <w:t>教学督导</w:t>
            </w:r>
          </w:p>
        </w:tc>
        <w:tc>
          <w:tcPr>
            <w:tcW w:w="6199" w:type="dxa"/>
            <w:tcBorders>
              <w:tl2br w:val="nil"/>
              <w:tr2bl w:val="nil"/>
            </w:tcBorders>
            <w:vAlign w:val="center"/>
          </w:tcPr>
          <w:p>
            <w:pPr>
              <w:pStyle w:val="14"/>
              <w:numPr>
                <w:ilvl w:val="0"/>
                <w:numId w:val="3"/>
              </w:numPr>
              <w:ind w:leftChars="0"/>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支持根据不同的开展形式，单独维护督导表的评价指标、指标分值等。</w:t>
            </w:r>
          </w:p>
          <w:p>
            <w:pPr>
              <w:pStyle w:val="14"/>
              <w:numPr>
                <w:ilvl w:val="0"/>
                <w:numId w:val="3"/>
              </w:numPr>
              <w:ind w:leftChars="0"/>
              <w:rPr>
                <w:rFonts w:hint="default"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支持通过web端口或小程序端口，查看相关项目/活动信息，支持展示历史项目/活动信息，填写备注，督导意见，评分，照片上传等功能。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7" w:hRule="atLeast"/>
          <w:jc w:val="center"/>
        </w:trPr>
        <w:tc>
          <w:tcPr>
            <w:tcW w:w="845" w:type="dxa"/>
            <w:tcBorders>
              <w:tl2br w:val="nil"/>
              <w:tr2bl w:val="nil"/>
            </w:tcBorders>
            <w:vAlign w:val="center"/>
          </w:tcPr>
          <w:p>
            <w:pPr>
              <w:jc w:val="center"/>
              <w:rPr>
                <w:rFonts w:hint="default" w:ascii="宋体" w:hAnsi="宋体" w:cs="宋体"/>
                <w:b w:val="0"/>
                <w:bCs w:val="0"/>
                <w:sz w:val="22"/>
                <w:szCs w:val="22"/>
                <w:lang w:val="en-US" w:eastAsia="zh-CN"/>
              </w:rPr>
            </w:pPr>
            <w:r>
              <w:rPr>
                <w:rFonts w:hint="eastAsia" w:ascii="宋体" w:hAnsi="宋体" w:cs="宋体"/>
                <w:b w:val="0"/>
                <w:bCs w:val="0"/>
                <w:sz w:val="22"/>
                <w:szCs w:val="22"/>
                <w:lang w:val="en-US" w:eastAsia="zh-CN"/>
              </w:rPr>
              <w:t>4</w:t>
            </w:r>
          </w:p>
        </w:tc>
        <w:tc>
          <w:tcPr>
            <w:tcW w:w="1513" w:type="dxa"/>
            <w:tcBorders>
              <w:tl2br w:val="nil"/>
              <w:tr2bl w:val="nil"/>
            </w:tcBorders>
            <w:vAlign w:val="center"/>
          </w:tcPr>
          <w:p>
            <w:pPr>
              <w:jc w:val="center"/>
              <w:rPr>
                <w:rFonts w:hint="eastAsia" w:ascii="宋体" w:hAnsi="宋体" w:eastAsia="宋体" w:cs="宋体"/>
                <w:b w:val="0"/>
                <w:bCs w:val="0"/>
                <w:kern w:val="2"/>
                <w:sz w:val="22"/>
                <w:szCs w:val="22"/>
                <w:lang w:val="en-US" w:eastAsia="zh-CN" w:bidi="ar-SA"/>
              </w:rPr>
            </w:pPr>
            <w:r>
              <w:rPr>
                <w:rFonts w:hint="eastAsia" w:ascii="宋体" w:hAnsi="宋体" w:cs="宋体"/>
                <w:b w:val="0"/>
                <w:bCs w:val="0"/>
                <w:sz w:val="22"/>
                <w:szCs w:val="22"/>
                <w:lang w:val="en-US" w:eastAsia="zh-CN"/>
              </w:rPr>
              <w:t>院级督导</w:t>
            </w:r>
          </w:p>
        </w:tc>
        <w:tc>
          <w:tcPr>
            <w:tcW w:w="6199" w:type="dxa"/>
            <w:tcBorders>
              <w:tl2br w:val="nil"/>
              <w:tr2bl w:val="nil"/>
            </w:tcBorders>
            <w:vAlign w:val="center"/>
          </w:tcPr>
          <w:p>
            <w:pPr>
              <w:pStyle w:val="14"/>
              <w:numPr>
                <w:ilvl w:val="0"/>
                <w:numId w:val="4"/>
              </w:numPr>
              <w:ind w:leftChars="0"/>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支持配置督导评分表，表单复制功能，设置部分评分项为核心指标。</w:t>
            </w:r>
          </w:p>
          <w:p>
            <w:pPr>
              <w:pStyle w:val="14"/>
              <w:numPr>
                <w:ilvl w:val="0"/>
                <w:numId w:val="4"/>
              </w:numPr>
              <w:ind w:leftChars="0"/>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支持查看并维护督导项目名称、督导类型、督导对象、评分备注、历史督导记录等基本信息。</w:t>
            </w:r>
          </w:p>
          <w:p>
            <w:pPr>
              <w:pStyle w:val="14"/>
              <w:numPr>
                <w:ilvl w:val="0"/>
                <w:numId w:val="4"/>
              </w:numPr>
              <w:ind w:leftChars="0"/>
              <w:rPr>
                <w:rFonts w:hint="default"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需要整改的项目，支持设置整改要求及时间，指定整改责任人。支持实时查看督导项目的完成/整改情况。能够查看督导反馈和上传的整改附件。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845" w:type="dxa"/>
            <w:tcBorders>
              <w:tl2br w:val="nil"/>
              <w:tr2bl w:val="nil"/>
            </w:tcBorders>
            <w:vAlign w:val="center"/>
          </w:tcPr>
          <w:p>
            <w:pPr>
              <w:jc w:val="center"/>
              <w:rPr>
                <w:rFonts w:hint="default" w:ascii="宋体" w:hAnsi="宋体" w:cs="宋体"/>
                <w:b w:val="0"/>
                <w:bCs w:val="0"/>
                <w:sz w:val="22"/>
                <w:szCs w:val="22"/>
                <w:lang w:val="en-US" w:eastAsia="zh-CN"/>
              </w:rPr>
            </w:pPr>
            <w:r>
              <w:rPr>
                <w:rFonts w:hint="eastAsia" w:ascii="宋体" w:hAnsi="宋体" w:cs="宋体"/>
                <w:b w:val="0"/>
                <w:bCs w:val="0"/>
                <w:sz w:val="22"/>
                <w:szCs w:val="22"/>
                <w:lang w:val="en-US" w:eastAsia="zh-CN"/>
              </w:rPr>
              <w:t>5</w:t>
            </w:r>
          </w:p>
        </w:tc>
        <w:tc>
          <w:tcPr>
            <w:tcW w:w="1513" w:type="dxa"/>
            <w:tcBorders>
              <w:tl2br w:val="nil"/>
              <w:tr2bl w:val="nil"/>
            </w:tcBorders>
            <w:vAlign w:val="center"/>
          </w:tcPr>
          <w:p>
            <w:pPr>
              <w:jc w:val="center"/>
              <w:rPr>
                <w:rFonts w:hint="eastAsia" w:ascii="宋体" w:hAnsi="宋体" w:eastAsia="宋体" w:cs="宋体"/>
                <w:b w:val="0"/>
                <w:bCs w:val="0"/>
                <w:kern w:val="2"/>
                <w:sz w:val="22"/>
                <w:szCs w:val="22"/>
                <w:lang w:val="en-US" w:eastAsia="zh-CN" w:bidi="ar-SA"/>
              </w:rPr>
            </w:pPr>
            <w:r>
              <w:rPr>
                <w:rFonts w:hint="eastAsia" w:ascii="宋体" w:hAnsi="宋体" w:cs="宋体"/>
                <w:b w:val="0"/>
                <w:bCs w:val="0"/>
                <w:sz w:val="22"/>
                <w:szCs w:val="22"/>
                <w:lang w:val="en-US" w:eastAsia="zh-CN"/>
              </w:rPr>
              <w:t>评价管理</w:t>
            </w:r>
          </w:p>
        </w:tc>
        <w:tc>
          <w:tcPr>
            <w:tcW w:w="6199" w:type="dxa"/>
            <w:tcBorders>
              <w:tl2br w:val="nil"/>
              <w:tr2bl w:val="nil"/>
            </w:tcBorders>
            <w:vAlign w:val="center"/>
          </w:tcPr>
          <w:p>
            <w:pPr>
              <w:jc w:val="both"/>
              <w:rPr>
                <w:rFonts w:hint="default"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包含过程评价、出科评价等评价类型，评价内容应多维度，不同的评价维度，支持单独配置评价指标和配置评价次数等参数。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45" w:type="dxa"/>
            <w:tcBorders>
              <w:tl2br w:val="nil"/>
              <w:tr2bl w:val="nil"/>
            </w:tcBorders>
            <w:vAlign w:val="center"/>
          </w:tcPr>
          <w:p>
            <w:pPr>
              <w:jc w:val="center"/>
              <w:rPr>
                <w:rFonts w:hint="eastAsia" w:ascii="宋体" w:hAnsi="宋体" w:eastAsia="宋体" w:cs="宋体"/>
                <w:b/>
                <w:bCs w:val="0"/>
                <w:color w:val="auto"/>
                <w:kern w:val="2"/>
                <w:sz w:val="22"/>
                <w:szCs w:val="22"/>
                <w:lang w:val="en-US" w:eastAsia="zh-CN" w:bidi="ar-SA"/>
              </w:rPr>
            </w:pPr>
            <w:r>
              <w:rPr>
                <w:rFonts w:hint="eastAsia" w:ascii="宋体" w:hAnsi="宋体" w:cs="宋体"/>
                <w:b w:val="0"/>
                <w:bCs w:val="0"/>
                <w:sz w:val="22"/>
                <w:szCs w:val="22"/>
                <w:lang w:val="en-US" w:eastAsia="zh-CN"/>
              </w:rPr>
              <w:t>6</w:t>
            </w:r>
          </w:p>
        </w:tc>
        <w:tc>
          <w:tcPr>
            <w:tcW w:w="1513" w:type="dxa"/>
            <w:tcBorders>
              <w:tl2br w:val="nil"/>
              <w:tr2bl w:val="nil"/>
            </w:tcBorders>
            <w:vAlign w:val="center"/>
          </w:tcPr>
          <w:p>
            <w:pPr>
              <w:jc w:val="center"/>
              <w:rPr>
                <w:rFonts w:hint="eastAsia" w:ascii="宋体" w:hAnsi="宋体" w:eastAsia="宋体" w:cs="宋体"/>
                <w:b w:val="0"/>
                <w:bCs w:val="0"/>
                <w:kern w:val="2"/>
                <w:sz w:val="22"/>
                <w:szCs w:val="22"/>
                <w:lang w:val="en-US" w:eastAsia="zh-CN" w:bidi="ar-SA"/>
              </w:rPr>
            </w:pPr>
            <w:r>
              <w:rPr>
                <w:rFonts w:hint="eastAsia" w:ascii="宋体" w:hAnsi="宋体" w:cs="宋体"/>
                <w:b w:val="0"/>
                <w:bCs w:val="0"/>
                <w:sz w:val="22"/>
                <w:szCs w:val="22"/>
                <w:lang w:val="en-US" w:eastAsia="zh-CN"/>
              </w:rPr>
              <w:t>年度总结</w:t>
            </w:r>
          </w:p>
        </w:tc>
        <w:tc>
          <w:tcPr>
            <w:tcW w:w="6199" w:type="dxa"/>
            <w:tcBorders>
              <w:tl2br w:val="nil"/>
              <w:tr2bl w:val="nil"/>
            </w:tcBorders>
            <w:vAlign w:val="center"/>
          </w:tcPr>
          <w:p>
            <w:pPr>
              <w:pStyle w:val="14"/>
              <w:numPr>
                <w:ilvl w:val="0"/>
                <w:numId w:val="5"/>
              </w:numPr>
              <w:ind w:leftChars="0"/>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医院管理员能够对年度考核进行配置，包括学员类型、年级、是否关联考核成绩、提交截止日期等内容。</w:t>
            </w:r>
          </w:p>
          <w:p>
            <w:pPr>
              <w:pStyle w:val="14"/>
              <w:numPr>
                <w:ilvl w:val="0"/>
                <w:numId w:val="5"/>
              </w:numPr>
              <w:ind w:leftChars="0"/>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学员能够在限定时间内，完成年度总结的填写，如设置关联考核，则系统会自动获取限定时间段内考核的成绩，显示相关考核情况。</w:t>
            </w:r>
          </w:p>
          <w:p>
            <w:pPr>
              <w:pStyle w:val="14"/>
              <w:numPr>
                <w:ilvl w:val="0"/>
                <w:numId w:val="5"/>
              </w:numPr>
              <w:ind w:leftChars="0"/>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支持查看全部学员年度考核的情况，包括每年年度考核成绩、年度总结情况等，同时支持导入相关数据。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jc w:val="center"/>
        </w:trPr>
        <w:tc>
          <w:tcPr>
            <w:tcW w:w="845" w:type="dxa"/>
            <w:tcBorders>
              <w:tl2br w:val="nil"/>
              <w:tr2bl w:val="nil"/>
            </w:tcBorders>
            <w:vAlign w:val="center"/>
          </w:tcPr>
          <w:p>
            <w:pPr>
              <w:jc w:val="center"/>
              <w:rPr>
                <w:rFonts w:hint="eastAsia" w:ascii="宋体" w:hAnsi="宋体" w:eastAsia="宋体" w:cs="宋体"/>
                <w:b/>
                <w:bCs w:val="0"/>
                <w:color w:val="auto"/>
                <w:kern w:val="2"/>
                <w:sz w:val="22"/>
                <w:szCs w:val="22"/>
                <w:lang w:val="en-US" w:eastAsia="zh-CN" w:bidi="ar-SA"/>
              </w:rPr>
            </w:pPr>
            <w:r>
              <w:rPr>
                <w:rFonts w:hint="eastAsia" w:ascii="宋体" w:hAnsi="宋体" w:eastAsia="宋体" w:cs="宋体"/>
                <w:b w:val="0"/>
                <w:bCs w:val="0"/>
                <w:kern w:val="2"/>
                <w:sz w:val="22"/>
                <w:szCs w:val="22"/>
                <w:lang w:val="en-US" w:eastAsia="zh-CN" w:bidi="ar-SA"/>
              </w:rPr>
              <w:t>7</w:t>
            </w:r>
          </w:p>
        </w:tc>
        <w:tc>
          <w:tcPr>
            <w:tcW w:w="1513" w:type="dxa"/>
            <w:tcBorders>
              <w:tl2br w:val="nil"/>
              <w:tr2bl w:val="nil"/>
            </w:tcBorders>
            <w:vAlign w:val="center"/>
          </w:tcPr>
          <w:p>
            <w:pPr>
              <w:jc w:val="center"/>
              <w:rPr>
                <w:rFonts w:hint="eastAsia" w:ascii="宋体" w:hAnsi="宋体" w:eastAsia="宋体" w:cs="宋体"/>
                <w:b w:val="0"/>
                <w:bCs w:val="0"/>
                <w:kern w:val="2"/>
                <w:sz w:val="22"/>
                <w:szCs w:val="22"/>
                <w:lang w:val="en-US" w:eastAsia="zh-CN" w:bidi="ar-SA"/>
              </w:rPr>
            </w:pPr>
            <w:r>
              <w:rPr>
                <w:rFonts w:hint="eastAsia" w:ascii="宋体" w:hAnsi="宋体" w:cs="宋体"/>
                <w:b w:val="0"/>
                <w:bCs w:val="0"/>
                <w:sz w:val="22"/>
                <w:szCs w:val="22"/>
                <w:highlight w:val="none"/>
                <w:lang w:val="en-US" w:eastAsia="zh-CN"/>
              </w:rPr>
              <w:t>导师管理</w:t>
            </w:r>
          </w:p>
        </w:tc>
        <w:tc>
          <w:tcPr>
            <w:tcW w:w="6199" w:type="dxa"/>
            <w:tcBorders>
              <w:tl2br w:val="nil"/>
              <w:tr2bl w:val="nil"/>
            </w:tcBorders>
            <w:vAlign w:val="center"/>
          </w:tcPr>
          <w:p>
            <w:pPr>
              <w:pStyle w:val="14"/>
              <w:numPr>
                <w:ilvl w:val="0"/>
                <w:numId w:val="6"/>
              </w:numPr>
              <w:ind w:leftChars="0"/>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支持展示并维护导师相关信息。</w:t>
            </w:r>
          </w:p>
          <w:p>
            <w:pPr>
              <w:pStyle w:val="14"/>
              <w:numPr>
                <w:ilvl w:val="0"/>
                <w:numId w:val="6"/>
              </w:numPr>
              <w:ind w:leftChars="0"/>
              <w:rPr>
                <w:rFonts w:hint="default"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支持配置导师谈话（导师制工作）的间隔时间、谈话交流方式、交流日期、交流地点、交流主要内容等，支持谈话记录审核功能。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jc w:val="center"/>
        </w:trPr>
        <w:tc>
          <w:tcPr>
            <w:tcW w:w="845" w:type="dxa"/>
            <w:tcBorders>
              <w:tl2br w:val="nil"/>
              <w:tr2bl w:val="nil"/>
            </w:tcBorders>
            <w:vAlign w:val="center"/>
          </w:tcPr>
          <w:p>
            <w:pPr>
              <w:jc w:val="center"/>
              <w:rPr>
                <w:rFonts w:hint="eastAsia" w:ascii="宋体" w:hAnsi="宋体" w:eastAsia="宋体" w:cs="宋体"/>
                <w:b/>
                <w:bCs w:val="0"/>
                <w:color w:val="auto"/>
                <w:kern w:val="2"/>
                <w:sz w:val="22"/>
                <w:szCs w:val="22"/>
                <w:lang w:val="en-US" w:eastAsia="zh-CN" w:bidi="ar-SA"/>
              </w:rPr>
            </w:pPr>
            <w:r>
              <w:rPr>
                <w:rFonts w:hint="eastAsia" w:ascii="宋体" w:hAnsi="宋体" w:cs="宋体"/>
                <w:b w:val="0"/>
                <w:bCs w:val="0"/>
                <w:sz w:val="22"/>
                <w:szCs w:val="22"/>
                <w:lang w:val="en-US" w:eastAsia="zh-CN"/>
              </w:rPr>
              <w:t>8</w:t>
            </w:r>
          </w:p>
        </w:tc>
        <w:tc>
          <w:tcPr>
            <w:tcW w:w="1513" w:type="dxa"/>
            <w:tcBorders>
              <w:tl2br w:val="nil"/>
              <w:tr2bl w:val="nil"/>
            </w:tcBorders>
            <w:vAlign w:val="center"/>
          </w:tcPr>
          <w:p>
            <w:pPr>
              <w:jc w:val="center"/>
              <w:rPr>
                <w:rFonts w:hint="default" w:ascii="宋体" w:hAnsi="宋体" w:cs="宋体"/>
                <w:b w:val="0"/>
                <w:bCs w:val="0"/>
                <w:sz w:val="22"/>
                <w:szCs w:val="22"/>
                <w:highlight w:val="none"/>
                <w:lang w:val="en-US" w:eastAsia="zh-CN"/>
              </w:rPr>
            </w:pPr>
            <w:r>
              <w:rPr>
                <w:rFonts w:hint="eastAsia" w:ascii="宋体" w:hAnsi="宋体" w:cs="宋体"/>
                <w:b w:val="0"/>
                <w:bCs w:val="0"/>
                <w:sz w:val="22"/>
                <w:szCs w:val="22"/>
                <w:highlight w:val="none"/>
                <w:lang w:val="en-US" w:eastAsia="zh-CN"/>
              </w:rPr>
              <w:t>考勤管理</w:t>
            </w:r>
          </w:p>
        </w:tc>
        <w:tc>
          <w:tcPr>
            <w:tcW w:w="6199" w:type="dxa"/>
            <w:tcBorders>
              <w:tl2br w:val="nil"/>
              <w:tr2bl w:val="nil"/>
            </w:tcBorders>
            <w:vAlign w:val="center"/>
          </w:tcPr>
          <w:p>
            <w:pPr>
              <w:pStyle w:val="14"/>
              <w:numPr>
                <w:ilvl w:val="0"/>
                <w:numId w:val="7"/>
              </w:numPr>
              <w:ind w:leftChars="0"/>
              <w:rPr>
                <w:rFonts w:hint="default"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系统能够配置学员出勤状态，支持设定请假天数阈值，请假审核流程。查询请假信息。支持请假时间与轮转计划时间段自动匹配计算。</w:t>
            </w:r>
          </w:p>
          <w:p>
            <w:pPr>
              <w:pStyle w:val="14"/>
              <w:numPr>
                <w:ilvl w:val="0"/>
                <w:numId w:val="7"/>
              </w:numPr>
              <w:ind w:leftChars="0"/>
              <w:rPr>
                <w:rFonts w:hint="default" w:ascii="宋体" w:hAnsi="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根据医院管理员配置的请假流程，根据请假时间，自动推送请假申请给相关人员审核。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845" w:type="dxa"/>
            <w:tcBorders>
              <w:tl2br w:val="nil"/>
              <w:tr2bl w:val="nil"/>
            </w:tcBorders>
            <w:vAlign w:val="center"/>
          </w:tcPr>
          <w:p>
            <w:pPr>
              <w:jc w:val="center"/>
              <w:rPr>
                <w:rFonts w:hint="eastAsia" w:ascii="宋体" w:hAnsi="宋体" w:eastAsia="宋体" w:cs="宋体"/>
                <w:b w:val="0"/>
                <w:bCs w:val="0"/>
                <w:kern w:val="2"/>
                <w:sz w:val="22"/>
                <w:szCs w:val="22"/>
                <w:lang w:val="en-US" w:eastAsia="zh-CN" w:bidi="ar-SA"/>
              </w:rPr>
            </w:pPr>
            <w:r>
              <w:rPr>
                <w:rFonts w:hint="eastAsia" w:ascii="宋体" w:hAnsi="宋体" w:cs="宋体"/>
                <w:b w:val="0"/>
                <w:bCs w:val="0"/>
                <w:color w:val="auto"/>
                <w:sz w:val="22"/>
                <w:szCs w:val="22"/>
                <w:highlight w:val="none"/>
                <w:lang w:val="en-US" w:eastAsia="zh-CN"/>
              </w:rPr>
              <w:t>9</w:t>
            </w:r>
          </w:p>
        </w:tc>
        <w:tc>
          <w:tcPr>
            <w:tcW w:w="1513" w:type="dxa"/>
            <w:tcBorders>
              <w:tl2br w:val="nil"/>
              <w:tr2bl w:val="nil"/>
            </w:tcBorders>
            <w:vAlign w:val="center"/>
          </w:tcPr>
          <w:p>
            <w:pPr>
              <w:jc w:val="center"/>
              <w:rPr>
                <w:rFonts w:hint="eastAsia" w:ascii="宋体" w:hAnsi="宋体" w:eastAsia="宋体" w:cs="宋体"/>
                <w:b w:val="0"/>
                <w:bCs w:val="0"/>
                <w:kern w:val="2"/>
                <w:sz w:val="22"/>
                <w:szCs w:val="22"/>
                <w:highlight w:val="none"/>
                <w:lang w:val="en-US" w:eastAsia="zh-CN" w:bidi="ar-SA"/>
              </w:rPr>
            </w:pPr>
            <w:r>
              <w:rPr>
                <w:rFonts w:hint="eastAsia" w:ascii="宋体" w:hAnsi="宋体" w:cs="宋体"/>
                <w:b w:val="0"/>
                <w:bCs w:val="0"/>
                <w:color w:val="auto"/>
                <w:sz w:val="22"/>
                <w:szCs w:val="22"/>
                <w:highlight w:val="none"/>
                <w:lang w:val="en-US" w:eastAsia="zh-CN"/>
              </w:rPr>
              <w:t>考核管理</w:t>
            </w:r>
          </w:p>
        </w:tc>
        <w:tc>
          <w:tcPr>
            <w:tcW w:w="6199" w:type="dxa"/>
            <w:tcBorders>
              <w:tl2br w:val="nil"/>
              <w:tr2bl w:val="nil"/>
            </w:tcBorders>
            <w:vAlign w:val="center"/>
          </w:tcPr>
          <w:p>
            <w:pPr>
              <w:jc w:val="both"/>
              <w:rPr>
                <w:rFonts w:hint="default"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配置有自主训练、轮转考核、模拟考核等相关考核，具有完善的组卷、考核等管理功能。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jc w:val="center"/>
        </w:trPr>
        <w:tc>
          <w:tcPr>
            <w:tcW w:w="845" w:type="dxa"/>
            <w:tcBorders>
              <w:tl2br w:val="nil"/>
              <w:tr2bl w:val="nil"/>
            </w:tcBorders>
            <w:vAlign w:val="center"/>
          </w:tcPr>
          <w:p>
            <w:pPr>
              <w:jc w:val="center"/>
              <w:rPr>
                <w:rFonts w:hint="default" w:ascii="宋体" w:hAnsi="宋体" w:eastAsia="宋体" w:cs="宋体"/>
                <w:b/>
                <w:bCs/>
                <w:kern w:val="2"/>
                <w:sz w:val="22"/>
                <w:szCs w:val="22"/>
                <w:lang w:val="en-US" w:eastAsia="zh-CN" w:bidi="ar-SA"/>
              </w:rPr>
            </w:pPr>
            <w:r>
              <w:rPr>
                <w:rFonts w:hint="eastAsia" w:ascii="宋体" w:hAnsi="宋体" w:cs="宋体"/>
                <w:b w:val="0"/>
                <w:bCs w:val="0"/>
                <w:color w:val="auto"/>
                <w:sz w:val="22"/>
                <w:szCs w:val="22"/>
                <w:highlight w:val="none"/>
                <w:lang w:val="en-US" w:eastAsia="zh-CN"/>
              </w:rPr>
              <w:t>10</w:t>
            </w:r>
          </w:p>
        </w:tc>
        <w:tc>
          <w:tcPr>
            <w:tcW w:w="1513" w:type="dxa"/>
            <w:tcBorders>
              <w:tl2br w:val="nil"/>
              <w:tr2bl w:val="nil"/>
            </w:tcBorders>
            <w:vAlign w:val="center"/>
          </w:tcPr>
          <w:p>
            <w:pPr>
              <w:jc w:val="center"/>
              <w:rPr>
                <w:rFonts w:hint="eastAsia" w:ascii="宋体" w:hAnsi="宋体" w:eastAsia="宋体" w:cs="宋体"/>
                <w:b w:val="0"/>
                <w:bCs w:val="0"/>
                <w:kern w:val="2"/>
                <w:sz w:val="22"/>
                <w:szCs w:val="22"/>
                <w:lang w:val="en-US" w:eastAsia="zh-CN" w:bidi="ar-SA"/>
              </w:rPr>
            </w:pPr>
            <w:r>
              <w:rPr>
                <w:rFonts w:hint="eastAsia" w:ascii="宋体" w:hAnsi="宋体" w:cs="宋体"/>
                <w:b w:val="0"/>
                <w:bCs w:val="0"/>
                <w:color w:val="auto"/>
                <w:sz w:val="22"/>
                <w:szCs w:val="22"/>
                <w:highlight w:val="none"/>
                <w:lang w:val="en-US" w:eastAsia="zh-CN"/>
              </w:rPr>
              <w:t>结业管理</w:t>
            </w:r>
          </w:p>
        </w:tc>
        <w:tc>
          <w:tcPr>
            <w:tcW w:w="6199" w:type="dxa"/>
            <w:tcBorders>
              <w:tl2br w:val="nil"/>
              <w:tr2bl w:val="nil"/>
            </w:tcBorders>
            <w:vAlign w:val="center"/>
          </w:tcPr>
          <w:p>
            <w:pPr>
              <w:pStyle w:val="14"/>
              <w:numPr>
                <w:ilvl w:val="0"/>
                <w:numId w:val="8"/>
              </w:numPr>
              <w:ind w:leftChars="0"/>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可针对不同学员类型设置结业要求，系统会根据配置的项目来限制学员提交结业申请的资格。</w:t>
            </w:r>
          </w:p>
          <w:p>
            <w:pPr>
              <w:pStyle w:val="14"/>
              <w:numPr>
                <w:ilvl w:val="0"/>
                <w:numId w:val="8"/>
              </w:numPr>
              <w:ind w:leftChars="0"/>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支持查看结业资格项目完成情况、上传结业材料、结业审核、反馈评分等功能</w:t>
            </w:r>
            <w:r>
              <w:rPr>
                <w:rFonts w:hint="eastAsia" w:ascii="宋体" w:hAnsi="宋体" w:cs="宋体"/>
                <w:b w:val="0"/>
                <w:bCs/>
                <w:color w:val="auto"/>
                <w:kern w:val="2"/>
                <w:sz w:val="22"/>
                <w:szCs w:val="2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4" w:hRule="atLeast"/>
          <w:jc w:val="center"/>
        </w:trPr>
        <w:tc>
          <w:tcPr>
            <w:tcW w:w="845" w:type="dxa"/>
            <w:tcBorders>
              <w:tl2br w:val="nil"/>
              <w:tr2bl w:val="nil"/>
            </w:tcBorders>
            <w:vAlign w:val="center"/>
          </w:tcPr>
          <w:p>
            <w:pPr>
              <w:jc w:val="center"/>
              <w:rPr>
                <w:rFonts w:hint="default" w:ascii="宋体" w:hAnsi="宋体" w:eastAsia="宋体" w:cs="宋体"/>
                <w:b w:val="0"/>
                <w:bCs w:val="0"/>
                <w:kern w:val="2"/>
                <w:sz w:val="22"/>
                <w:szCs w:val="22"/>
                <w:lang w:val="en-US" w:eastAsia="zh-CN" w:bidi="ar-SA"/>
              </w:rPr>
            </w:pPr>
            <w:r>
              <w:rPr>
                <w:rFonts w:hint="eastAsia" w:ascii="宋体" w:hAnsi="宋体" w:cs="宋体"/>
                <w:b w:val="0"/>
                <w:bCs w:val="0"/>
                <w:kern w:val="2"/>
                <w:sz w:val="22"/>
                <w:szCs w:val="22"/>
                <w:lang w:val="en-US" w:eastAsia="zh-CN" w:bidi="ar-SA"/>
              </w:rPr>
              <w:t>11</w:t>
            </w:r>
          </w:p>
        </w:tc>
        <w:tc>
          <w:tcPr>
            <w:tcW w:w="1513" w:type="dxa"/>
            <w:tcBorders>
              <w:tl2br w:val="nil"/>
              <w:tr2bl w:val="nil"/>
            </w:tcBorders>
            <w:vAlign w:val="center"/>
          </w:tcPr>
          <w:p>
            <w:pPr>
              <w:jc w:val="center"/>
              <w:rPr>
                <w:rFonts w:hint="default"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kern w:val="2"/>
                <w:sz w:val="22"/>
                <w:szCs w:val="22"/>
                <w:lang w:val="en-US" w:eastAsia="zh-CN" w:bidi="ar-SA"/>
              </w:rPr>
              <w:t>师资管理</w:t>
            </w:r>
          </w:p>
        </w:tc>
        <w:tc>
          <w:tcPr>
            <w:tcW w:w="6199" w:type="dxa"/>
            <w:tcBorders>
              <w:tl2br w:val="nil"/>
              <w:tr2bl w:val="nil"/>
            </w:tcBorders>
            <w:vAlign w:val="center"/>
          </w:tcPr>
          <w:p>
            <w:pPr>
              <w:pStyle w:val="14"/>
              <w:numPr>
                <w:ilvl w:val="0"/>
                <w:numId w:val="9"/>
              </w:numPr>
              <w:ind w:leftChars="0"/>
              <w:rPr>
                <w:rFonts w:hint="default"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配置有师资档案、聘任管理、考核管理、培训管理、评优评先等相关功能。</w:t>
            </w:r>
          </w:p>
          <w:p>
            <w:pPr>
              <w:pStyle w:val="14"/>
              <w:numPr>
                <w:ilvl w:val="0"/>
                <w:numId w:val="9"/>
              </w:numPr>
              <w:ind w:leftChars="0"/>
              <w:rPr>
                <w:rFonts w:hint="default"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支持不同人员类型的遴选能够单独配置相关内容和字段，支持根据遴选项目配置审核流程。</w:t>
            </w:r>
          </w:p>
          <w:p>
            <w:pPr>
              <w:pStyle w:val="14"/>
              <w:numPr>
                <w:ilvl w:val="0"/>
                <w:numId w:val="9"/>
              </w:numPr>
              <w:ind w:leftChars="0"/>
              <w:rPr>
                <w:rFonts w:hint="default"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支持系统组卷、自动阅卷、批量续聘、导入等操作。</w:t>
            </w:r>
          </w:p>
          <w:p>
            <w:pPr>
              <w:pStyle w:val="14"/>
              <w:numPr>
                <w:ilvl w:val="0"/>
                <w:numId w:val="9"/>
              </w:numPr>
              <w:ind w:leftChars="0"/>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支持筛选时间，查看全部师资历史考核分数。</w:t>
            </w:r>
          </w:p>
          <w:p>
            <w:pPr>
              <w:pStyle w:val="14"/>
              <w:numPr>
                <w:ilvl w:val="0"/>
                <w:numId w:val="9"/>
              </w:numPr>
              <w:ind w:leftChars="0"/>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支持配置带教时长等限制条件筛选评优评先名单。</w:t>
            </w:r>
          </w:p>
          <w:p>
            <w:pPr>
              <w:pStyle w:val="14"/>
              <w:numPr>
                <w:ilvl w:val="0"/>
                <w:numId w:val="9"/>
              </w:numPr>
              <w:ind w:leftChars="0"/>
              <w:rPr>
                <w:rFonts w:hint="default"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lang w:val="en-US" w:eastAsia="zh-CN" w:bidi="ar-SA"/>
              </w:rPr>
              <w:t>支持生成pdf等常用文档。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845" w:type="dxa"/>
            <w:tcBorders>
              <w:tl2br w:val="nil"/>
              <w:tr2bl w:val="nil"/>
            </w:tcBorders>
            <w:vAlign w:val="center"/>
          </w:tcPr>
          <w:p>
            <w:pPr>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cs="宋体"/>
                <w:b w:val="0"/>
                <w:bCs w:val="0"/>
                <w:color w:val="auto"/>
                <w:sz w:val="22"/>
                <w:szCs w:val="22"/>
                <w:lang w:val="en-US" w:eastAsia="zh-CN"/>
              </w:rPr>
              <w:t>12</w:t>
            </w:r>
          </w:p>
        </w:tc>
        <w:tc>
          <w:tcPr>
            <w:tcW w:w="1513" w:type="dxa"/>
            <w:tcBorders>
              <w:tl2br w:val="nil"/>
              <w:tr2bl w:val="nil"/>
            </w:tcBorders>
            <w:vAlign w:val="center"/>
          </w:tcPr>
          <w:p>
            <w:pPr>
              <w:jc w:val="center"/>
              <w:rPr>
                <w:rFonts w:hint="default" w:ascii="宋体" w:hAnsi="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lang w:val="en-US" w:eastAsia="zh-CN"/>
              </w:rPr>
              <w:t>绩效管理</w:t>
            </w:r>
          </w:p>
        </w:tc>
        <w:tc>
          <w:tcPr>
            <w:tcW w:w="6199" w:type="dxa"/>
            <w:tcBorders>
              <w:tl2br w:val="nil"/>
              <w:tr2bl w:val="nil"/>
            </w:tcBorders>
            <w:vAlign w:val="center"/>
          </w:tcPr>
          <w:p>
            <w:pPr>
              <w:jc w:val="both"/>
              <w:rPr>
                <w:rFonts w:hint="default"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lang w:val="en-US" w:eastAsia="zh-CN" w:bidi="ar-SA"/>
              </w:rPr>
              <w:t>系统可根据不同的角色新增绩效方案，不同角色指标项目根据相关角色绩效来获取对应数据，设计绩效方案时，可按照不同维度来设置权重，最终输出符合医院要求的数据。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8" w:hRule="atLeast"/>
          <w:jc w:val="center"/>
        </w:trPr>
        <w:tc>
          <w:tcPr>
            <w:tcW w:w="845" w:type="dxa"/>
            <w:vMerge w:val="restart"/>
            <w:tcBorders>
              <w:tl2br w:val="nil"/>
              <w:tr2bl w:val="nil"/>
            </w:tcBorders>
            <w:vAlign w:val="center"/>
          </w:tcPr>
          <w:p>
            <w:pPr>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lang w:val="en-US" w:eastAsia="zh-CN"/>
              </w:rPr>
              <w:t>13</w:t>
            </w:r>
          </w:p>
        </w:tc>
        <w:tc>
          <w:tcPr>
            <w:tcW w:w="1513" w:type="dxa"/>
            <w:tcBorders>
              <w:tl2br w:val="nil"/>
              <w:tr2bl w:val="nil"/>
            </w:tcBorders>
            <w:vAlign w:val="center"/>
          </w:tcPr>
          <w:p>
            <w:pPr>
              <w:jc w:val="center"/>
              <w:rPr>
                <w:rFonts w:hint="default"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lang w:val="en-US" w:eastAsia="zh-CN"/>
              </w:rPr>
              <w:t>辅助管理</w:t>
            </w:r>
          </w:p>
        </w:tc>
        <w:tc>
          <w:tcPr>
            <w:tcW w:w="6199" w:type="dxa"/>
            <w:tcBorders>
              <w:tl2br w:val="nil"/>
              <w:tr2bl w:val="nil"/>
            </w:tcBorders>
            <w:vAlign w:val="center"/>
          </w:tcPr>
          <w:p>
            <w:pPr>
              <w:pStyle w:val="14"/>
              <w:numPr>
                <w:ilvl w:val="0"/>
                <w:numId w:val="10"/>
              </w:numPr>
              <w:ind w:leftChars="0"/>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具备通知公告、问题反馈、操作指引等辅助功能。</w:t>
            </w:r>
          </w:p>
          <w:p>
            <w:pPr>
              <w:pStyle w:val="14"/>
              <w:numPr>
                <w:ilvl w:val="0"/>
                <w:numId w:val="10"/>
              </w:numPr>
              <w:ind w:leftChars="0"/>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公告为系统首页展示，无需登录系统既可进行查看。支持选择接收对象，显示接收对象人数。能够实时查看通知中已阅和未阅读的人员。</w:t>
            </w:r>
          </w:p>
          <w:p>
            <w:pPr>
              <w:pStyle w:val="14"/>
              <w:numPr>
                <w:ilvl w:val="0"/>
                <w:numId w:val="10"/>
              </w:numPr>
              <w:ind w:leftChars="0"/>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全部角色均支持在线反馈，新增反馈时填写标题内容、反馈内容、图片上传。</w:t>
            </w:r>
          </w:p>
          <w:p>
            <w:pPr>
              <w:pStyle w:val="14"/>
              <w:numPr>
                <w:ilvl w:val="0"/>
                <w:numId w:val="10"/>
              </w:numPr>
              <w:ind w:leftChars="0"/>
              <w:rPr>
                <w:rFonts w:hint="default"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医院管理员能够查看目前提交的全部问题并进行反馈。</w:t>
            </w:r>
          </w:p>
          <w:p>
            <w:pPr>
              <w:pStyle w:val="14"/>
              <w:numPr>
                <w:ilvl w:val="0"/>
                <w:numId w:val="10"/>
              </w:numPr>
              <w:ind w:leftChars="0"/>
              <w:rPr>
                <w:rFonts w:hint="default"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lang w:val="en-US" w:eastAsia="zh-CN" w:bidi="ar-SA"/>
              </w:rPr>
              <w:t>医院管理员能够新增操作指引目录，能够设置目录名称和附件，并能够编辑和删除。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4" w:hRule="atLeast"/>
          <w:jc w:val="center"/>
        </w:trPr>
        <w:tc>
          <w:tcPr>
            <w:tcW w:w="845" w:type="dxa"/>
            <w:tcBorders>
              <w:tl2br w:val="nil"/>
              <w:tr2bl w:val="nil"/>
            </w:tcBorders>
            <w:vAlign w:val="center"/>
          </w:tcPr>
          <w:p>
            <w:pPr>
              <w:jc w:val="center"/>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lang w:val="en-US" w:eastAsia="zh-CN"/>
              </w:rPr>
              <w:t>14</w:t>
            </w:r>
          </w:p>
        </w:tc>
        <w:tc>
          <w:tcPr>
            <w:tcW w:w="1513" w:type="dxa"/>
            <w:tcBorders>
              <w:tl2br w:val="nil"/>
              <w:tr2bl w:val="nil"/>
            </w:tcBorders>
            <w:vAlign w:val="center"/>
          </w:tcPr>
          <w:p>
            <w:pPr>
              <w:jc w:val="center"/>
              <w:rPr>
                <w:rFonts w:hint="eastAsia" w:ascii="宋体" w:hAnsi="宋体" w:eastAsia="宋体" w:cs="宋体"/>
                <w:b w:val="0"/>
                <w:bCs w:val="0"/>
                <w:color w:val="auto"/>
                <w:kern w:val="2"/>
                <w:sz w:val="22"/>
                <w:szCs w:val="22"/>
                <w:lang w:val="en-US" w:eastAsia="zh-CN" w:bidi="ar-SA"/>
              </w:rPr>
            </w:pPr>
            <w:r>
              <w:rPr>
                <w:rFonts w:hint="eastAsia" w:ascii="宋体" w:hAnsi="宋体" w:cs="宋体"/>
                <w:b w:val="0"/>
                <w:bCs w:val="0"/>
                <w:color w:val="auto"/>
                <w:sz w:val="22"/>
                <w:szCs w:val="22"/>
                <w:lang w:val="en-US" w:eastAsia="zh-CN"/>
              </w:rPr>
              <w:t>系统设置</w:t>
            </w:r>
          </w:p>
        </w:tc>
        <w:tc>
          <w:tcPr>
            <w:tcW w:w="6199" w:type="dxa"/>
            <w:tcBorders>
              <w:tl2br w:val="nil"/>
              <w:tr2bl w:val="nil"/>
            </w:tcBorders>
            <w:vAlign w:val="center"/>
          </w:tcPr>
          <w:p>
            <w:pPr>
              <w:pStyle w:val="14"/>
              <w:numPr>
                <w:ilvl w:val="0"/>
                <w:numId w:val="11"/>
              </w:numPr>
              <w:ind w:leftChars="0"/>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支持维护学员档案和师资档案，同时系统还支持自定义角色。</w:t>
            </w:r>
          </w:p>
          <w:p>
            <w:pPr>
              <w:pStyle w:val="14"/>
              <w:numPr>
                <w:ilvl w:val="0"/>
                <w:numId w:val="11"/>
              </w:numPr>
              <w:ind w:leftChars="0"/>
              <w:rPr>
                <w:rFonts w:hint="default"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支持配置医院科室及轮转科室，配置专业基地所管理的科室，轮转科室能够配置容纳人数等信息。</w:t>
            </w:r>
          </w:p>
          <w:p>
            <w:pPr>
              <w:pStyle w:val="14"/>
              <w:numPr>
                <w:ilvl w:val="0"/>
                <w:numId w:val="11"/>
              </w:numPr>
              <w:ind w:leftChars="0"/>
              <w:rPr>
                <w:rFonts w:hint="default"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支持医院自主维护配置考核评分表。</w:t>
            </w:r>
          </w:p>
          <w:p>
            <w:pPr>
              <w:pStyle w:val="14"/>
              <w:numPr>
                <w:ilvl w:val="0"/>
                <w:numId w:val="11"/>
              </w:numPr>
              <w:ind w:leftChars="0"/>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支持操作日志和登录日志，能够查看全部人员的操作记录。</w:t>
            </w:r>
          </w:p>
          <w:p>
            <w:pPr>
              <w:pStyle w:val="14"/>
              <w:numPr>
                <w:ilvl w:val="0"/>
                <w:numId w:val="11"/>
              </w:numPr>
              <w:ind w:leftChars="0"/>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支持短信模板、短信日志等功能。</w:t>
            </w:r>
          </w:p>
          <w:p>
            <w:pPr>
              <w:pStyle w:val="14"/>
              <w:numPr>
                <w:ilvl w:val="0"/>
                <w:numId w:val="11"/>
              </w:numPr>
              <w:ind w:leftChars="0"/>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系统支持配置用户初始密码、理论考核及格分数等功能。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845" w:type="dxa"/>
            <w:tcBorders>
              <w:tl2br w:val="nil"/>
              <w:tr2bl w:val="nil"/>
            </w:tcBorders>
            <w:vAlign w:val="center"/>
          </w:tcPr>
          <w:p>
            <w:pPr>
              <w:jc w:val="center"/>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kern w:val="2"/>
                <w:sz w:val="22"/>
                <w:szCs w:val="22"/>
                <w:highlight w:val="none"/>
                <w:lang w:val="en-US" w:eastAsia="zh-CN" w:bidi="ar-SA"/>
              </w:rPr>
              <w:t>15</w:t>
            </w:r>
          </w:p>
        </w:tc>
        <w:tc>
          <w:tcPr>
            <w:tcW w:w="1513" w:type="dxa"/>
            <w:tcBorders>
              <w:tl2br w:val="nil"/>
              <w:tr2bl w:val="nil"/>
            </w:tcBorders>
            <w:vAlign w:val="center"/>
          </w:tcPr>
          <w:p>
            <w:pPr>
              <w:jc w:val="center"/>
              <w:rPr>
                <w:rFonts w:hint="default" w:ascii="宋体" w:hAnsi="宋体" w:cs="宋体"/>
                <w:b w:val="0"/>
                <w:bCs w:val="0"/>
                <w:color w:val="auto"/>
                <w:kern w:val="2"/>
                <w:sz w:val="22"/>
                <w:szCs w:val="22"/>
                <w:lang w:val="en-US" w:eastAsia="zh-CN" w:bidi="ar-SA"/>
              </w:rPr>
            </w:pPr>
            <w:r>
              <w:rPr>
                <w:rFonts w:hint="eastAsia" w:ascii="宋体" w:hAnsi="宋体" w:cs="宋体"/>
                <w:b w:val="0"/>
                <w:bCs w:val="0"/>
                <w:color w:val="auto"/>
                <w:sz w:val="22"/>
                <w:szCs w:val="22"/>
                <w:highlight w:val="none"/>
                <w:lang w:val="en-US" w:eastAsia="zh-CN"/>
              </w:rPr>
              <w:t>移动端口</w:t>
            </w:r>
          </w:p>
        </w:tc>
        <w:tc>
          <w:tcPr>
            <w:tcW w:w="6199" w:type="dxa"/>
            <w:tcBorders>
              <w:tl2br w:val="nil"/>
              <w:tr2bl w:val="nil"/>
            </w:tcBorders>
            <w:vAlign w:val="center"/>
          </w:tcPr>
          <w:p>
            <w:pPr>
              <w:jc w:val="both"/>
              <w:rPr>
                <w:rFonts w:hint="default" w:ascii="宋体" w:hAnsi="宋体" w:eastAsia="宋体" w:cs="宋体"/>
                <w:b w:val="0"/>
                <w:bCs/>
                <w:color w:val="auto"/>
                <w:kern w:val="2"/>
                <w:sz w:val="22"/>
                <w:szCs w:val="22"/>
                <w:lang w:val="en-US" w:eastAsia="zh-CN" w:bidi="ar-SA"/>
              </w:rPr>
            </w:pPr>
            <w:r>
              <w:rPr>
                <w:rFonts w:hint="eastAsia" w:ascii="宋体" w:hAnsi="宋体" w:cs="宋体"/>
                <w:b w:val="0"/>
                <w:bCs/>
                <w:color w:val="auto"/>
                <w:kern w:val="2"/>
                <w:sz w:val="22"/>
                <w:szCs w:val="22"/>
                <w:highlight w:val="none"/>
                <w:lang w:val="en-US" w:eastAsia="zh-CN" w:bidi="ar-SA"/>
              </w:rPr>
              <w:t>支持学员、带教老师、考官、秘书、教学主任等多种角色身份。各个身份的界面应根据常用场景单独配置，常用应用/功能包括但不限于轮转管理、教学管理、评价管理、待办事项、考勤管理、师资管理、考核管理、院级督导等。同时，系统支持自定义角色和分配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45" w:type="dxa"/>
            <w:tcBorders>
              <w:tl2br w:val="nil"/>
              <w:tr2bl w:val="nil"/>
            </w:tcBorders>
            <w:vAlign w:val="center"/>
          </w:tcPr>
          <w:p>
            <w:pPr>
              <w:jc w:val="center"/>
              <w:rPr>
                <w:rFonts w:hint="default"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kern w:val="2"/>
                <w:sz w:val="22"/>
                <w:szCs w:val="22"/>
                <w:lang w:val="en-US" w:eastAsia="zh-CN" w:bidi="ar-SA"/>
              </w:rPr>
              <w:t>16</w:t>
            </w:r>
          </w:p>
        </w:tc>
        <w:tc>
          <w:tcPr>
            <w:tcW w:w="1513" w:type="dxa"/>
            <w:tcBorders>
              <w:tl2br w:val="nil"/>
              <w:tr2bl w:val="nil"/>
            </w:tcBorders>
            <w:vAlign w:val="center"/>
          </w:tcPr>
          <w:p>
            <w:pPr>
              <w:jc w:val="center"/>
              <w:rPr>
                <w:rFonts w:hint="default" w:ascii="宋体" w:hAnsi="宋体" w:cs="宋体"/>
                <w:b w:val="0"/>
                <w:bCs w:val="0"/>
                <w:color w:val="auto"/>
                <w:kern w:val="2"/>
                <w:sz w:val="22"/>
                <w:szCs w:val="22"/>
                <w:lang w:val="en-US" w:eastAsia="zh-CN" w:bidi="ar-SA"/>
              </w:rPr>
            </w:pPr>
            <w:r>
              <w:rPr>
                <w:rFonts w:hint="eastAsia" w:ascii="宋体" w:hAnsi="宋体" w:eastAsia="宋体" w:cs="宋体"/>
                <w:b w:val="0"/>
                <w:bCs w:val="0"/>
                <w:color w:val="auto"/>
                <w:kern w:val="2"/>
                <w:sz w:val="22"/>
                <w:szCs w:val="22"/>
                <w:lang w:val="en-US" w:eastAsia="zh-CN" w:bidi="ar-SA"/>
              </w:rPr>
              <w:t>其他</w:t>
            </w:r>
          </w:p>
        </w:tc>
        <w:tc>
          <w:tcPr>
            <w:tcW w:w="6199" w:type="dxa"/>
            <w:tcBorders>
              <w:tl2br w:val="nil"/>
              <w:tr2bl w:val="nil"/>
            </w:tcBorders>
            <w:vAlign w:val="center"/>
          </w:tcPr>
          <w:p>
            <w:pPr>
              <w:jc w:val="both"/>
              <w:rPr>
                <w:rFonts w:hint="default" w:ascii="宋体" w:hAnsi="宋体" w:eastAsia="宋体" w:cs="宋体"/>
                <w:b w:val="0"/>
                <w:bCs/>
                <w:color w:val="auto"/>
                <w:kern w:val="2"/>
                <w:sz w:val="22"/>
                <w:szCs w:val="22"/>
                <w:lang w:val="en-US" w:eastAsia="zh-CN" w:bidi="ar-SA"/>
              </w:rPr>
            </w:pPr>
            <w:r>
              <w:rPr>
                <w:rFonts w:hint="eastAsia" w:ascii="宋体" w:hAnsi="宋体" w:cs="宋体"/>
                <w:b w:val="0"/>
                <w:bCs/>
                <w:color w:val="auto"/>
                <w:kern w:val="2"/>
                <w:sz w:val="22"/>
                <w:szCs w:val="22"/>
                <w:highlight w:val="none"/>
                <w:lang w:val="en-US" w:eastAsia="zh-CN" w:bidi="ar-SA"/>
              </w:rPr>
              <w:t>与国家规培信息平台对接，能够上传相关数据到国家规培信息平台。</w:t>
            </w:r>
          </w:p>
        </w:tc>
      </w:tr>
    </w:tbl>
    <w:p>
      <w:pPr>
        <w:numPr>
          <w:numId w:val="0"/>
        </w:numPr>
        <w:jc w:val="both"/>
        <w:rPr>
          <w:rFonts w:hint="eastAsia" w:ascii="仿宋_GB2312" w:hAnsi="仿宋_GB2312" w:eastAsia="仿宋_GB2312" w:cs="仿宋_GB2312"/>
          <w:b/>
          <w:bCs/>
          <w:sz w:val="32"/>
          <w:szCs w:val="32"/>
          <w:lang w:val="en-US" w:eastAsia="zh-CN"/>
        </w:rPr>
      </w:pPr>
    </w:p>
    <w:p>
      <w:pPr>
        <w:numPr>
          <w:ilvl w:val="0"/>
          <w:numId w:val="12"/>
        </w:numPr>
        <w:ind w:leftChars="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其他要求</w:t>
      </w:r>
    </w:p>
    <w:p>
      <w:pPr>
        <w:pStyle w:val="13"/>
        <w:numPr>
          <w:numId w:val="0"/>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1、应结合我院实际医疗及管理需要，对系统进行客户化修改，包括但不限于结合医院实际管理需求；同时不得使用主管部门禁止使用的操作系统及数据库。</w:t>
      </w:r>
    </w:p>
    <w:p>
      <w:pPr>
        <w:pStyle w:val="13"/>
        <w:numPr>
          <w:ilvl w:val="0"/>
          <w:numId w:val="13"/>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由于本项目需符合国产化要求，必须配备正版的国</w:t>
      </w:r>
      <w:bookmarkStart w:id="0" w:name="_GoBack"/>
      <w:bookmarkEnd w:id="0"/>
      <w:r>
        <w:rPr>
          <w:rFonts w:hint="eastAsia" w:ascii="仿宋_GB2312" w:hAnsi="仿宋_GB2312" w:eastAsia="仿宋_GB2312" w:cs="仿宋_GB2312"/>
          <w:color w:val="auto"/>
          <w:sz w:val="32"/>
          <w:szCs w:val="32"/>
          <w:lang w:val="en-US" w:eastAsia="zh-CN"/>
        </w:rPr>
        <w:t>产化操作系统、数据库及前端国产化工作站。同时本项目验收前须提供福建省信息技术应用创新适配中心开展的信息技术应用创新符合性测试，并提供相关的证明。</w:t>
      </w:r>
    </w:p>
    <w:p>
      <w:pPr>
        <w:pStyle w:val="13"/>
        <w:numPr>
          <w:ilvl w:val="0"/>
          <w:numId w:val="13"/>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本项目系统需符合《信息安全技术网络安全等级保护基本要求》GB/T22239-2019（三级）要求（下文简称：三级等保2.0），并在三级等保2.0评审中协助完成本系统评审工作。</w:t>
      </w:r>
    </w:p>
    <w:p>
      <w:pPr>
        <w:pStyle w:val="13"/>
        <w:numPr>
          <w:ilvl w:val="0"/>
          <w:numId w:val="13"/>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年内免费实施政策性国家、省市各平台的数据接口、数据上传等服务及免费实施国密改造、国产化改造，包括但不限于：福建省卫健委居民健康综合服务平台、福建省检查检验结果互联互通互认平台、福建省卫健委多码融合项目等，产生相应指标，推送至医疗平台接口中（涉及其他系统，应与其他系统配合实施）。</w:t>
      </w:r>
    </w:p>
    <w:p>
      <w:pPr>
        <w:pStyle w:val="13"/>
        <w:numPr>
          <w:ilvl w:val="0"/>
          <w:numId w:val="13"/>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本项目系统应提供与医院HIS，电子病历、危急值平台、报告平台、麻醉耗材、患者360（含HIS360、CDR360）等系统无缝集成接口，符合电子病历6级、医院的互联互通5级、智慧医院4级的建设要求。</w:t>
      </w:r>
    </w:p>
    <w:p>
      <w:pPr>
        <w:pStyle w:val="13"/>
        <w:numPr>
          <w:ilvl w:val="0"/>
          <w:numId w:val="13"/>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本项目为交钥匙工程，本项目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与各业务系统及设备的数据接口由中标人自行负责。本项目涉及院内现有各业务系统接口的，采购人不再向中标人支付接口费用。</w:t>
      </w:r>
    </w:p>
    <w:p>
      <w:pPr>
        <w:pStyle w:val="13"/>
        <w:numPr>
          <w:ilvl w:val="0"/>
          <w:numId w:val="13"/>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pPr>
        <w:pStyle w:val="13"/>
        <w:numPr>
          <w:ilvl w:val="0"/>
          <w:numId w:val="13"/>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国家《医院信息系统功能规范》第十二条以及国家信息化建设审计要求，至少必须提供数据字典、数据结构与流程、操作使用手册、系统维护手册。必须提供完整的总体设计报告、需求分析说明书、概要设计说明书、详细设计说明书、数据字典、数据结构与流程、测试报告、操作使用手册、系统维护手册。</w:t>
      </w:r>
    </w:p>
    <w:p>
      <w:pPr>
        <w:pStyle w:val="13"/>
        <w:numPr>
          <w:ilvl w:val="0"/>
          <w:numId w:val="13"/>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pPr>
        <w:pStyle w:val="13"/>
        <w:numPr>
          <w:ilvl w:val="0"/>
          <w:numId w:val="13"/>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所有的工作流程节点（诸如：工作环节名称、患者ID、操作人、操作时间等）必须发送至全院工作流程管理平台进行接收、存储；本项目所涉及的影像文件（照片、图像等），则必须与全院统一影像数据中台实现交互，全部由全院统一影像数据中台进行管理（接收、存储、调阅等），原则上本项目服务器及应用系统不保存所涉及的影像文件（照片、图像等）；各具体接口技术方案待实施时由采购人提供。</w:t>
      </w:r>
    </w:p>
    <w:p>
      <w:pPr>
        <w:pStyle w:val="13"/>
        <w:numPr>
          <w:ilvl w:val="0"/>
          <w:numId w:val="13"/>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与医院现有CA数字签名功能实现对接，满足医院各法规需要。</w:t>
      </w:r>
    </w:p>
    <w:p>
      <w:pPr>
        <w:pStyle w:val="13"/>
        <w:numPr>
          <w:ilvl w:val="0"/>
          <w:numId w:val="13"/>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若需接入医院APP(实现院外移动端查询)，则中标人应提供H5接口，并支付相应接口费用（不超过3万元），</w:t>
      </w:r>
      <w:r>
        <w:rPr>
          <w:rFonts w:hint="eastAsia" w:ascii="仿宋_GB2312" w:hAnsi="仿宋_GB2312" w:eastAsia="仿宋_GB2312" w:cs="仿宋_GB2312"/>
          <w:color w:val="auto"/>
          <w:sz w:val="32"/>
          <w:szCs w:val="32"/>
          <w:lang w:val="en-US" w:eastAsia="zh-CN"/>
        </w:rPr>
        <w:t>是否需接入医院APP以项目验收时采购人需求为准。</w:t>
      </w:r>
    </w:p>
    <w:p>
      <w:pPr>
        <w:pStyle w:val="13"/>
        <w:numPr>
          <w:ilvl w:val="0"/>
          <w:numId w:val="13"/>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在本项目系统软件使用及维保有效期内，本项目软件在每个使用科室使用的终端数量不受限制，数据不得加密，不得使用加密狗、打印加密、功能加密等任何软件使用约束。</w:t>
      </w:r>
    </w:p>
    <w:p>
      <w:pPr>
        <w:pStyle w:val="13"/>
        <w:numPr>
          <w:ilvl w:val="0"/>
          <w:numId w:val="13"/>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本项目软件部分按总价进行报价，不能以安装工作站数量进行报价。</w:t>
      </w:r>
    </w:p>
    <w:p>
      <w:pPr>
        <w:pStyle w:val="13"/>
        <w:numPr>
          <w:ilvl w:val="0"/>
          <w:numId w:val="13"/>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本项目系统需完成旧系统中的历史数据导入，旧系统中非自动产生的数据（如手工输入值等），在新系统中可不体现或以默认值体现。若有涉及接口费用，由中标方负责，采购人不再向中标人支付接口费用。</w:t>
      </w:r>
    </w:p>
    <w:p>
      <w:pPr>
        <w:pStyle w:val="13"/>
        <w:numPr>
          <w:ilvl w:val="0"/>
          <w:numId w:val="13"/>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本项目软件版面色彩、风格等应按医院要求设计制作；软件标题只能出现医院logo及系统名称，不能出现公司名称，公司名称允许在帮助（help）的关于（about）中出现。具体版面另行通知。</w:t>
      </w:r>
    </w:p>
    <w:p>
      <w:pPr>
        <w:pStyle w:val="13"/>
        <w:numPr>
          <w:ilvl w:val="0"/>
          <w:numId w:val="13"/>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本项目系统安装调试并经验收合格后，应对采购方的相关人员提供关于系统应用时技术和操作方面的培训。相关培训费用应包含在投标总价中。</w:t>
      </w:r>
    </w:p>
    <w:p>
      <w:pPr>
        <w:pStyle w:val="10"/>
        <w:widowControl w:val="0"/>
        <w:numPr>
          <w:ilvl w:val="0"/>
          <w:numId w:val="12"/>
        </w:numPr>
        <w:overflowPunct w:val="0"/>
        <w:autoSpaceDE w:val="0"/>
        <w:autoSpaceDN w:val="0"/>
        <w:adjustRightInd w:val="0"/>
        <w:ind w:left="0" w:leftChars="0" w:firstLine="0" w:firstLineChars="0"/>
        <w:jc w:val="both"/>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调研说明</w:t>
      </w:r>
    </w:p>
    <w:p>
      <w:pPr>
        <w:shd w:val="solid" w:color="FFFFFF" w:fill="auto"/>
        <w:wordWrap/>
        <w:autoSpaceDN w:val="0"/>
        <w:adjustRightInd/>
        <w:snapToGrid/>
        <w:spacing w:before="0" w:after="0" w:line="590" w:lineRule="exact"/>
        <w:ind w:left="0" w:leftChars="0" w:right="0" w:firstLine="640" w:firstLineChars="200"/>
        <w:jc w:val="both"/>
        <w:textAlignment w:val="auto"/>
        <w:outlineLvl w:val="9"/>
        <w:rPr>
          <w:rFonts w:hint="eastAsia" w:ascii="仿宋_GB2312" w:hAnsi="仿宋_GB2312" w:eastAsia="仿宋_GB2312" w:cs="仿宋_GB2312"/>
          <w:b w:val="0"/>
          <w:bCs/>
          <w:sz w:val="32"/>
          <w:szCs w:val="32"/>
          <w:shd w:val="clear" w:color="auto" w:fill="FFFFFF"/>
          <w:lang w:eastAsia="zh-CN"/>
        </w:rPr>
      </w:pPr>
      <w:r>
        <w:rPr>
          <w:rFonts w:hint="eastAsia" w:ascii="仿宋_GB2312" w:hAnsi="仿宋_GB2312" w:eastAsia="仿宋_GB2312" w:cs="仿宋_GB2312"/>
          <w:b w:val="0"/>
          <w:bCs/>
          <w:sz w:val="32"/>
          <w:szCs w:val="32"/>
          <w:shd w:val="clear" w:color="auto" w:fill="FFFFFF"/>
          <w:lang w:val="en-US" w:eastAsia="zh-CN"/>
        </w:rPr>
        <w:t>报名参加本次</w:t>
      </w:r>
      <w:r>
        <w:rPr>
          <w:rFonts w:hint="eastAsia" w:ascii="仿宋_GB2312" w:hAnsi="仿宋_GB2312" w:eastAsia="仿宋_GB2312" w:cs="仿宋_GB2312"/>
          <w:b w:val="0"/>
          <w:bCs/>
          <w:sz w:val="32"/>
          <w:szCs w:val="32"/>
          <w:shd w:val="clear" w:color="auto" w:fill="FFFFFF"/>
        </w:rPr>
        <w:t>调研</w:t>
      </w:r>
      <w:r>
        <w:rPr>
          <w:rFonts w:hint="eastAsia" w:ascii="仿宋_GB2312" w:hAnsi="仿宋_GB2312" w:eastAsia="仿宋_GB2312" w:cs="仿宋_GB2312"/>
          <w:b w:val="0"/>
          <w:bCs/>
          <w:sz w:val="32"/>
          <w:szCs w:val="32"/>
          <w:shd w:val="clear" w:color="auto" w:fill="FFFFFF"/>
          <w:lang w:val="en-US" w:eastAsia="zh-CN"/>
        </w:rPr>
        <w:t>的供应商、厂家需</w:t>
      </w:r>
      <w:r>
        <w:rPr>
          <w:rFonts w:hint="eastAsia" w:ascii="仿宋_GB2312" w:hAnsi="仿宋_GB2312" w:eastAsia="仿宋_GB2312" w:cs="仿宋_GB2312"/>
          <w:b w:val="0"/>
          <w:bCs/>
          <w:sz w:val="32"/>
          <w:szCs w:val="32"/>
          <w:shd w:val="clear" w:color="auto" w:fill="FFFFFF"/>
        </w:rPr>
        <w:t>提供如下相关资料</w:t>
      </w:r>
      <w:r>
        <w:rPr>
          <w:rFonts w:hint="eastAsia" w:ascii="仿宋_GB2312" w:hAnsi="仿宋_GB2312" w:eastAsia="仿宋_GB2312" w:cs="仿宋_GB2312"/>
          <w:b w:val="0"/>
          <w:bCs/>
          <w:sz w:val="32"/>
          <w:szCs w:val="32"/>
          <w:shd w:val="clear" w:color="auto" w:fill="FFFFFF"/>
          <w:lang w:eastAsia="zh-CN"/>
        </w:rPr>
        <w:t>。</w:t>
      </w:r>
    </w:p>
    <w:p>
      <w:pPr>
        <w:widowControl/>
        <w:numPr>
          <w:numId w:val="0"/>
        </w:numPr>
        <w:wordWrap/>
        <w:adjustRightInd/>
        <w:snapToGrid/>
        <w:spacing w:before="0" w:after="0" w:line="590" w:lineRule="exact"/>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报名请携带加盖公章的项目文件回执单、营业执照复印件、公司简介</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b w:val="0"/>
          <w:bCs/>
          <w:sz w:val="32"/>
          <w:szCs w:val="32"/>
          <w:shd w:val="clear" w:color="auto" w:fill="FFFFFF"/>
        </w:rPr>
        <w:t>提供设备彩页、相关三证等</w:t>
      </w:r>
      <w:r>
        <w:rPr>
          <w:rFonts w:hint="eastAsia" w:ascii="仿宋_GB2312" w:hAnsi="仿宋_GB2312" w:eastAsia="仿宋_GB2312" w:cs="仿宋_GB2312"/>
          <w:b w:val="0"/>
          <w:bCs/>
          <w:sz w:val="32"/>
          <w:szCs w:val="32"/>
          <w:shd w:val="clear" w:color="auto" w:fill="FFFFFF"/>
          <w:lang w:eastAsia="zh-CN"/>
        </w:rPr>
        <w:t>）</w:t>
      </w:r>
      <w:r>
        <w:rPr>
          <w:rFonts w:hint="eastAsia" w:ascii="仿宋_GB2312" w:hAnsi="仿宋_GB2312" w:eastAsia="仿宋_GB2312" w:cs="仿宋_GB2312"/>
          <w:color w:val="000000"/>
          <w:kern w:val="0"/>
          <w:sz w:val="32"/>
          <w:szCs w:val="32"/>
          <w:highlight w:val="none"/>
          <w:lang w:eastAsia="zh-CN"/>
        </w:rPr>
        <w:t>。</w:t>
      </w:r>
    </w:p>
    <w:p>
      <w:pPr>
        <w:widowControl/>
        <w:shd w:val="clear" w:color="auto" w:fill="FFFFFF"/>
        <w:wordWrap/>
        <w:snapToGrid/>
        <w:spacing w:before="0" w:after="0" w:line="500" w:lineRule="atLeast"/>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wordWrap/>
        <w:snapToGrid/>
        <w:spacing w:before="0" w:after="0" w:line="500" w:lineRule="atLeast"/>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10"/>
        <w:numPr>
          <w:numId w:val="0"/>
        </w:numPr>
        <w:wordWrap/>
        <w:snapToGrid/>
        <w:spacing w:before="0" w:after="0"/>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rPr>
        <w:t>4、</w:t>
      </w:r>
      <w:r>
        <w:rPr>
          <w:rFonts w:hint="eastAsia" w:ascii="仿宋_GB2312" w:hAnsi="仿宋_GB2312" w:eastAsia="仿宋_GB2312" w:cs="仿宋_GB2312"/>
          <w:color w:val="000000"/>
          <w:spacing w:val="-8"/>
          <w:kern w:val="0"/>
          <w:sz w:val="32"/>
          <w:szCs w:val="32"/>
          <w:shd w:val="clear" w:color="auto" w:fill="FFFFFF"/>
          <w:lang w:val="en-US" w:eastAsia="zh-CN"/>
        </w:rPr>
        <w:t>提供业绩清单及近3年同类项目中标书</w:t>
      </w:r>
    </w:p>
    <w:p>
      <w:pPr>
        <w:pStyle w:val="10"/>
        <w:numPr>
          <w:numId w:val="0"/>
        </w:numPr>
        <w:wordWrap/>
        <w:snapToGrid/>
        <w:spacing w:before="0" w:after="0"/>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5、本调研会的报价仅做为本项目公开招标的预算限价；不做参与投标的限制条件；</w:t>
      </w:r>
    </w:p>
    <w:p>
      <w:pPr>
        <w:pStyle w:val="10"/>
        <w:numPr>
          <w:numId w:val="0"/>
        </w:numPr>
        <w:wordWrap/>
        <w:snapToGrid/>
        <w:spacing w:before="0" w:after="0"/>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6、上述各参数将做为本项目招标的主要参数，不代表本项目公开招标的最终参数；</w:t>
      </w:r>
    </w:p>
    <w:p>
      <w:pPr>
        <w:pStyle w:val="10"/>
        <w:numPr>
          <w:numId w:val="0"/>
        </w:numPr>
        <w:wordWrap/>
        <w:snapToGrid/>
        <w:spacing w:before="0" w:after="0"/>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7、参加调研会的公司应准备PPT材料（含方案介绍、服务及集成能力、应用案例、报价等）、技术参数等材料，每公司讲解时间30分钟（含答疑10分钟）；同时上述材料须交予院方留档（发送邮件到wlb@fjzlhospital.com，并提供U盘留档）。</w:t>
      </w:r>
    </w:p>
    <w:p>
      <w:pPr>
        <w:pStyle w:val="10"/>
        <w:numPr>
          <w:numId w:val="0"/>
        </w:numPr>
        <w:wordWrap/>
        <w:snapToGrid/>
        <w:spacing w:before="0" w:after="0"/>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p>
    <w:p>
      <w:pPr>
        <w:pStyle w:val="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hd w:val="solid" w:color="FFFFFF" w:fill="auto"/>
        <w:autoSpaceDN w:val="0"/>
        <w:spacing w:line="420" w:lineRule="atLeast"/>
        <w:jc w:val="center"/>
        <w:rPr>
          <w:rFonts w:hint="eastAsia" w:ascii="仿宋_GB2312" w:hAnsi="仿宋_GB2312" w:eastAsia="仿宋_GB2312" w:cs="仿宋_GB2312"/>
          <w:b/>
          <w:bCs w:val="0"/>
          <w:color w:val="000000"/>
          <w:sz w:val="32"/>
          <w:szCs w:val="32"/>
          <w:shd w:val="clear" w:color="auto" w:fill="FFFFFF"/>
        </w:rPr>
      </w:pPr>
    </w:p>
    <w:p>
      <w:pPr>
        <w:shd w:val="solid" w:color="FFFFFF" w:fill="auto"/>
        <w:autoSpaceDN w:val="0"/>
        <w:spacing w:line="420" w:lineRule="atLeast"/>
        <w:jc w:val="center"/>
        <w:rPr>
          <w:rFonts w:hint="eastAsia" w:ascii="仿宋_GB2312" w:hAnsi="仿宋_GB2312" w:eastAsia="仿宋_GB2312" w:cs="仿宋_GB2312"/>
          <w:b/>
          <w:bCs w:val="0"/>
          <w:sz w:val="32"/>
          <w:szCs w:val="32"/>
          <w:shd w:val="clear" w:color="auto" w:fill="FFFFFF"/>
        </w:rPr>
      </w:pPr>
      <w:r>
        <w:rPr>
          <w:rFonts w:hint="eastAsia" w:ascii="仿宋_GB2312" w:hAnsi="仿宋_GB2312" w:eastAsia="仿宋_GB2312" w:cs="仿宋_GB2312"/>
          <w:b/>
          <w:bCs w:val="0"/>
          <w:color w:val="000000"/>
          <w:sz w:val="32"/>
          <w:szCs w:val="32"/>
          <w:shd w:val="clear" w:color="auto" w:fill="FFFFFF"/>
        </w:rPr>
        <w:t>项目文件回执单</w:t>
      </w:r>
    </w:p>
    <w:p>
      <w:pPr>
        <w:shd w:val="solid" w:color="FFFFFF" w:fill="auto"/>
        <w:autoSpaceDN w:val="0"/>
        <w:spacing w:line="420" w:lineRule="atLeast"/>
        <w:ind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请有意向参与的公司在项目公示期内携带回执单至福建省肿瘤医院</w:t>
      </w:r>
      <w:r>
        <w:rPr>
          <w:rFonts w:hint="eastAsia" w:ascii="仿宋_GB2312" w:hAnsi="仿宋_GB2312" w:eastAsia="仿宋_GB2312" w:cs="仿宋_GB2312"/>
          <w:b w:val="0"/>
          <w:bCs/>
          <w:sz w:val="32"/>
          <w:szCs w:val="32"/>
          <w:shd w:val="clear" w:color="auto" w:fill="FFFFFF"/>
          <w:lang w:val="en-US" w:eastAsia="zh-CN"/>
        </w:rPr>
        <w:t>网络技术中心</w:t>
      </w:r>
      <w:r>
        <w:rPr>
          <w:rFonts w:hint="eastAsia" w:ascii="仿宋_GB2312" w:hAnsi="仿宋_GB2312" w:eastAsia="仿宋_GB2312" w:cs="仿宋_GB2312"/>
          <w:b w:val="0"/>
          <w:bCs/>
          <w:sz w:val="32"/>
          <w:szCs w:val="32"/>
          <w:shd w:val="clear" w:color="auto" w:fill="FFFFFF"/>
        </w:rPr>
        <w:t>报名。</w:t>
      </w:r>
    </w:p>
    <w:tbl>
      <w:tblPr>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lang w:val="en-US" w:eastAsia="zh-CN"/>
              </w:rPr>
              <w:t>项目</w:t>
            </w:r>
            <w:r>
              <w:rPr>
                <w:rFonts w:hint="eastAsia" w:ascii="仿宋_GB2312" w:hAnsi="仿宋_GB2312" w:eastAsia="仿宋_GB2312" w:cs="仿宋_GB2312"/>
                <w:b w:val="0"/>
                <w:bCs/>
                <w:sz w:val="28"/>
                <w:szCs w:val="28"/>
                <w:shd w:val="clear" w:color="auto" w:fill="FFFFFF"/>
              </w:rPr>
              <w:t>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p>
        </w:tc>
      </w:tr>
    </w:tbl>
    <w:p>
      <w:pPr>
        <w:shd w:val="solid" w:color="FFFFFF" w:fill="auto"/>
        <w:autoSpaceDN w:val="0"/>
        <w:spacing w:line="420" w:lineRule="atLeast"/>
        <w:jc w:val="both"/>
        <w:rPr>
          <w:rFonts w:hint="eastAsia" w:ascii="仿宋_GB2312" w:hAnsi="仿宋_GB2312" w:eastAsia="仿宋_GB2312" w:cs="仿宋_GB2312"/>
          <w:b w:val="0"/>
          <w:bCs/>
          <w:sz w:val="32"/>
          <w:szCs w:val="32"/>
          <w:shd w:val="clear" w:color="auto" w:fill="FFFFFF"/>
        </w:rPr>
      </w:pP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公司名称：</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 xml:space="preserve">联系人：　 </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联系电话：</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公司盖章：</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p>
    <w:p>
      <w:pPr>
        <w:pStyle w:val="10"/>
        <w:rPr>
          <w:rFonts w:hint="eastAsia" w:ascii="仿宋_GB2312" w:hAnsi="仿宋_GB2312" w:eastAsia="仿宋_GB2312" w:cs="仿宋_GB2312"/>
          <w:b w:val="0"/>
          <w:bCs/>
          <w:sz w:val="32"/>
          <w:szCs w:val="32"/>
          <w:shd w:val="clear" w:color="auto" w:fill="FFFFFF"/>
        </w:rPr>
      </w:pPr>
    </w:p>
    <w:p>
      <w:pPr>
        <w:pStyle w:val="1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w:t>
      </w:r>
    </w:p>
    <w:p>
      <w:pPr>
        <w:pStyle w:val="1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年  月  日</w:t>
      </w:r>
    </w:p>
    <w:sectPr>
      <w:footerReference r:id="rId4" w:type="default"/>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18"/>
        <w:lang w:val="en-US" w:eastAsia="zh-CN" w:bidi="ar-SA"/>
      </w:rPr>
      <w:pict>
        <v:rect id="Quad Arrow 1025" o:spid="_x0000_s1025" style="position:absolute;left:0;margin-top:0pt;height:12.8pt;width:5.3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61103151">
    <w:nsid w:val="63026C2F"/>
    <w:multiLevelType w:val="singleLevel"/>
    <w:tmpl w:val="63026C2F"/>
    <w:lvl w:ilvl="0" w:tentative="1">
      <w:start w:val="1"/>
      <w:numFmt w:val="decimal"/>
      <w:suff w:val="nothing"/>
      <w:lvlText w:val="（%1）"/>
      <w:lvlJc w:val="left"/>
    </w:lvl>
  </w:abstractNum>
  <w:abstractNum w:abstractNumId="2211150702">
    <w:nsid w:val="83CB7B6E"/>
    <w:multiLevelType w:val="singleLevel"/>
    <w:tmpl w:val="83CB7B6E"/>
    <w:lvl w:ilvl="0" w:tentative="1">
      <w:start w:val="1"/>
      <w:numFmt w:val="decimal"/>
      <w:suff w:val="nothing"/>
      <w:lvlText w:val="（%1）"/>
      <w:lvlJc w:val="left"/>
    </w:lvl>
  </w:abstractNum>
  <w:abstractNum w:abstractNumId="1398085122">
    <w:nsid w:val="53551602"/>
    <w:multiLevelType w:val="singleLevel"/>
    <w:tmpl w:val="53551602"/>
    <w:lvl w:ilvl="0" w:tentative="1">
      <w:start w:val="3"/>
      <w:numFmt w:val="chineseCounting"/>
      <w:suff w:val="nothing"/>
      <w:lvlText w:val="%1、"/>
      <w:lvlJc w:val="left"/>
      <w:rPr>
        <w:rFonts w:hint="eastAsia"/>
      </w:rPr>
    </w:lvl>
  </w:abstractNum>
  <w:abstractNum w:abstractNumId="2317785615">
    <w:nsid w:val="8A269A0F"/>
    <w:multiLevelType w:val="singleLevel"/>
    <w:tmpl w:val="8A269A0F"/>
    <w:lvl w:ilvl="0" w:tentative="1">
      <w:start w:val="1"/>
      <w:numFmt w:val="decimal"/>
      <w:suff w:val="nothing"/>
      <w:lvlText w:val="（%1）"/>
      <w:lvlJc w:val="left"/>
    </w:lvl>
  </w:abstractNum>
  <w:abstractNum w:abstractNumId="2676386179">
    <w:nsid w:val="9F866983"/>
    <w:multiLevelType w:val="singleLevel"/>
    <w:tmpl w:val="9F866983"/>
    <w:lvl w:ilvl="0" w:tentative="1">
      <w:start w:val="1"/>
      <w:numFmt w:val="decimal"/>
      <w:suff w:val="nothing"/>
      <w:lvlText w:val="（%1）"/>
      <w:lvlJc w:val="left"/>
    </w:lvl>
  </w:abstractNum>
  <w:abstractNum w:abstractNumId="641794224">
    <w:nsid w:val="264100B0"/>
    <w:multiLevelType w:val="singleLevel"/>
    <w:tmpl w:val="264100B0"/>
    <w:lvl w:ilvl="0" w:tentative="1">
      <w:start w:val="1"/>
      <w:numFmt w:val="decimal"/>
      <w:suff w:val="nothing"/>
      <w:lvlText w:val="（%1）"/>
      <w:lvlJc w:val="left"/>
    </w:lvl>
  </w:abstractNum>
  <w:abstractNum w:abstractNumId="327804240">
    <w:nsid w:val="1389E550"/>
    <w:multiLevelType w:val="singleLevel"/>
    <w:tmpl w:val="1389E550"/>
    <w:lvl w:ilvl="0" w:tentative="1">
      <w:start w:val="1"/>
      <w:numFmt w:val="decimal"/>
      <w:suff w:val="nothing"/>
      <w:lvlText w:val="（%1）"/>
      <w:lvlJc w:val="left"/>
    </w:lvl>
  </w:abstractNum>
  <w:abstractNum w:abstractNumId="2819696999">
    <w:nsid w:val="A8112967"/>
    <w:multiLevelType w:val="singleLevel"/>
    <w:tmpl w:val="A8112967"/>
    <w:lvl w:ilvl="0" w:tentative="1">
      <w:start w:val="1"/>
      <w:numFmt w:val="decimal"/>
      <w:suff w:val="nothing"/>
      <w:lvlText w:val="（%1）"/>
      <w:lvlJc w:val="left"/>
    </w:lvl>
  </w:abstractNum>
  <w:abstractNum w:abstractNumId="3618458481">
    <w:nsid w:val="D7AD4B71"/>
    <w:multiLevelType w:val="singleLevel"/>
    <w:tmpl w:val="D7AD4B71"/>
    <w:lvl w:ilvl="0" w:tentative="1">
      <w:start w:val="1"/>
      <w:numFmt w:val="decimal"/>
      <w:suff w:val="nothing"/>
      <w:lvlText w:val="（%1）"/>
      <w:lvlJc w:val="left"/>
    </w:lvl>
  </w:abstractNum>
  <w:abstractNum w:abstractNumId="1705003979">
    <w:nsid w:val="65A04BCB"/>
    <w:multiLevelType w:val="singleLevel"/>
    <w:tmpl w:val="65A04BCB"/>
    <w:lvl w:ilvl="0" w:tentative="1">
      <w:start w:val="1"/>
      <w:numFmt w:val="decimal"/>
      <w:suff w:val="nothing"/>
      <w:lvlText w:val="（%1）"/>
      <w:lvlJc w:val="left"/>
    </w:lvl>
  </w:abstractNum>
  <w:abstractNum w:abstractNumId="186825948">
    <w:nsid w:val="0B22BCDC"/>
    <w:multiLevelType w:val="singleLevel"/>
    <w:tmpl w:val="0B22BCDC"/>
    <w:lvl w:ilvl="0" w:tentative="1">
      <w:start w:val="1"/>
      <w:numFmt w:val="decimal"/>
      <w:suff w:val="nothing"/>
      <w:lvlText w:val="（%1）"/>
      <w:lvlJc w:val="left"/>
    </w:lvl>
  </w:abstractNum>
  <w:abstractNum w:abstractNumId="578579877">
    <w:nsid w:val="227C6DA5"/>
    <w:multiLevelType w:val="singleLevel"/>
    <w:tmpl w:val="227C6DA5"/>
    <w:lvl w:ilvl="0" w:tentative="1">
      <w:start w:val="1"/>
      <w:numFmt w:val="decimal"/>
      <w:suff w:val="nothing"/>
      <w:lvlText w:val="（%1）"/>
      <w:lvlJc w:val="left"/>
    </w:lvl>
  </w:abstractNum>
  <w:abstractNum w:abstractNumId="1675063653">
    <w:nsid w:val="63D77165"/>
    <w:multiLevelType w:val="singleLevel"/>
    <w:tmpl w:val="63D77165"/>
    <w:lvl w:ilvl="0" w:tentative="1">
      <w:start w:val="2"/>
      <w:numFmt w:val="decimal"/>
      <w:suff w:val="nothing"/>
      <w:lvlText w:val="%1、"/>
      <w:lvlJc w:val="left"/>
    </w:lvl>
  </w:abstractNum>
  <w:num w:numId="1">
    <w:abstractNumId w:val="578579877"/>
  </w:num>
  <w:num w:numId="2">
    <w:abstractNumId w:val="1661103151"/>
  </w:num>
  <w:num w:numId="3">
    <w:abstractNumId w:val="2676386179"/>
  </w:num>
  <w:num w:numId="4">
    <w:abstractNumId w:val="2819696999"/>
  </w:num>
  <w:num w:numId="5">
    <w:abstractNumId w:val="2317785615"/>
  </w:num>
  <w:num w:numId="6">
    <w:abstractNumId w:val="327804240"/>
  </w:num>
  <w:num w:numId="7">
    <w:abstractNumId w:val="641794224"/>
  </w:num>
  <w:num w:numId="8">
    <w:abstractNumId w:val="186825948"/>
  </w:num>
  <w:num w:numId="9">
    <w:abstractNumId w:val="1705003979"/>
  </w:num>
  <w:num w:numId="10">
    <w:abstractNumId w:val="2211150702"/>
  </w:num>
  <w:num w:numId="11">
    <w:abstractNumId w:val="3618458481"/>
  </w:num>
  <w:num w:numId="12">
    <w:abstractNumId w:val="1398085122"/>
  </w:num>
  <w:num w:numId="13">
    <w:abstractNumId w:val="16750636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WYwOWNhMWIwMTM5Y2VhMTQwZDE5YzA3MTI0ODg5N2E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8">
    <w:name w:val="Default Paragraph Font"/>
    <w:semiHidden/>
    <w:qFormat/>
    <w:uiPriority w:val="0"/>
  </w:style>
  <w:style w:type="paragraph" w:styleId="4">
    <w:name w:val="Body Text"/>
    <w:basedOn w:val="1"/>
    <w:next w:val="5"/>
    <w:unhideWhenUsed/>
    <w:qFormat/>
    <w:uiPriority w:val="99"/>
    <w:rPr>
      <w:rFonts w:ascii="仿宋_GB2312" w:eastAsia="仿宋_GB2312"/>
      <w:sz w:val="32"/>
    </w:rPr>
  </w:style>
  <w:style w:type="paragraph" w:customStyle="1" w:styleId="5">
    <w:name w:val="Quote"/>
    <w:basedOn w:val="1"/>
    <w:next w:val="1"/>
    <w:qFormat/>
    <w:uiPriority w:val="29"/>
    <w:pPr>
      <w:spacing w:beforeLines="50" w:afterLines="50" w:line="360" w:lineRule="auto"/>
    </w:pPr>
    <w:rPr>
      <w:i/>
      <w:iCs/>
      <w:color w:val="000000"/>
      <w:lang w:val="zh-CN"/>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line="336" w:lineRule="auto"/>
      <w:jc w:val="left"/>
    </w:pPr>
    <w:rPr>
      <w:rFonts w:ascii="宋体" w:hAnsi="宋体"/>
      <w:kern w:val="0"/>
      <w:sz w:val="24"/>
    </w:rPr>
  </w:style>
  <w:style w:type="character" w:styleId="9">
    <w:name w:val="Strong"/>
    <w:qFormat/>
    <w:uiPriority w:val="0"/>
    <w:rPr>
      <w:b/>
    </w:rPr>
  </w:style>
  <w:style w:type="paragraph" w:customStyle="1" w:styleId="10">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1">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szCs w:val="24"/>
    </w:rPr>
  </w:style>
  <w:style w:type="paragraph" w:customStyle="1" w:styleId="12">
    <w:name w:val="List Paragraph"/>
    <w:basedOn w:val="1"/>
    <w:qFormat/>
    <w:uiPriority w:val="34"/>
    <w:pPr>
      <w:ind w:firstLine="420" w:firstLineChars="200"/>
    </w:pPr>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表格文字"/>
    <w:basedOn w:val="1"/>
    <w:qFormat/>
    <w:uiPriority w:val="0"/>
    <w:pPr>
      <w:spacing w:before="25" w:after="25"/>
    </w:pPr>
    <w:rPr>
      <w:bCs/>
      <w:spacing w:val="10"/>
      <w:kern w:val="0"/>
      <w:sz w:val="24"/>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4551</Words>
  <Characters>4638</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2023-05-30T06:42:00Z</dcterms:created>
  <dc:creator>Admin</dc:creator>
  <cp:lastModifiedBy>Admin</cp:lastModifiedBy>
  <cp:lastPrinted>2023-06-20T07:45:00Z</cp:lastPrinted>
  <dcterms:modified xsi:type="dcterms:W3CDTF">2025-04-07T03:26:34Z</dcterms:modified>
  <dc:title>设备科：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7AE8CF749CDD4CC7BBCFD63E68E73293_13</vt:lpwstr>
  </property>
</Properties>
</file>