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福建省肿瘤医院采购需求</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w:t>
            </w:r>
            <w:r>
              <w:rPr>
                <w:rFonts w:hint="eastAsia" w:ascii="仿宋_GB2312" w:hAnsi="仿宋_GB2312" w:eastAsia="仿宋_GB2312" w:cs="仿宋_GB2312"/>
                <w:color w:val="000000"/>
                <w:kern w:val="0"/>
                <w:sz w:val="32"/>
                <w:szCs w:val="32"/>
                <w:lang w:val="en-US" w:eastAsia="zh-CN"/>
              </w:rPr>
              <w:t>名称</w:t>
            </w:r>
            <w:r>
              <w:rPr>
                <w:rFonts w:hint="eastAsia" w:ascii="仿宋_GB2312" w:hAnsi="仿宋_GB2312" w:eastAsia="仿宋_GB2312" w:cs="仿宋_GB2312"/>
                <w:color w:val="000000"/>
                <w:kern w:val="0"/>
                <w:sz w:val="32"/>
                <w:szCs w:val="32"/>
              </w:rPr>
              <w:t xml:space="preserve">： 护理系统改造升级项目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4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7</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至 4</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 xml:space="preserve"> 14 </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2025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 xml:space="preserve"> 4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18</w:t>
            </w:r>
            <w:bookmarkStart w:id="0" w:name="_GoBack"/>
            <w:bookmarkEnd w:id="0"/>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联系人：</w:t>
      </w:r>
      <w:r>
        <w:rPr>
          <w:rFonts w:hint="eastAsia" w:ascii="仿宋_GB2312" w:hAnsi="仿宋_GB2312" w:eastAsia="仿宋_GB2312" w:cs="仿宋_GB2312"/>
          <w:b w:val="0"/>
          <w:bCs/>
          <w:color w:val="000000"/>
          <w:kern w:val="0"/>
          <w:sz w:val="32"/>
          <w:szCs w:val="32"/>
          <w:shd w:val="clear" w:color="auto" w:fill="FFFFFF"/>
          <w:lang w:val="en-US" w:eastAsia="zh-CN"/>
        </w:rPr>
        <w:t>郭工、</w:t>
      </w:r>
      <w:r>
        <w:rPr>
          <w:rFonts w:hint="eastAsia" w:ascii="仿宋_GB2312" w:hAnsi="仿宋_GB2312" w:eastAsia="仿宋_GB2312" w:cs="仿宋_GB2312"/>
          <w:b w:val="0"/>
          <w:bCs/>
          <w:color w:val="000000"/>
          <w:kern w:val="0"/>
          <w:sz w:val="32"/>
          <w:szCs w:val="32"/>
          <w:shd w:val="clear" w:color="auto" w:fill="FFFFFF"/>
        </w:rPr>
        <w:t xml:space="preserve"> </w:t>
      </w:r>
      <w:r>
        <w:rPr>
          <w:rFonts w:hint="eastAsia" w:ascii="仿宋_GB2312" w:hAnsi="仿宋_GB2312" w:eastAsia="仿宋_GB2312" w:cs="仿宋_GB2312"/>
          <w:b w:val="0"/>
          <w:bCs/>
          <w:color w:val="000000"/>
          <w:kern w:val="0"/>
          <w:sz w:val="32"/>
          <w:szCs w:val="32"/>
          <w:shd w:val="clear" w:color="auto" w:fill="FFFFFF"/>
          <w:lang w:val="en-US" w:eastAsia="zh-CN"/>
        </w:rPr>
        <w:t>金工</w:t>
      </w:r>
    </w:p>
    <w:p>
      <w:pPr>
        <w:pStyle w:val="2"/>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pPr w:leftFromText="180" w:rightFromText="180" w:vertAnchor="text" w:horzAnchor="page" w:tblpX="1562" w:tblpY="283"/>
        <w:tblOverlap w:val="never"/>
        <w:tblW w:w="9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3"/>
        <w:gridCol w:w="3712"/>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163" w:type="dxa"/>
            <w:vAlign w:val="center"/>
          </w:tcPr>
          <w:p>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3712"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名 称</w:t>
            </w:r>
          </w:p>
        </w:tc>
        <w:tc>
          <w:tcPr>
            <w:tcW w:w="1590"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pPr>
              <w:widowControl/>
              <w:wordWrap/>
              <w:spacing w:before="0" w:after="0" w:line="360" w:lineRule="auto"/>
              <w:ind w:left="0" w:leftChars="0" w:right="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4" w:hRule="exact"/>
        </w:trPr>
        <w:tc>
          <w:tcPr>
            <w:tcW w:w="2163" w:type="dxa"/>
            <w:vAlign w:val="center"/>
          </w:tcPr>
          <w:p>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一）</w:t>
            </w:r>
          </w:p>
        </w:tc>
        <w:tc>
          <w:tcPr>
            <w:tcW w:w="3712" w:type="dxa"/>
            <w:vAlign w:val="center"/>
          </w:tcPr>
          <w:p>
            <w:pPr>
              <w:numPr>
                <w:numId w:val="0"/>
              </w:numPr>
              <w:wordWrap/>
              <w:spacing w:before="0" w:after="0" w:line="360" w:lineRule="auto"/>
              <w:ind w:left="0" w:leftChars="0" w:right="0" w:firstLine="0" w:firstLineChars="0"/>
              <w:jc w:val="both"/>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护理系统改造升级项目</w:t>
            </w:r>
          </w:p>
        </w:tc>
        <w:tc>
          <w:tcPr>
            <w:tcW w:w="1590" w:type="dxa"/>
            <w:vAlign w:val="center"/>
          </w:tcPr>
          <w:p>
            <w:pPr>
              <w:wordWrap/>
              <w:autoSpaceDN w:val="0"/>
              <w:spacing w:before="0" w:after="0" w:line="360" w:lineRule="auto"/>
              <w:ind w:left="0" w:leftChars="0" w:right="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b w:val="0"/>
                <w:i w:val="0"/>
                <w:color w:val="000000"/>
                <w:sz w:val="32"/>
                <w:szCs w:val="32"/>
                <w:u w:val="none"/>
                <w:lang w:val="en-US" w:eastAsia="zh-CN"/>
              </w:rPr>
              <w:t>1套</w:t>
            </w:r>
          </w:p>
        </w:tc>
        <w:tc>
          <w:tcPr>
            <w:tcW w:w="1894" w:type="dxa"/>
            <w:vAlign w:val="center"/>
          </w:tcPr>
          <w:p>
            <w:pPr>
              <w:wordWrap/>
              <w:autoSpaceDN w:val="0"/>
              <w:spacing w:before="0" w:after="0" w:line="360" w:lineRule="auto"/>
              <w:ind w:left="0" w:leftChars="0" w:right="0"/>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b w:val="0"/>
                <w:i w:val="0"/>
                <w:color w:val="000000"/>
                <w:sz w:val="32"/>
                <w:szCs w:val="32"/>
                <w:u w:val="none"/>
                <w:lang w:val="en-US" w:eastAsia="zh-CN"/>
              </w:rPr>
              <w:t>200</w:t>
            </w:r>
          </w:p>
        </w:tc>
      </w:tr>
    </w:tbl>
    <w:p>
      <w:pPr>
        <w:rPr>
          <w:rFonts w:hint="eastAsia"/>
          <w:lang w:val="en-US" w:eastAsia="zh-CN"/>
        </w:rPr>
      </w:pPr>
    </w:p>
    <w:p>
      <w:pPr>
        <w:keepNext/>
        <w:widowControl/>
        <w:numPr>
          <w:numId w:val="0"/>
        </w:numPr>
        <w:shd w:val="clear" w:color="auto" w:fill="FFFFFF"/>
        <w:wordWrap/>
        <w:autoSpaceDE w:val="0"/>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pPr>
        <w:pStyle w:val="2"/>
        <w:numPr>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1、合同包（一）</w:t>
      </w:r>
    </w:p>
    <w:p>
      <w:pPr>
        <w:pStyle w:val="2"/>
        <w:rPr>
          <w:rFonts w:ascii="仿宋_GB2312" w:hAnsi="仿宋_GB2312" w:cs="仿宋_GB2312"/>
          <w:b/>
          <w:sz w:val="28"/>
          <w:szCs w:val="28"/>
        </w:rPr>
      </w:pPr>
      <w:r>
        <w:rPr>
          <w:rFonts w:hint="eastAsia" w:ascii="仿宋_GB2312" w:hAnsi="仿宋_GB2312" w:cs="仿宋_GB2312"/>
          <w:b/>
          <w:sz w:val="28"/>
          <w:szCs w:val="28"/>
        </w:rPr>
        <w:t>1.1移动护理系统</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8"/>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61" w:hRule="atLeast"/>
          <w:jc w:val="center"/>
        </w:trPr>
        <w:tc>
          <w:tcPr>
            <w:tcW w:w="1418" w:type="dxa"/>
            <w:vAlign w:val="center"/>
          </w:tcPr>
          <w:p>
            <w:pPr>
              <w:spacing w:before="81" w:after="81"/>
              <w:jc w:val="center"/>
              <w:rPr>
                <w:rFonts w:ascii="宋体" w:hAnsi="宋体"/>
              </w:rPr>
            </w:pPr>
            <w:r>
              <w:rPr>
                <w:rFonts w:hint="eastAsia"/>
                <w:b/>
                <w:kern w:val="0"/>
                <w:szCs w:val="20"/>
              </w:rPr>
              <w:t>功能模块</w:t>
            </w:r>
          </w:p>
        </w:tc>
        <w:tc>
          <w:tcPr>
            <w:tcW w:w="7104" w:type="dxa"/>
            <w:vAlign w:val="center"/>
          </w:tcPr>
          <w:p>
            <w:pPr>
              <w:spacing w:before="81" w:after="81"/>
              <w:jc w:val="center"/>
              <w:rPr>
                <w:rFonts w:ascii="宋体" w:hAnsi="宋体"/>
              </w:rPr>
            </w:pPr>
            <w:r>
              <w:rPr>
                <w:rFonts w:hint="eastAsia"/>
                <w:b/>
                <w:kern w:val="0"/>
                <w:szCs w:val="20"/>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病区管理</w:t>
            </w:r>
          </w:p>
        </w:tc>
        <w:tc>
          <w:tcPr>
            <w:tcW w:w="7104" w:type="dxa"/>
            <w:vAlign w:val="top"/>
          </w:tcPr>
          <w:p>
            <w:pPr>
              <w:spacing w:before="81" w:after="81"/>
              <w:rPr>
                <w:rFonts w:ascii="宋体" w:hAnsi="宋体"/>
              </w:rPr>
            </w:pPr>
            <w:r>
              <w:rPr>
                <w:rFonts w:hint="eastAsia" w:ascii="宋体" w:hAnsi="宋体"/>
              </w:rPr>
              <w:t>支持病人统计、病区统计、手术安排查询、腕带打印、交班报告等功能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病人管理</w:t>
            </w:r>
          </w:p>
        </w:tc>
        <w:tc>
          <w:tcPr>
            <w:tcW w:w="7104" w:type="dxa"/>
            <w:vAlign w:val="top"/>
          </w:tcPr>
          <w:p>
            <w:pPr>
              <w:spacing w:before="81" w:after="81"/>
              <w:rPr>
                <w:rFonts w:ascii="宋体" w:hAnsi="宋体"/>
              </w:rPr>
            </w:pPr>
            <w:r>
              <w:rPr>
                <w:rFonts w:hint="eastAsia" w:ascii="宋体" w:hAnsi="宋体"/>
              </w:rPr>
              <w:t>支持病人列表、病人信息、病人分组、病人流转管理、病人查询等功能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患者交接</w:t>
            </w:r>
          </w:p>
        </w:tc>
        <w:tc>
          <w:tcPr>
            <w:tcW w:w="7104" w:type="dxa"/>
            <w:vAlign w:val="top"/>
          </w:tcPr>
          <w:p>
            <w:pPr>
              <w:spacing w:before="81" w:after="81"/>
              <w:rPr>
                <w:rFonts w:ascii="宋体" w:hAnsi="宋体"/>
              </w:rPr>
            </w:pPr>
            <w:r>
              <w:rPr>
                <w:rFonts w:hint="eastAsia" w:ascii="宋体" w:hAnsi="宋体"/>
              </w:rPr>
              <w:t>支持普通患者、危重患者、血透患者、新生儿、手术患者等转运交接记录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护理巡视</w:t>
            </w:r>
          </w:p>
        </w:tc>
        <w:tc>
          <w:tcPr>
            <w:tcW w:w="7104" w:type="dxa"/>
            <w:vAlign w:val="top"/>
          </w:tcPr>
          <w:p>
            <w:pPr>
              <w:spacing w:before="81" w:after="81"/>
              <w:rPr>
                <w:rFonts w:ascii="宋体" w:hAnsi="宋体"/>
              </w:rPr>
            </w:pPr>
            <w:r>
              <w:rPr>
                <w:rFonts w:hint="eastAsia" w:ascii="宋体" w:hAnsi="宋体"/>
              </w:rPr>
              <w:t>支持通过扫描病人腕带、床头牌或瓶贴等形式完成护理等级巡视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体征管理</w:t>
            </w:r>
          </w:p>
        </w:tc>
        <w:tc>
          <w:tcPr>
            <w:tcW w:w="7104" w:type="dxa"/>
            <w:vAlign w:val="top"/>
          </w:tcPr>
          <w:p>
            <w:pPr>
              <w:spacing w:before="81" w:after="81"/>
              <w:rPr>
                <w:rFonts w:ascii="宋体" w:hAnsi="宋体"/>
              </w:rPr>
            </w:pPr>
            <w:r>
              <w:rPr>
                <w:rFonts w:hint="eastAsia" w:ascii="宋体" w:hAnsi="宋体"/>
              </w:rPr>
              <w:t>支持体温单、全科体征、体征采集智能提示等功能，并进行体征数据校验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医嘱管理</w:t>
            </w:r>
          </w:p>
        </w:tc>
        <w:tc>
          <w:tcPr>
            <w:tcW w:w="7104" w:type="dxa"/>
            <w:vAlign w:val="top"/>
          </w:tcPr>
          <w:p>
            <w:pPr>
              <w:spacing w:before="81" w:after="81"/>
              <w:rPr>
                <w:rFonts w:ascii="宋体" w:hAnsi="宋体"/>
              </w:rPr>
            </w:pPr>
            <w:r>
              <w:rPr>
                <w:rFonts w:hint="eastAsia" w:ascii="宋体" w:hAnsi="宋体"/>
              </w:rPr>
              <w:t>支持医嘱查询、瓶签打印、医嘱执行、PDA扫描率、PDA安全卫士等功能、并生成各类医嘱执行记录单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76" w:hRule="atLeast"/>
          <w:jc w:val="center"/>
        </w:trPr>
        <w:tc>
          <w:tcPr>
            <w:tcW w:w="1418" w:type="dxa"/>
            <w:vAlign w:val="center"/>
          </w:tcPr>
          <w:p>
            <w:pPr>
              <w:spacing w:before="81" w:after="81"/>
              <w:rPr>
                <w:rFonts w:ascii="宋体" w:hAnsi="宋体"/>
              </w:rPr>
            </w:pPr>
            <w:r>
              <w:rPr>
                <w:rFonts w:hint="eastAsia" w:ascii="宋体" w:hAnsi="宋体"/>
              </w:rPr>
              <w:t>评估管理</w:t>
            </w:r>
          </w:p>
        </w:tc>
        <w:tc>
          <w:tcPr>
            <w:tcW w:w="7104" w:type="dxa"/>
            <w:vAlign w:val="top"/>
          </w:tcPr>
          <w:p>
            <w:pPr>
              <w:spacing w:before="81" w:after="81"/>
              <w:rPr>
                <w:rFonts w:ascii="宋体" w:hAnsi="宋体"/>
              </w:rPr>
            </w:pPr>
            <w:r>
              <w:rPr>
                <w:rFonts w:hint="eastAsia" w:ascii="宋体" w:hAnsi="宋体"/>
              </w:rPr>
              <w:t>支持入院评估、跌倒坠床评估、压疮评估、疼痛评估、导管滑脱评估、自理能力评估、营养评估等各类评估表单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418" w:type="dxa"/>
            <w:vAlign w:val="center"/>
          </w:tcPr>
          <w:p>
            <w:pPr>
              <w:spacing w:before="81" w:after="81"/>
              <w:rPr>
                <w:rFonts w:ascii="宋体" w:hAnsi="宋体"/>
              </w:rPr>
            </w:pPr>
            <w:r>
              <w:rPr>
                <w:rFonts w:hint="eastAsia" w:ascii="宋体" w:hAnsi="宋体"/>
              </w:rPr>
              <w:t>记录管理</w:t>
            </w:r>
          </w:p>
        </w:tc>
        <w:tc>
          <w:tcPr>
            <w:tcW w:w="7104" w:type="dxa"/>
            <w:vAlign w:val="top"/>
          </w:tcPr>
          <w:p>
            <w:pPr>
              <w:spacing w:before="81" w:after="81"/>
              <w:rPr>
                <w:rFonts w:ascii="宋体" w:hAnsi="宋体"/>
              </w:rPr>
            </w:pPr>
            <w:r>
              <w:rPr>
                <w:rFonts w:hint="eastAsia" w:ascii="宋体" w:hAnsi="宋体"/>
              </w:rPr>
              <w:t>支持各类护理记录单、血糖结果登记表、深静脉导管置入记录单、吸氧记录卡、健康宣教记录单等表单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418" w:type="dxa"/>
            <w:vAlign w:val="center"/>
          </w:tcPr>
          <w:p>
            <w:pPr>
              <w:spacing w:before="81" w:after="81"/>
              <w:rPr>
                <w:rFonts w:ascii="宋体" w:hAnsi="宋体"/>
              </w:rPr>
            </w:pPr>
            <w:r>
              <w:rPr>
                <w:rFonts w:hint="eastAsia" w:ascii="宋体" w:hAnsi="宋体"/>
              </w:rPr>
              <w:t>结果报告</w:t>
            </w:r>
          </w:p>
        </w:tc>
        <w:tc>
          <w:tcPr>
            <w:tcW w:w="7104" w:type="dxa"/>
            <w:vAlign w:val="top"/>
          </w:tcPr>
          <w:p>
            <w:pPr>
              <w:spacing w:before="81" w:after="81"/>
              <w:rPr>
                <w:rFonts w:ascii="宋体" w:hAnsi="宋体"/>
              </w:rPr>
            </w:pPr>
            <w:r>
              <w:rPr>
                <w:rFonts w:hint="eastAsia" w:ascii="宋体" w:hAnsi="宋体"/>
              </w:rPr>
              <w:t>支持查看病人检查、检验结果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418" w:type="dxa"/>
            <w:vAlign w:val="center"/>
          </w:tcPr>
          <w:p>
            <w:pPr>
              <w:spacing w:before="81" w:after="81"/>
              <w:rPr>
                <w:rFonts w:ascii="宋体" w:hAnsi="宋体"/>
              </w:rPr>
            </w:pPr>
            <w:r>
              <w:rPr>
                <w:rFonts w:hint="eastAsia" w:ascii="宋体" w:hAnsi="宋体"/>
              </w:rPr>
              <w:t>闭环管理</w:t>
            </w:r>
          </w:p>
        </w:tc>
        <w:tc>
          <w:tcPr>
            <w:tcW w:w="7104" w:type="dxa"/>
            <w:vAlign w:val="top"/>
          </w:tcPr>
          <w:p>
            <w:pPr>
              <w:spacing w:before="81" w:after="81"/>
              <w:rPr>
                <w:rFonts w:ascii="宋体" w:hAnsi="宋体"/>
              </w:rPr>
            </w:pPr>
            <w:r>
              <w:rPr>
                <w:rFonts w:hint="eastAsia" w:ascii="宋体" w:hAnsi="宋体"/>
              </w:rPr>
              <w:t>支持输液医嘱闭环、皮试医嘱闭环、输血备血闭环、标本采集闭换等闭环管理业务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1418" w:type="dxa"/>
            <w:vAlign w:val="center"/>
          </w:tcPr>
          <w:p>
            <w:pPr>
              <w:spacing w:before="81" w:after="81"/>
              <w:rPr>
                <w:rFonts w:ascii="宋体" w:hAnsi="宋体"/>
              </w:rPr>
            </w:pPr>
            <w:r>
              <w:rPr>
                <w:rFonts w:hint="eastAsia" w:ascii="宋体" w:hAnsi="宋体"/>
              </w:rPr>
              <w:t xml:space="preserve">智能登陆 </w:t>
            </w:r>
          </w:p>
        </w:tc>
        <w:tc>
          <w:tcPr>
            <w:tcW w:w="7104" w:type="dxa"/>
            <w:vAlign w:val="top"/>
          </w:tcPr>
          <w:p>
            <w:pPr>
              <w:spacing w:before="81" w:after="81"/>
              <w:rPr>
                <w:rFonts w:ascii="宋体" w:hAnsi="宋体"/>
              </w:rPr>
            </w:pPr>
            <w:r>
              <w:rPr>
                <w:rFonts w:hint="eastAsia" w:ascii="宋体" w:hAnsi="宋体"/>
              </w:rPr>
              <w:t>支持扫描用户工牌二维码自动登录系统</w:t>
            </w:r>
          </w:p>
        </w:tc>
      </w:tr>
    </w:tbl>
    <w:p>
      <w:pPr>
        <w:pStyle w:val="2"/>
        <w:rPr>
          <w:rFonts w:hint="eastAsia" w:ascii="仿宋_GB2312" w:hAnsi="仿宋_GB2312" w:cs="仿宋_GB2312"/>
          <w:b/>
          <w:sz w:val="28"/>
          <w:szCs w:val="28"/>
        </w:rPr>
      </w:pPr>
    </w:p>
    <w:p>
      <w:pPr>
        <w:pStyle w:val="2"/>
        <w:rPr>
          <w:rFonts w:ascii="仿宋_GB2312" w:hAnsi="仿宋_GB2312" w:cs="仿宋_GB2312"/>
          <w:b/>
          <w:sz w:val="28"/>
          <w:szCs w:val="28"/>
        </w:rPr>
      </w:pPr>
      <w:r>
        <w:rPr>
          <w:rFonts w:hint="eastAsia" w:ascii="仿宋_GB2312" w:hAnsi="仿宋_GB2312" w:cs="仿宋_GB2312"/>
          <w:b/>
          <w:sz w:val="28"/>
          <w:szCs w:val="28"/>
        </w:rPr>
        <w:t>1.2护理质量管理系统</w:t>
      </w:r>
    </w:p>
    <w:tbl>
      <w:tblPr>
        <w:tblpPr w:leftFromText="4536" w:rightFromText="4536" w:bottomFromText="284" w:vertAnchor="text" w:tblpXSpec="center" w:tblpY="1"/>
        <w:tblOverlap w:val="neve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5"/>
        <w:gridCol w:w="7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9" w:hRule="atLeast"/>
        </w:trPr>
        <w:tc>
          <w:tcPr>
            <w:tcW w:w="1415" w:type="dxa"/>
            <w:vAlign w:val="top"/>
          </w:tcPr>
          <w:p>
            <w:pPr>
              <w:spacing w:before="81" w:after="81"/>
              <w:jc w:val="center"/>
              <w:rPr>
                <w:rFonts w:ascii="宋体" w:hAnsi="宋体"/>
              </w:rPr>
            </w:pPr>
            <w:r>
              <w:rPr>
                <w:rFonts w:hint="eastAsia" w:ascii="宋体" w:hAnsi="宋体"/>
                <w:b/>
                <w:bCs/>
              </w:rPr>
              <w:t>功能模块</w:t>
            </w:r>
          </w:p>
        </w:tc>
        <w:tc>
          <w:tcPr>
            <w:tcW w:w="7107" w:type="dxa"/>
            <w:vAlign w:val="top"/>
          </w:tcPr>
          <w:p>
            <w:pPr>
              <w:spacing w:before="81" w:after="81"/>
              <w:jc w:val="center"/>
              <w:rPr>
                <w:rFonts w:ascii="宋体" w:hAnsi="宋体"/>
              </w:rPr>
            </w:pPr>
            <w:r>
              <w:rPr>
                <w:rFonts w:hint="eastAsia" w:ascii="宋体" w:hAnsi="宋体"/>
                <w:b/>
                <w:bCs/>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69" w:hRule="atLeast"/>
        </w:trPr>
        <w:tc>
          <w:tcPr>
            <w:tcW w:w="1415" w:type="dxa"/>
            <w:vAlign w:val="center"/>
          </w:tcPr>
          <w:p>
            <w:pPr>
              <w:spacing w:before="81" w:after="81"/>
              <w:jc w:val="center"/>
              <w:rPr>
                <w:rFonts w:ascii="宋体" w:hAnsi="宋体"/>
              </w:rPr>
            </w:pPr>
            <w:r>
              <w:rPr>
                <w:rFonts w:hint="eastAsia" w:ascii="宋体" w:hAnsi="宋体"/>
              </w:rPr>
              <w:t>人员档案</w:t>
            </w:r>
          </w:p>
        </w:tc>
        <w:tc>
          <w:tcPr>
            <w:tcW w:w="7107" w:type="dxa"/>
            <w:vAlign w:val="top"/>
          </w:tcPr>
          <w:p>
            <w:pPr>
              <w:spacing w:before="81" w:after="81"/>
              <w:rPr>
                <w:rFonts w:ascii="宋体" w:hAnsi="宋体"/>
              </w:rPr>
            </w:pPr>
            <w:r>
              <w:rPr>
                <w:rFonts w:hint="eastAsia" w:ascii="宋体" w:hAnsi="宋体"/>
              </w:rPr>
              <w:t>支持人员信息维护、人员管理调配、人员查询与统计、批量录入等功能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15" w:type="dxa"/>
            <w:vAlign w:val="center"/>
          </w:tcPr>
          <w:p>
            <w:pPr>
              <w:spacing w:before="81" w:after="81"/>
              <w:jc w:val="center"/>
              <w:rPr>
                <w:rFonts w:ascii="宋体" w:hAnsi="宋体"/>
              </w:rPr>
            </w:pPr>
            <w:r>
              <w:rPr>
                <w:rFonts w:hint="eastAsia" w:ascii="宋体" w:hAnsi="宋体"/>
              </w:rPr>
              <w:t>排班管理</w:t>
            </w:r>
          </w:p>
        </w:tc>
        <w:tc>
          <w:tcPr>
            <w:tcW w:w="7107" w:type="dxa"/>
            <w:vAlign w:val="top"/>
          </w:tcPr>
          <w:p>
            <w:pPr>
              <w:spacing w:before="81" w:after="81"/>
              <w:rPr>
                <w:rFonts w:ascii="宋体" w:hAnsi="宋体"/>
              </w:rPr>
            </w:pPr>
            <w:r>
              <w:rPr>
                <w:rFonts w:hint="eastAsia" w:ascii="宋体" w:hAnsi="宋体"/>
              </w:rPr>
              <w:t>支持初始值设置、班次设置、排班记录、查询与统计、请假管理等功能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15" w:type="dxa"/>
            <w:vAlign w:val="center"/>
          </w:tcPr>
          <w:p>
            <w:pPr>
              <w:spacing w:before="81" w:after="81"/>
              <w:jc w:val="center"/>
              <w:rPr>
                <w:rFonts w:ascii="宋体" w:hAnsi="宋体"/>
              </w:rPr>
            </w:pPr>
            <w:r>
              <w:rPr>
                <w:rFonts w:hint="eastAsia" w:ascii="宋体" w:hAnsi="宋体"/>
              </w:rPr>
              <w:t>质量检查</w:t>
            </w:r>
          </w:p>
        </w:tc>
        <w:tc>
          <w:tcPr>
            <w:tcW w:w="7107" w:type="dxa"/>
            <w:vAlign w:val="center"/>
          </w:tcPr>
          <w:p>
            <w:pPr>
              <w:spacing w:before="81" w:after="81"/>
              <w:rPr>
                <w:rFonts w:ascii="宋体" w:hAnsi="宋体"/>
              </w:rPr>
            </w:pPr>
            <w:r>
              <w:rPr>
                <w:rFonts w:hint="eastAsia"/>
              </w:rPr>
              <w:t>支持模板设置、质控人员设置、任务分配、质量检查、持续改进、分析与跟踪、查询与统计、综合原因分析与追踪等功能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15" w:type="dxa"/>
            <w:vAlign w:val="center"/>
          </w:tcPr>
          <w:p>
            <w:pPr>
              <w:spacing w:before="81" w:after="81"/>
              <w:jc w:val="center"/>
              <w:rPr>
                <w:rFonts w:ascii="宋体" w:hAnsi="宋体"/>
              </w:rPr>
            </w:pPr>
            <w:r>
              <w:rPr>
                <w:rFonts w:hint="eastAsia" w:ascii="宋体" w:hAnsi="宋体"/>
              </w:rPr>
              <w:t>上报事件</w:t>
            </w:r>
          </w:p>
        </w:tc>
        <w:tc>
          <w:tcPr>
            <w:tcW w:w="7107" w:type="dxa"/>
            <w:vAlign w:val="center"/>
          </w:tcPr>
          <w:p>
            <w:pPr>
              <w:spacing w:before="81" w:after="81"/>
              <w:rPr>
                <w:rFonts w:ascii="宋体" w:hAnsi="宋体"/>
              </w:rPr>
            </w:pPr>
            <w:r>
              <w:rPr>
                <w:rFonts w:hint="eastAsia"/>
              </w:rPr>
              <w:t>支持上报填单、上报审批、上报查询、上报统计与分析、鱼骨图设置等功能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15" w:type="dxa"/>
            <w:vAlign w:val="center"/>
          </w:tcPr>
          <w:p>
            <w:pPr>
              <w:spacing w:before="81" w:after="81"/>
              <w:jc w:val="center"/>
            </w:pPr>
            <w:r>
              <w:rPr>
                <w:rFonts w:hint="eastAsia" w:ascii="宋体" w:hAnsi="宋体" w:cs="宋体"/>
              </w:rPr>
              <w:t>护士长手</w:t>
            </w:r>
            <w:r>
              <w:rPr>
                <w:rFonts w:hint="eastAsia"/>
              </w:rPr>
              <w:t>册</w:t>
            </w:r>
          </w:p>
        </w:tc>
        <w:tc>
          <w:tcPr>
            <w:tcW w:w="7107" w:type="dxa"/>
            <w:vAlign w:val="center"/>
          </w:tcPr>
          <w:p>
            <w:pPr>
              <w:spacing w:before="81" w:after="81"/>
              <w:rPr>
                <w:rFonts w:ascii="宋体" w:hAnsi="宋体"/>
              </w:rPr>
            </w:pPr>
            <w:r>
              <w:rPr>
                <w:rFonts w:hint="eastAsia" w:ascii="宋体" w:hAnsi="宋体"/>
              </w:rPr>
              <w:t>支持板块设置、手册维护、工作计划、工作总结、护理创新项目记录、护士安全/质量分析表、护士长晨会提问记录、护理部工作手册等功能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415" w:type="dxa"/>
            <w:vAlign w:val="center"/>
          </w:tcPr>
          <w:p>
            <w:pPr>
              <w:spacing w:before="81" w:after="81"/>
              <w:jc w:val="center"/>
              <w:rPr>
                <w:rFonts w:ascii="宋体" w:hAnsi="宋体"/>
              </w:rPr>
            </w:pPr>
            <w:r>
              <w:rPr>
                <w:rFonts w:hint="eastAsia" w:ascii="宋体" w:hAnsi="宋体"/>
              </w:rPr>
              <w:t>系统配置</w:t>
            </w:r>
          </w:p>
        </w:tc>
        <w:tc>
          <w:tcPr>
            <w:tcW w:w="7107" w:type="dxa"/>
            <w:vAlign w:val="center"/>
          </w:tcPr>
          <w:p>
            <w:pPr>
              <w:spacing w:before="81" w:after="81"/>
              <w:rPr>
                <w:rFonts w:ascii="宋体" w:hAnsi="宋体"/>
              </w:rPr>
            </w:pPr>
            <w:r>
              <w:rPr>
                <w:rFonts w:hint="eastAsia" w:ascii="宋体" w:hAnsi="宋体"/>
              </w:rPr>
              <w:t>支持菜单管理、部门维护、用户管理、流程设置、系统参数等功能</w:t>
            </w:r>
          </w:p>
        </w:tc>
      </w:tr>
    </w:tbl>
    <w:p>
      <w:pPr>
        <w:pStyle w:val="2"/>
        <w:rPr>
          <w:rFonts w:hint="eastAsia" w:ascii="仿宋_GB2312" w:hAnsi="仿宋_GB2312" w:cs="仿宋_GB2312"/>
          <w:b/>
          <w:sz w:val="28"/>
          <w:szCs w:val="28"/>
        </w:rPr>
      </w:pPr>
      <w:r>
        <w:rPr>
          <w:rFonts w:hint="eastAsia" w:ascii="仿宋_GB2312" w:hAnsi="仿宋_GB2312" w:cs="仿宋_GB2312"/>
          <w:b/>
          <w:sz w:val="28"/>
          <w:szCs w:val="28"/>
        </w:rPr>
        <w:t>1.3护理敏感指标系统</w:t>
      </w:r>
    </w:p>
    <w:tbl>
      <w:tblPr>
        <w:tblpPr w:leftFromText="4536" w:rightFromText="4536" w:bottomFromText="284" w:vertAnchor="text" w:tblpXSpec="center" w:tblpY="1"/>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418"/>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418" w:type="dxa"/>
            <w:vAlign w:val="center"/>
          </w:tcPr>
          <w:p>
            <w:pPr>
              <w:spacing w:before="81" w:after="81"/>
              <w:jc w:val="center"/>
              <w:rPr>
                <w:b/>
                <w:kern w:val="0"/>
                <w:szCs w:val="20"/>
              </w:rPr>
            </w:pPr>
            <w:r>
              <w:rPr>
                <w:rFonts w:hint="eastAsia"/>
                <w:b/>
                <w:kern w:val="0"/>
                <w:szCs w:val="20"/>
              </w:rPr>
              <w:t>功能模块</w:t>
            </w:r>
          </w:p>
        </w:tc>
        <w:tc>
          <w:tcPr>
            <w:tcW w:w="7104" w:type="dxa"/>
            <w:vAlign w:val="center"/>
          </w:tcPr>
          <w:p>
            <w:pPr>
              <w:spacing w:before="81" w:after="81"/>
              <w:jc w:val="center"/>
              <w:rPr>
                <w:b/>
                <w:kern w:val="0"/>
                <w:szCs w:val="20"/>
              </w:rPr>
            </w:pPr>
            <w:r>
              <w:rPr>
                <w:rFonts w:hint="eastAsia"/>
                <w:b/>
                <w:kern w:val="0"/>
                <w:szCs w:val="20"/>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418" w:type="dxa"/>
            <w:vAlign w:val="center"/>
          </w:tcPr>
          <w:p>
            <w:pPr>
              <w:spacing w:before="81" w:after="81"/>
              <w:jc w:val="center"/>
              <w:rPr>
                <w:kern w:val="0"/>
                <w:szCs w:val="20"/>
              </w:rPr>
            </w:pPr>
            <w:r>
              <w:rPr>
                <w:rFonts w:hint="eastAsia"/>
                <w:kern w:val="0"/>
                <w:szCs w:val="20"/>
              </w:rPr>
              <w:t>变量设置</w:t>
            </w:r>
          </w:p>
        </w:tc>
        <w:tc>
          <w:tcPr>
            <w:tcW w:w="7104" w:type="dxa"/>
            <w:vAlign w:val="center"/>
          </w:tcPr>
          <w:p>
            <w:pPr>
              <w:spacing w:before="81" w:after="81"/>
              <w:rPr>
                <w:kern w:val="0"/>
                <w:szCs w:val="20"/>
              </w:rPr>
            </w:pPr>
            <w:r>
              <w:rPr>
                <w:rFonts w:hint="eastAsia"/>
                <w:kern w:val="0"/>
                <w:szCs w:val="20"/>
              </w:rPr>
              <w:t>对指标计算中所需的变量进行设置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418" w:type="dxa"/>
            <w:vAlign w:val="center"/>
          </w:tcPr>
          <w:p>
            <w:pPr>
              <w:spacing w:before="81" w:after="81"/>
              <w:jc w:val="center"/>
              <w:rPr>
                <w:kern w:val="0"/>
                <w:szCs w:val="20"/>
              </w:rPr>
            </w:pPr>
            <w:r>
              <w:rPr>
                <w:rFonts w:hint="eastAsia"/>
                <w:kern w:val="0"/>
                <w:szCs w:val="20"/>
              </w:rPr>
              <w:t>指标设置</w:t>
            </w:r>
          </w:p>
        </w:tc>
        <w:tc>
          <w:tcPr>
            <w:tcW w:w="7104" w:type="dxa"/>
            <w:vAlign w:val="center"/>
          </w:tcPr>
          <w:p>
            <w:pPr>
              <w:spacing w:before="81" w:after="81"/>
              <w:rPr>
                <w:kern w:val="0"/>
                <w:szCs w:val="20"/>
              </w:rPr>
            </w:pPr>
            <w:r>
              <w:rPr>
                <w:rFonts w:hint="eastAsia"/>
                <w:kern w:val="0"/>
                <w:szCs w:val="20"/>
              </w:rPr>
              <w:t>对国家规定的全部护理敏感质量指标的计算公式进行定义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418" w:type="dxa"/>
            <w:vAlign w:val="center"/>
          </w:tcPr>
          <w:p>
            <w:pPr>
              <w:spacing w:before="81" w:after="81"/>
              <w:jc w:val="center"/>
              <w:rPr>
                <w:kern w:val="0"/>
                <w:szCs w:val="20"/>
              </w:rPr>
            </w:pPr>
            <w:r>
              <w:rPr>
                <w:rFonts w:hint="eastAsia"/>
                <w:kern w:val="0"/>
                <w:szCs w:val="20"/>
              </w:rPr>
              <w:t>通用指标填报</w:t>
            </w:r>
          </w:p>
        </w:tc>
        <w:tc>
          <w:tcPr>
            <w:tcW w:w="7104" w:type="dxa"/>
            <w:vAlign w:val="center"/>
          </w:tcPr>
          <w:p>
            <w:pPr>
              <w:spacing w:before="81" w:after="81"/>
              <w:rPr>
                <w:kern w:val="0"/>
                <w:szCs w:val="20"/>
              </w:rPr>
            </w:pPr>
            <w:r>
              <w:rPr>
                <w:rFonts w:hint="eastAsia"/>
                <w:kern w:val="0"/>
                <w:szCs w:val="20"/>
              </w:rPr>
              <w:t>根据设定的数据填报周期类别（如，月、季度、年），自动提取对应周期内的通用指标填报数据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418" w:type="dxa"/>
            <w:vAlign w:val="center"/>
          </w:tcPr>
          <w:p>
            <w:pPr>
              <w:spacing w:before="81" w:after="81"/>
              <w:jc w:val="center"/>
              <w:rPr>
                <w:kern w:val="0"/>
                <w:szCs w:val="20"/>
              </w:rPr>
            </w:pPr>
            <w:r>
              <w:rPr>
                <w:rFonts w:hint="eastAsia"/>
                <w:kern w:val="0"/>
                <w:szCs w:val="20"/>
              </w:rPr>
              <w:t>ICU指标填报</w:t>
            </w:r>
          </w:p>
        </w:tc>
        <w:tc>
          <w:tcPr>
            <w:tcW w:w="7104" w:type="dxa"/>
            <w:vAlign w:val="center"/>
          </w:tcPr>
          <w:p>
            <w:pPr>
              <w:spacing w:before="81" w:after="81"/>
              <w:rPr>
                <w:kern w:val="0"/>
                <w:szCs w:val="20"/>
              </w:rPr>
            </w:pPr>
            <w:r>
              <w:rPr>
                <w:rFonts w:hint="eastAsia"/>
                <w:kern w:val="0"/>
                <w:szCs w:val="20"/>
              </w:rPr>
              <w:t>可针对ICU科室特有指标进行填报管理。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418" w:type="dxa"/>
            <w:vAlign w:val="center"/>
          </w:tcPr>
          <w:p>
            <w:pPr>
              <w:spacing w:before="81" w:after="81"/>
              <w:jc w:val="center"/>
              <w:rPr>
                <w:kern w:val="0"/>
                <w:szCs w:val="20"/>
              </w:rPr>
            </w:pPr>
            <w:r>
              <w:rPr>
                <w:rFonts w:hint="eastAsia"/>
                <w:kern w:val="0"/>
                <w:szCs w:val="20"/>
              </w:rPr>
              <w:t>指标分析</w:t>
            </w:r>
          </w:p>
        </w:tc>
        <w:tc>
          <w:tcPr>
            <w:tcW w:w="7104" w:type="dxa"/>
            <w:vAlign w:val="center"/>
          </w:tcPr>
          <w:p>
            <w:pPr>
              <w:spacing w:before="81" w:after="81"/>
              <w:rPr>
                <w:kern w:val="0"/>
                <w:szCs w:val="20"/>
              </w:rPr>
            </w:pPr>
            <w:r>
              <w:rPr>
                <w:rFonts w:hint="eastAsia"/>
                <w:kern w:val="0"/>
                <w:szCs w:val="20"/>
              </w:rPr>
              <w:t>根据填报的数据对床护比、护患比、护士离职率、住院患者跌倒发生率、院内压疮发生率等所有敏感指标进行分析，支持多种统计方式展示分析结果</w:t>
            </w:r>
          </w:p>
        </w:tc>
      </w:tr>
    </w:tbl>
    <w:p>
      <w:pPr>
        <w:pStyle w:val="2"/>
        <w:rPr>
          <w:rFonts w:hint="eastAsia" w:ascii="仿宋_GB2312" w:hAnsi="仿宋_GB2312" w:cs="仿宋_GB2312"/>
          <w:b/>
          <w:sz w:val="28"/>
          <w:szCs w:val="28"/>
        </w:rPr>
      </w:pPr>
      <w:r>
        <w:rPr>
          <w:rFonts w:hint="eastAsia" w:ascii="仿宋_GB2312" w:hAnsi="仿宋_GB2312" w:cs="仿宋_GB2312"/>
          <w:b/>
          <w:sz w:val="28"/>
          <w:szCs w:val="28"/>
        </w:rPr>
        <w:t>1.4护理看板信息系统</w:t>
      </w:r>
    </w:p>
    <w:tbl>
      <w:tblPr>
        <w:tblpPr w:leftFromText="4536" w:rightFromText="4536" w:bottomFromText="284" w:vertAnchor="text" w:tblpXSpec="center" w:tblpY="1"/>
        <w:tblOverlap w:val="neve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40"/>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宋体" w:hAnsi="宋体"/>
                <w:b/>
              </w:rPr>
            </w:pPr>
            <w:r>
              <w:rPr>
                <w:rFonts w:hint="eastAsia" w:ascii="宋体" w:hAnsi="宋体"/>
                <w:b/>
              </w:rPr>
              <w:t>功能模块</w:t>
            </w:r>
          </w:p>
        </w:tc>
        <w:tc>
          <w:tcPr>
            <w:tcW w:w="6982" w:type="dxa"/>
            <w:vAlign w:val="center"/>
          </w:tcPr>
          <w:p>
            <w:pPr>
              <w:spacing w:before="60" w:after="60"/>
              <w:jc w:val="center"/>
              <w:rPr>
                <w:rFonts w:ascii="宋体" w:hAnsi="宋体"/>
                <w:b/>
              </w:rPr>
            </w:pPr>
            <w:r>
              <w:rPr>
                <w:rFonts w:hint="eastAsia" w:ascii="宋体" w:hAnsi="宋体"/>
                <w:b/>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29" w:hRule="atLeast"/>
        </w:trPr>
        <w:tc>
          <w:tcPr>
            <w:tcW w:w="1540" w:type="dxa"/>
            <w:vAlign w:val="center"/>
          </w:tcPr>
          <w:p>
            <w:pPr>
              <w:spacing w:before="60" w:after="60"/>
              <w:jc w:val="center"/>
              <w:rPr>
                <w:rFonts w:ascii="Times" w:hAnsi="Times"/>
              </w:rPr>
            </w:pPr>
            <w:r>
              <w:rPr>
                <w:rFonts w:ascii="Times" w:hAnsi="Times"/>
              </w:rPr>
              <w:t>患者一览卡</w:t>
            </w:r>
          </w:p>
        </w:tc>
        <w:tc>
          <w:tcPr>
            <w:tcW w:w="6982" w:type="dxa"/>
            <w:vAlign w:val="center"/>
          </w:tcPr>
          <w:p>
            <w:pPr>
              <w:spacing w:before="60" w:after="60"/>
              <w:rPr>
                <w:rFonts w:ascii="Times" w:hAnsi="Times"/>
              </w:rPr>
            </w:pPr>
            <w:r>
              <w:rPr>
                <w:rFonts w:hint="eastAsia"/>
              </w:rPr>
              <w:t>支持以卡片形式展示患者的关键信息，支持分类展示病区病人情况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宋体" w:hAnsi="宋体"/>
              </w:rPr>
            </w:pPr>
            <w:r>
              <w:rPr>
                <w:rFonts w:hint="eastAsia" w:ascii="宋体" w:hAnsi="宋体"/>
              </w:rPr>
              <w:t>照护</w:t>
            </w:r>
            <w:r>
              <w:rPr>
                <w:rFonts w:ascii="宋体" w:hAnsi="宋体"/>
              </w:rPr>
              <w:t>标识展示</w:t>
            </w:r>
          </w:p>
        </w:tc>
        <w:tc>
          <w:tcPr>
            <w:tcW w:w="6982" w:type="dxa"/>
            <w:vAlign w:val="center"/>
          </w:tcPr>
          <w:p>
            <w:pPr>
              <w:spacing w:before="60" w:after="60"/>
              <w:rPr>
                <w:rFonts w:ascii="宋体" w:hAnsi="宋体"/>
              </w:rPr>
            </w:pPr>
            <w:r>
              <w:rPr>
                <w:rFonts w:hint="eastAsia" w:ascii="宋体" w:hAnsi="宋体"/>
              </w:rPr>
              <w:t>支持动态展示患者的护理标识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宋体" w:hAnsi="宋体"/>
              </w:rPr>
            </w:pPr>
            <w:r>
              <w:rPr>
                <w:rFonts w:hint="eastAsia" w:ascii="宋体" w:hAnsi="宋体"/>
              </w:rPr>
              <w:t>手动任务管理</w:t>
            </w:r>
          </w:p>
        </w:tc>
        <w:tc>
          <w:tcPr>
            <w:tcW w:w="6982" w:type="dxa"/>
            <w:vAlign w:val="center"/>
          </w:tcPr>
          <w:p>
            <w:pPr>
              <w:spacing w:before="60" w:after="60"/>
              <w:rPr>
                <w:rFonts w:ascii="宋体" w:hAnsi="宋体"/>
                <w:lang w:bidi="en-US"/>
              </w:rPr>
            </w:pPr>
            <w:r>
              <w:rPr>
                <w:rFonts w:hint="eastAsia" w:ascii="宋体" w:hAnsi="宋体"/>
              </w:rPr>
              <w:t>支持手动新增护理任务，也可标记护理任务进度或取消任务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宋体" w:hAnsi="宋体"/>
              </w:rPr>
            </w:pPr>
            <w:r>
              <w:rPr>
                <w:rFonts w:hint="eastAsia" w:ascii="宋体" w:hAnsi="宋体"/>
              </w:rPr>
              <w:t>任务动态显示</w:t>
            </w:r>
          </w:p>
        </w:tc>
        <w:tc>
          <w:tcPr>
            <w:tcW w:w="6982" w:type="dxa"/>
            <w:vAlign w:val="center"/>
          </w:tcPr>
          <w:p>
            <w:pPr>
              <w:spacing w:before="60" w:after="60"/>
              <w:rPr>
                <w:rFonts w:ascii="宋体" w:hAnsi="宋体"/>
              </w:rPr>
            </w:pPr>
            <w:r>
              <w:rPr>
                <w:rFonts w:hint="eastAsia" w:ascii="宋体" w:hAnsi="宋体"/>
              </w:rPr>
              <w:t>支持动态显示各类护理任务标签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宋体" w:hAnsi="宋体"/>
              </w:rPr>
            </w:pPr>
            <w:r>
              <w:rPr>
                <w:rFonts w:hint="eastAsia" w:ascii="宋体" w:hAnsi="宋体"/>
              </w:rPr>
              <w:t>辅助交班</w:t>
            </w:r>
          </w:p>
        </w:tc>
        <w:tc>
          <w:tcPr>
            <w:tcW w:w="6982" w:type="dxa"/>
            <w:vAlign w:val="center"/>
          </w:tcPr>
          <w:p>
            <w:pPr>
              <w:spacing w:before="60" w:after="60"/>
              <w:rPr>
                <w:rFonts w:ascii="宋体" w:hAnsi="宋体"/>
              </w:rPr>
            </w:pPr>
            <w:r>
              <w:rPr>
                <w:rFonts w:hint="eastAsia" w:ascii="宋体" w:hAnsi="宋体"/>
              </w:rPr>
              <w:t>支持对患者进行快速分类，辅助护理病区交班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Times" w:hAnsi="Times"/>
              </w:rPr>
            </w:pPr>
            <w:r>
              <w:rPr>
                <w:rFonts w:ascii="Times" w:hAnsi="Times"/>
              </w:rPr>
              <w:t>入院周年</w:t>
            </w:r>
            <w:r>
              <w:rPr>
                <w:rFonts w:hint="eastAsia" w:ascii="Times" w:hAnsi="Times"/>
              </w:rPr>
              <w:t>纪念日提醒</w:t>
            </w:r>
          </w:p>
        </w:tc>
        <w:tc>
          <w:tcPr>
            <w:tcW w:w="6982" w:type="dxa"/>
            <w:vAlign w:val="center"/>
          </w:tcPr>
          <w:p>
            <w:pPr>
              <w:spacing w:before="60" w:after="60"/>
              <w:rPr>
                <w:rFonts w:ascii="Times" w:hAnsi="Times"/>
              </w:rPr>
            </w:pPr>
            <w:r>
              <w:rPr>
                <w:rFonts w:hint="eastAsia"/>
              </w:rPr>
              <w:t>支持</w:t>
            </w:r>
            <w:r>
              <w:rPr>
                <w:rFonts w:hint="eastAsia" w:ascii="Times" w:hAnsi="Times"/>
              </w:rPr>
              <w:t>根据系统中的护理人员信息，</w:t>
            </w:r>
            <w:r>
              <w:rPr>
                <w:rFonts w:ascii="Times" w:hAnsi="Times"/>
              </w:rPr>
              <w:t>实时智能提醒</w:t>
            </w:r>
            <w:r>
              <w:rPr>
                <w:rFonts w:hint="eastAsia" w:ascii="Times" w:hAnsi="Times"/>
              </w:rPr>
              <w:t>护理</w:t>
            </w:r>
            <w:r>
              <w:rPr>
                <w:rFonts w:ascii="Times" w:hAnsi="Times"/>
              </w:rPr>
              <w:t>人员入院周年纪念日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540" w:type="dxa"/>
            <w:vAlign w:val="center"/>
          </w:tcPr>
          <w:p>
            <w:pPr>
              <w:spacing w:before="60" w:after="60"/>
              <w:jc w:val="center"/>
              <w:rPr>
                <w:rFonts w:ascii="Times" w:hAnsi="Times"/>
              </w:rPr>
            </w:pPr>
            <w:r>
              <w:rPr>
                <w:rFonts w:hint="eastAsia" w:ascii="Times" w:hAnsi="Times"/>
              </w:rPr>
              <w:t>系统设置</w:t>
            </w:r>
          </w:p>
        </w:tc>
        <w:tc>
          <w:tcPr>
            <w:tcW w:w="6982" w:type="dxa"/>
            <w:vAlign w:val="center"/>
          </w:tcPr>
          <w:p>
            <w:pPr>
              <w:spacing w:before="60" w:after="60"/>
              <w:rPr>
                <w:rFonts w:ascii="Times" w:hAnsi="Times"/>
              </w:rPr>
            </w:pPr>
            <w:r>
              <w:rPr>
                <w:rFonts w:hint="eastAsia" w:ascii="宋体" w:hAnsi="宋体"/>
              </w:rPr>
              <w:t>支持设置卡片大小、护理等级样式、床位卡片排列顺序等。</w:t>
            </w:r>
          </w:p>
        </w:tc>
      </w:tr>
    </w:tbl>
    <w:p>
      <w:pPr>
        <w:pStyle w:val="2"/>
        <w:rPr>
          <w:rFonts w:hint="eastAsia" w:ascii="仿宋_GB2312" w:hAnsi="仿宋_GB2312" w:cs="仿宋_GB2312"/>
          <w:b/>
          <w:sz w:val="28"/>
          <w:szCs w:val="28"/>
        </w:rPr>
      </w:pPr>
      <w:r>
        <w:rPr>
          <w:rFonts w:hint="eastAsia" w:ascii="仿宋_GB2312" w:hAnsi="仿宋_GB2312" w:cs="仿宋_GB2312"/>
          <w:b/>
          <w:sz w:val="28"/>
          <w:szCs w:val="28"/>
        </w:rPr>
        <w:t>1.5互联互通四甲改造</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left w:w="108" w:type="dxa"/>
          <w:right w:w="108" w:type="dxa"/>
        </w:tblCellMar>
      </w:tblPr>
      <w:tblGrid>
        <w:gridCol w:w="1563"/>
        <w:gridCol w:w="6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PrEx>
        <w:trPr>
          <w:trHeight w:val="308" w:hRule="atLeast"/>
          <w:jc w:val="center"/>
        </w:trPr>
        <w:tc>
          <w:tcPr>
            <w:tcW w:w="1563" w:type="dxa"/>
            <w:shd w:val="clear" w:color="auto" w:fill="FFFFFF"/>
            <w:vAlign w:val="top"/>
          </w:tcPr>
          <w:p>
            <w:pPr>
              <w:widowControl/>
              <w:spacing w:line="300" w:lineRule="auto"/>
              <w:jc w:val="center"/>
              <w:rPr>
                <w:rFonts w:ascii="宋体" w:hAnsi="宋体" w:cs="宋体"/>
                <w:b/>
                <w:bCs/>
                <w:color w:val="000000"/>
                <w:kern w:val="0"/>
                <w:sz w:val="24"/>
              </w:rPr>
            </w:pPr>
            <w:r>
              <w:rPr>
                <w:rFonts w:hint="eastAsia" w:ascii="宋体" w:hAnsi="宋体"/>
                <w:b/>
              </w:rPr>
              <w:t>功能模块</w:t>
            </w:r>
          </w:p>
        </w:tc>
        <w:tc>
          <w:tcPr>
            <w:tcW w:w="6959" w:type="dxa"/>
            <w:shd w:val="clear" w:color="auto" w:fill="FFFFFF"/>
            <w:vAlign w:val="center"/>
          </w:tcPr>
          <w:p>
            <w:pPr>
              <w:widowControl/>
              <w:spacing w:line="300" w:lineRule="auto"/>
              <w:jc w:val="center"/>
              <w:rPr>
                <w:rFonts w:ascii="宋体" w:hAnsi="宋体" w:cs="宋体"/>
                <w:b/>
                <w:bCs/>
                <w:color w:val="000000"/>
                <w:kern w:val="0"/>
                <w:sz w:val="24"/>
              </w:rPr>
            </w:pPr>
            <w:r>
              <w:rPr>
                <w:rFonts w:hint="eastAsia" w:ascii="宋体" w:hAnsi="宋体"/>
                <w:b/>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36" w:hRule="atLeast"/>
          <w:jc w:val="center"/>
        </w:trPr>
        <w:tc>
          <w:tcPr>
            <w:tcW w:w="1563" w:type="dxa"/>
            <w:shd w:val="clear" w:color="auto" w:fill="FFFFFF"/>
            <w:vAlign w:val="center"/>
          </w:tcPr>
          <w:p>
            <w:pPr>
              <w:pStyle w:val="14"/>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护理记录单</w:t>
            </w:r>
          </w:p>
        </w:tc>
        <w:tc>
          <w:tcPr>
            <w:tcW w:w="6959" w:type="dxa"/>
            <w:shd w:val="clear" w:color="auto" w:fill="FFFFFF"/>
            <w:vAlign w:val="center"/>
          </w:tcPr>
          <w:p>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支持一般护理记录、病重（病危）护理记录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left w:w="108" w:type="dxa"/>
            <w:right w:w="108" w:type="dxa"/>
          </w:tblCellMar>
        </w:tblPrEx>
        <w:trPr>
          <w:trHeight w:val="500" w:hRule="atLeast"/>
          <w:jc w:val="center"/>
        </w:trPr>
        <w:tc>
          <w:tcPr>
            <w:tcW w:w="1563" w:type="dxa"/>
            <w:shd w:val="clear" w:color="auto" w:fill="FFFFFF"/>
            <w:vAlign w:val="center"/>
          </w:tcPr>
          <w:p>
            <w:pPr>
              <w:pStyle w:val="14"/>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生命体征测量</w:t>
            </w:r>
          </w:p>
        </w:tc>
        <w:tc>
          <w:tcPr>
            <w:tcW w:w="6959" w:type="dxa"/>
            <w:shd w:val="clear" w:color="auto" w:fill="FFFFFF"/>
            <w:vAlign w:val="center"/>
          </w:tcPr>
          <w:p>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支持生命体征测量记录、出入量记录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left w:w="108" w:type="dxa"/>
            <w:right w:w="108" w:type="dxa"/>
          </w:tblCellMar>
        </w:tblPrEx>
        <w:trPr>
          <w:trHeight w:val="524" w:hRule="atLeast"/>
          <w:jc w:val="center"/>
        </w:trPr>
        <w:tc>
          <w:tcPr>
            <w:tcW w:w="1563" w:type="dxa"/>
            <w:shd w:val="clear" w:color="auto" w:fill="FFFFFF"/>
            <w:vAlign w:val="center"/>
          </w:tcPr>
          <w:p>
            <w:pPr>
              <w:pStyle w:val="14"/>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出入院评估</w:t>
            </w:r>
          </w:p>
        </w:tc>
        <w:tc>
          <w:tcPr>
            <w:tcW w:w="6959" w:type="dxa"/>
            <w:shd w:val="clear" w:color="auto" w:fill="FFFFFF"/>
            <w:vAlign w:val="center"/>
          </w:tcPr>
          <w:p>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支持入院评估、出院评估与指导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88" w:hRule="atLeast"/>
          <w:jc w:val="center"/>
        </w:trPr>
        <w:tc>
          <w:tcPr>
            <w:tcW w:w="1563" w:type="dxa"/>
            <w:shd w:val="clear" w:color="auto" w:fill="FFFFFF"/>
            <w:vAlign w:val="center"/>
          </w:tcPr>
          <w:p>
            <w:pPr>
              <w:pStyle w:val="14"/>
              <w:widowControl/>
              <w:spacing w:line="300" w:lineRule="auto"/>
              <w:ind w:firstLine="0" w:firstLineChars="0"/>
              <w:jc w:val="center"/>
              <w:rPr>
                <w:rFonts w:ascii="宋体" w:hAnsi="宋体" w:cs="宋体"/>
                <w:color w:val="000000"/>
                <w:kern w:val="0"/>
                <w:szCs w:val="21"/>
              </w:rPr>
            </w:pPr>
            <w:r>
              <w:rPr>
                <w:rFonts w:hint="eastAsia" w:ascii="宋体" w:hAnsi="宋体" w:cs="宋体"/>
                <w:color w:val="000000"/>
                <w:kern w:val="0"/>
                <w:szCs w:val="21"/>
              </w:rPr>
              <w:t>护理计划</w:t>
            </w:r>
          </w:p>
        </w:tc>
        <w:tc>
          <w:tcPr>
            <w:tcW w:w="6959" w:type="dxa"/>
            <w:shd w:val="clear" w:color="auto" w:fill="FFFFFF"/>
            <w:vAlign w:val="center"/>
          </w:tcPr>
          <w:p>
            <w:pPr>
              <w:widowControl/>
              <w:spacing w:line="300" w:lineRule="auto"/>
              <w:jc w:val="left"/>
              <w:rPr>
                <w:rFonts w:ascii="宋体" w:hAnsi="宋体" w:cs="宋体"/>
                <w:color w:val="000000"/>
                <w:kern w:val="0"/>
                <w:szCs w:val="21"/>
              </w:rPr>
            </w:pPr>
            <w:r>
              <w:rPr>
                <w:rFonts w:hint="eastAsia" w:ascii="宋体" w:hAnsi="宋体" w:cs="宋体"/>
                <w:color w:val="000000"/>
                <w:kern w:val="0"/>
                <w:szCs w:val="21"/>
              </w:rPr>
              <w:t>支持护理计划</w:t>
            </w:r>
          </w:p>
        </w:tc>
      </w:tr>
    </w:tbl>
    <w:p>
      <w:pPr>
        <w:pStyle w:val="2"/>
        <w:rPr>
          <w:rFonts w:hint="eastAsia" w:ascii="仿宋_GB2312" w:hAnsi="仿宋_GB2312" w:cs="仿宋_GB2312"/>
          <w:b/>
          <w:sz w:val="28"/>
          <w:szCs w:val="28"/>
        </w:rPr>
      </w:pPr>
    </w:p>
    <w:p>
      <w:pPr>
        <w:pStyle w:val="2"/>
        <w:rPr>
          <w:rFonts w:hint="eastAsia" w:ascii="仿宋_GB2312" w:hAnsi="仿宋_GB2312" w:cs="仿宋_GB2312"/>
          <w:b/>
          <w:sz w:val="28"/>
          <w:szCs w:val="28"/>
        </w:rPr>
      </w:pPr>
      <w:r>
        <w:rPr>
          <w:rFonts w:hint="eastAsia" w:ascii="仿宋_GB2312" w:hAnsi="仿宋_GB2312" w:cs="仿宋_GB2312"/>
          <w:b/>
          <w:sz w:val="28"/>
          <w:szCs w:val="28"/>
        </w:rPr>
        <w:t>1.6电子病历五级功能改造</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44"/>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b/>
                <w:color w:val="000000"/>
              </w:rPr>
            </w:pPr>
            <w:r>
              <w:rPr>
                <w:rFonts w:hint="eastAsia"/>
                <w:b/>
                <w:color w:val="000000"/>
              </w:rPr>
              <w:t>功能模块</w:t>
            </w:r>
          </w:p>
        </w:tc>
        <w:tc>
          <w:tcPr>
            <w:tcW w:w="6978" w:type="dxa"/>
            <w:vAlign w:val="center"/>
          </w:tcPr>
          <w:p>
            <w:pPr>
              <w:adjustRightInd w:val="0"/>
              <w:snapToGrid w:val="0"/>
              <w:spacing w:before="81" w:after="81"/>
              <w:ind w:firstLine="422"/>
              <w:jc w:val="center"/>
              <w:rPr>
                <w:b/>
                <w:color w:val="000000"/>
              </w:rPr>
            </w:pPr>
            <w:r>
              <w:rPr>
                <w:rFonts w:hint="eastAsia"/>
                <w:b/>
                <w:color w:val="000000"/>
              </w:rPr>
              <w:t>功能</w:t>
            </w:r>
            <w:r>
              <w:rPr>
                <w:b/>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病人管理</w:t>
            </w:r>
          </w:p>
        </w:tc>
        <w:tc>
          <w:tcPr>
            <w:tcW w:w="6978" w:type="dxa"/>
            <w:vAlign w:val="center"/>
          </w:tcPr>
          <w:p>
            <w:pPr>
              <w:adjustRightInd w:val="0"/>
              <w:snapToGrid w:val="0"/>
              <w:spacing w:before="81" w:after="81"/>
              <w:rPr>
                <w:color w:val="000000"/>
              </w:rPr>
            </w:pPr>
            <w:r>
              <w:rPr>
                <w:rFonts w:hint="eastAsia"/>
                <w:color w:val="000000"/>
              </w:rPr>
              <w:t>支持通过床号背景颜色区分不同护理级别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评估管理</w:t>
            </w:r>
          </w:p>
        </w:tc>
        <w:tc>
          <w:tcPr>
            <w:tcW w:w="6978" w:type="dxa"/>
            <w:vAlign w:val="center"/>
          </w:tcPr>
          <w:p>
            <w:pPr>
              <w:adjustRightInd w:val="0"/>
              <w:snapToGrid w:val="0"/>
              <w:spacing w:before="81" w:after="81"/>
              <w:rPr>
                <w:color w:val="000000"/>
              </w:rPr>
            </w:pPr>
            <w:r>
              <w:rPr>
                <w:rFonts w:hint="eastAsia"/>
                <w:color w:val="000000"/>
              </w:rPr>
              <w:t>支持完成对新入患者进行的入院护理评估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医嘱管理</w:t>
            </w:r>
          </w:p>
        </w:tc>
        <w:tc>
          <w:tcPr>
            <w:tcW w:w="6978" w:type="dxa"/>
            <w:vAlign w:val="center"/>
          </w:tcPr>
          <w:p>
            <w:pPr>
              <w:adjustRightInd w:val="0"/>
              <w:snapToGrid w:val="0"/>
              <w:spacing w:before="81" w:after="81"/>
              <w:rPr>
                <w:color w:val="000000"/>
              </w:rPr>
            </w:pPr>
            <w:r>
              <w:rPr>
                <w:rFonts w:hint="eastAsia"/>
                <w:color w:val="000000"/>
              </w:rPr>
              <w:t>支持</w:t>
            </w:r>
            <w:r>
              <w:rPr>
                <w:color w:val="000000"/>
              </w:rPr>
              <w:t>医嘱查询</w:t>
            </w:r>
            <w:r>
              <w:rPr>
                <w:rFonts w:hint="eastAsia"/>
                <w:color w:val="000000"/>
              </w:rPr>
              <w:t>、医嘱执行闭环、标本采集闭环、输血管理闭环、医嘱执行查询、医嘱执行结果回写、医嘱变更信息提醒等功能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rFonts w:ascii="宋体" w:hAnsi="宋体"/>
                <w:color w:val="000000"/>
              </w:rPr>
            </w:pPr>
            <w:r>
              <w:rPr>
                <w:rFonts w:hint="eastAsia" w:ascii="宋体" w:hAnsi="宋体"/>
                <w:color w:val="000000"/>
              </w:rPr>
              <w:t>手术交接闭环</w:t>
            </w:r>
          </w:p>
        </w:tc>
        <w:tc>
          <w:tcPr>
            <w:tcW w:w="6978" w:type="dxa"/>
            <w:vAlign w:val="top"/>
          </w:tcPr>
          <w:p>
            <w:pPr>
              <w:adjustRightInd w:val="0"/>
              <w:snapToGrid w:val="0"/>
              <w:spacing w:before="81" w:after="81"/>
              <w:rPr>
                <w:color w:val="000000"/>
              </w:rPr>
            </w:pPr>
            <w:r>
              <w:rPr>
                <w:rFonts w:hint="eastAsia"/>
                <w:color w:val="000000"/>
              </w:rPr>
              <w:t>支持在PDA上实现手术交接，记录入室及回病房时间，并在PC端自动生成手术患者交接单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rFonts w:ascii="宋体" w:hAnsi="宋体"/>
                <w:color w:val="000000"/>
              </w:rPr>
            </w:pPr>
            <w:r>
              <w:rPr>
                <w:rFonts w:hint="eastAsia" w:ascii="宋体" w:hAnsi="宋体"/>
                <w:color w:val="000000"/>
              </w:rPr>
              <w:t>护理计划</w:t>
            </w:r>
          </w:p>
        </w:tc>
        <w:tc>
          <w:tcPr>
            <w:tcW w:w="6978" w:type="dxa"/>
            <w:vAlign w:val="top"/>
          </w:tcPr>
          <w:p>
            <w:pPr>
              <w:adjustRightInd w:val="0"/>
              <w:snapToGrid w:val="0"/>
              <w:spacing w:before="81" w:after="81"/>
              <w:rPr>
                <w:color w:val="000000"/>
              </w:rPr>
            </w:pPr>
            <w:r>
              <w:rPr>
                <w:rFonts w:hint="eastAsia"/>
                <w:color w:val="000000"/>
              </w:rPr>
              <w:t>支持护理问题、相关因素、护理措施、护理评价等，支持护理记录单体温异常或高风险评估触发自动导入护理计划等功能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报告查看</w:t>
            </w:r>
          </w:p>
        </w:tc>
        <w:tc>
          <w:tcPr>
            <w:tcW w:w="6978" w:type="dxa"/>
            <w:vAlign w:val="center"/>
          </w:tcPr>
          <w:p>
            <w:pPr>
              <w:adjustRightInd w:val="0"/>
              <w:snapToGrid w:val="0"/>
              <w:spacing w:before="81" w:after="81"/>
              <w:rPr>
                <w:color w:val="000000"/>
              </w:rPr>
            </w:pPr>
            <w:r>
              <w:rPr>
                <w:rFonts w:hint="eastAsia"/>
                <w:color w:val="000000"/>
              </w:rPr>
              <w:t>支持病人检查、检验结果查询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系统交互</w:t>
            </w:r>
          </w:p>
        </w:tc>
        <w:tc>
          <w:tcPr>
            <w:tcW w:w="6978" w:type="dxa"/>
            <w:vAlign w:val="center"/>
          </w:tcPr>
          <w:p>
            <w:pPr>
              <w:adjustRightInd w:val="0"/>
              <w:snapToGrid w:val="0"/>
              <w:spacing w:before="81" w:after="81"/>
              <w:rPr>
                <w:color w:val="000000"/>
              </w:rPr>
            </w:pPr>
            <w:r>
              <w:rPr>
                <w:rFonts w:hint="eastAsia"/>
                <w:color w:val="000000"/>
              </w:rPr>
              <w:t>支持数据通过院内信息平台实现统一管理，可通过一体化视图集中展现供其他各信息系统调用，患者360视图实现内嵌</w:t>
            </w:r>
          </w:p>
        </w:tc>
      </w:tr>
    </w:tbl>
    <w:p>
      <w:pPr>
        <w:pStyle w:val="2"/>
        <w:rPr>
          <w:rFonts w:hint="eastAsia" w:ascii="仿宋_GB2312" w:hAnsi="仿宋_GB2312" w:cs="仿宋_GB2312"/>
          <w:b/>
          <w:sz w:val="28"/>
          <w:szCs w:val="28"/>
        </w:rPr>
      </w:pPr>
    </w:p>
    <w:p>
      <w:pPr>
        <w:pStyle w:val="2"/>
        <w:rPr>
          <w:rFonts w:hint="eastAsia" w:ascii="仿宋_GB2312" w:hAnsi="仿宋_GB2312" w:cs="仿宋_GB2312"/>
          <w:b/>
          <w:sz w:val="28"/>
          <w:szCs w:val="28"/>
        </w:rPr>
      </w:pPr>
      <w:r>
        <w:rPr>
          <w:rFonts w:hint="eastAsia" w:ascii="仿宋_GB2312" w:hAnsi="仿宋_GB2312" w:cs="仿宋_GB2312"/>
          <w:b/>
          <w:sz w:val="28"/>
          <w:szCs w:val="28"/>
        </w:rPr>
        <w:t>1.7电子病历六级功能改造</w:t>
      </w:r>
    </w:p>
    <w:tbl>
      <w:tblP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544"/>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b/>
                <w:color w:val="000000"/>
              </w:rPr>
            </w:pPr>
            <w:r>
              <w:rPr>
                <w:rFonts w:hint="eastAsia"/>
                <w:b/>
                <w:color w:val="000000"/>
              </w:rPr>
              <w:t>功能模块</w:t>
            </w:r>
          </w:p>
        </w:tc>
        <w:tc>
          <w:tcPr>
            <w:tcW w:w="6978" w:type="dxa"/>
            <w:vAlign w:val="center"/>
          </w:tcPr>
          <w:p>
            <w:pPr>
              <w:adjustRightInd w:val="0"/>
              <w:snapToGrid w:val="0"/>
              <w:spacing w:before="81" w:after="81"/>
              <w:ind w:firstLine="422"/>
              <w:jc w:val="center"/>
              <w:rPr>
                <w:b/>
                <w:color w:val="000000"/>
              </w:rPr>
            </w:pPr>
            <w:r>
              <w:rPr>
                <w:rFonts w:hint="eastAsia"/>
                <w:b/>
                <w:color w:val="000000"/>
              </w:rPr>
              <w:t>功能</w:t>
            </w:r>
            <w:r>
              <w:rPr>
                <w:b/>
                <w:color w:val="00000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病人管理</w:t>
            </w:r>
          </w:p>
        </w:tc>
        <w:tc>
          <w:tcPr>
            <w:tcW w:w="6978" w:type="dxa"/>
            <w:vAlign w:val="center"/>
          </w:tcPr>
          <w:p>
            <w:pPr>
              <w:adjustRightInd w:val="0"/>
              <w:snapToGrid w:val="0"/>
              <w:spacing w:before="81" w:after="81"/>
              <w:rPr>
                <w:color w:val="000000"/>
              </w:rPr>
            </w:pPr>
            <w:r>
              <w:rPr>
                <w:rFonts w:hint="eastAsia"/>
                <w:color w:val="000000"/>
              </w:rPr>
              <w:t>支持通过床号背景颜色区分不同护理级别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评估管理</w:t>
            </w:r>
          </w:p>
        </w:tc>
        <w:tc>
          <w:tcPr>
            <w:tcW w:w="6978" w:type="dxa"/>
            <w:vAlign w:val="center"/>
          </w:tcPr>
          <w:p>
            <w:pPr>
              <w:adjustRightInd w:val="0"/>
              <w:snapToGrid w:val="0"/>
              <w:spacing w:before="81" w:after="81"/>
              <w:rPr>
                <w:color w:val="000000"/>
              </w:rPr>
            </w:pPr>
            <w:r>
              <w:rPr>
                <w:rFonts w:hint="eastAsia"/>
                <w:color w:val="000000"/>
              </w:rPr>
              <w:t>支持入院评估、MEWS评分、VTE评分功能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医嘱管理</w:t>
            </w:r>
          </w:p>
        </w:tc>
        <w:tc>
          <w:tcPr>
            <w:tcW w:w="6978" w:type="dxa"/>
            <w:vAlign w:val="center"/>
          </w:tcPr>
          <w:p>
            <w:pPr>
              <w:spacing w:before="81" w:after="81"/>
              <w:rPr>
                <w:color w:val="000000"/>
              </w:rPr>
            </w:pPr>
            <w:r>
              <w:rPr>
                <w:rFonts w:hint="eastAsia"/>
                <w:color w:val="000000"/>
              </w:rPr>
              <w:t>支持</w:t>
            </w:r>
            <w:r>
              <w:rPr>
                <w:color w:val="000000"/>
              </w:rPr>
              <w:t>医嘱查询</w:t>
            </w:r>
            <w:r>
              <w:rPr>
                <w:rFonts w:hint="eastAsia"/>
                <w:color w:val="000000"/>
              </w:rPr>
              <w:t>、医嘱执行闭环、标本采集闭环、输血管理闭环、医嘱执行查询、医嘱执行结果回写、医嘱变更信息提醒等功能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闭环管理</w:t>
            </w:r>
          </w:p>
        </w:tc>
        <w:tc>
          <w:tcPr>
            <w:tcW w:w="6978" w:type="dxa"/>
            <w:vAlign w:val="center"/>
          </w:tcPr>
          <w:p>
            <w:pPr>
              <w:adjustRightInd w:val="0"/>
              <w:snapToGrid w:val="0"/>
              <w:spacing w:before="81" w:after="81"/>
              <w:rPr>
                <w:color w:val="000000"/>
              </w:rPr>
            </w:pPr>
            <w:r>
              <w:rPr>
                <w:rFonts w:hint="eastAsia"/>
                <w:color w:val="000000"/>
              </w:rPr>
              <w:t>支持输液医嘱闭环、输血备血闭环、皮试医嘱闭环、标本采集闭环等闭环管理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记录管理</w:t>
            </w:r>
          </w:p>
        </w:tc>
        <w:tc>
          <w:tcPr>
            <w:tcW w:w="6978" w:type="dxa"/>
            <w:vAlign w:val="top"/>
          </w:tcPr>
          <w:p>
            <w:pPr>
              <w:adjustRightInd w:val="0"/>
              <w:snapToGrid w:val="0"/>
              <w:spacing w:before="81" w:after="81"/>
              <w:rPr>
                <w:color w:val="000000"/>
              </w:rPr>
            </w:pPr>
            <w:r>
              <w:rPr>
                <w:rFonts w:hint="eastAsia"/>
                <w:color w:val="000000"/>
              </w:rPr>
              <w:t>支持一般护理记录单以及危重病人护理记录单功能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ascii="宋体" w:hAnsi="宋体"/>
                <w:color w:val="000000"/>
              </w:rPr>
              <w:t>护理计划</w:t>
            </w:r>
          </w:p>
        </w:tc>
        <w:tc>
          <w:tcPr>
            <w:tcW w:w="6978" w:type="dxa"/>
            <w:vAlign w:val="top"/>
          </w:tcPr>
          <w:p>
            <w:pPr>
              <w:adjustRightInd w:val="0"/>
              <w:snapToGrid w:val="0"/>
              <w:spacing w:before="81" w:after="81"/>
              <w:rPr>
                <w:color w:val="000000"/>
              </w:rPr>
            </w:pPr>
            <w:r>
              <w:rPr>
                <w:rFonts w:hint="eastAsia"/>
                <w:color w:val="000000"/>
              </w:rPr>
              <w:t>支持护理问题、相关因素、护理措施、护理评价等，支持护理记录单体温异常或高风险评估触发自动导入护理计划等功能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rFonts w:ascii="宋体" w:hAnsi="宋体"/>
                <w:color w:val="000000"/>
              </w:rPr>
            </w:pPr>
            <w:r>
              <w:rPr>
                <w:rFonts w:hint="eastAsia"/>
                <w:color w:val="000000"/>
              </w:rPr>
              <w:t>智能联动护理计划</w:t>
            </w:r>
          </w:p>
        </w:tc>
        <w:tc>
          <w:tcPr>
            <w:tcW w:w="6978" w:type="dxa"/>
            <w:vAlign w:val="center"/>
          </w:tcPr>
          <w:p>
            <w:pPr>
              <w:spacing w:before="81" w:after="81"/>
              <w:rPr>
                <w:color w:val="000000"/>
              </w:rPr>
            </w:pPr>
            <w:r>
              <w:rPr>
                <w:rFonts w:hint="eastAsia"/>
                <w:color w:val="000000"/>
              </w:rPr>
              <w:t>支持在体温过高、压疮高危、跌倒高危、自理能力高危等状态下，系统联动提示，自动进入护理计划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报告查看</w:t>
            </w:r>
          </w:p>
        </w:tc>
        <w:tc>
          <w:tcPr>
            <w:tcW w:w="6978" w:type="dxa"/>
            <w:vAlign w:val="center"/>
          </w:tcPr>
          <w:p>
            <w:pPr>
              <w:spacing w:before="81" w:after="81"/>
              <w:rPr>
                <w:color w:val="000000"/>
              </w:rPr>
            </w:pPr>
            <w:r>
              <w:rPr>
                <w:rFonts w:hint="eastAsia"/>
                <w:color w:val="000000"/>
              </w:rPr>
              <w:t>支持病人检查、检验结果查询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544" w:type="dxa"/>
            <w:vAlign w:val="center"/>
          </w:tcPr>
          <w:p>
            <w:pPr>
              <w:adjustRightInd w:val="0"/>
              <w:snapToGrid w:val="0"/>
              <w:spacing w:before="81" w:after="81"/>
              <w:jc w:val="center"/>
              <w:rPr>
                <w:color w:val="000000"/>
              </w:rPr>
            </w:pPr>
            <w:r>
              <w:rPr>
                <w:rFonts w:hint="eastAsia"/>
                <w:color w:val="000000"/>
              </w:rPr>
              <w:t>系统交互</w:t>
            </w:r>
          </w:p>
        </w:tc>
        <w:tc>
          <w:tcPr>
            <w:tcW w:w="6978" w:type="dxa"/>
            <w:vAlign w:val="center"/>
          </w:tcPr>
          <w:p>
            <w:pPr>
              <w:spacing w:before="81" w:after="81"/>
              <w:rPr>
                <w:color w:val="000000"/>
              </w:rPr>
            </w:pPr>
            <w:r>
              <w:rPr>
                <w:rFonts w:hint="eastAsia"/>
                <w:color w:val="000000"/>
              </w:rPr>
              <w:t>支持数据通过院内信息平台实现统一管理，可通过一体化视图集中展现供其他各信息系统调用；</w:t>
            </w:r>
          </w:p>
        </w:tc>
      </w:tr>
    </w:tbl>
    <w:p/>
    <w:p>
      <w:pPr>
        <w:pStyle w:val="2"/>
        <w:numPr>
          <w:numId w:val="0"/>
        </w:numPr>
        <w:wordWrap/>
        <w:spacing w:before="0" w:after="0" w:line="360" w:lineRule="auto"/>
        <w:ind w:left="0" w:leftChars="0" w:right="0"/>
        <w:jc w:val="both"/>
        <w:rPr>
          <w:rFonts w:hint="eastAsia" w:ascii="仿宋_GB2312" w:hAnsi="仿宋_GB2312" w:eastAsia="仿宋_GB2312" w:cs="仿宋_GB2312"/>
          <w:sz w:val="32"/>
          <w:szCs w:val="32"/>
          <w:lang w:val="en-US" w:eastAsia="zh-CN"/>
        </w:rPr>
      </w:pPr>
    </w:p>
    <w:p>
      <w:pPr>
        <w:numPr>
          <w:ilvl w:val="0"/>
          <w:numId w:val="1"/>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3"/>
        <w:numPr>
          <w:numId w:val="0"/>
        </w:numPr>
        <w:wordWrap/>
        <w:spacing w:before="0" w:beforeAutospacing="0" w:after="0" w:afterAutospacing="0" w:line="360" w:lineRule="auto"/>
        <w:ind w:left="0" w:leftChars="0" w:righ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1、应结合我院实际医疗及管理需要，对系统进行客户化修改，包括但不限于结合医院实际管理需求；同时不得使用主管部门禁止使用的操作系统及数据库。</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由于本项目需符合国产化要求，必须配备正版的国产化操作系统、数据库。同时本项目验收前须提供福建省信息技术应用创新适配中心开展的信息技术应用创新符合性测试，并提供相关的证明。</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本项目系统需符合《信息安全技术网络安全等级保护基本要求》GB/T22239-2019（三级）要求（下文简称：三级等保2.0），并在三级等保2.0评审中协助完成本系统评审工作。</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年内免费实施政策性国家、省市各平台的数据接口、数据上传等服务及免费实施国密改造、国产化改造，包括但不限于：福建省卫健委居民健康综合服务平台、福建省检查检验结果互联互通互认平台、福建省卫健委多码融合项目等，产生相应指标，推送至医疗平台接口中（涉及其他系统，应与其他系统配合实施）。</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本项目系统应提供与医院HIS，电子病历、危急值平台、报告平台、麻醉耗材、患者360（含HIS360、CDR360）等系统无缝集成接口，符合电子病历6级、医院的互联互通5级、智慧医院4级的建设要求。</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本项目为交钥匙工程，本项目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与各业务系统及设备的数据接口由中标人自行负责。本项目涉及院内现有各业务系统接口的，采购人不再向中标人支付接口费用。</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与医院现有CA数字签名功能实现对接，满足医院各法规需要。</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若需接入医院APP(实现院外移动端查询)，则中标人应提供H5接口，并支付相应接口费用（不超过3万元），</w:t>
      </w:r>
      <w:r>
        <w:rPr>
          <w:rFonts w:hint="eastAsia" w:ascii="仿宋_GB2312" w:hAnsi="仿宋_GB2312" w:eastAsia="仿宋_GB2312" w:cs="仿宋_GB2312"/>
          <w:color w:val="auto"/>
          <w:sz w:val="32"/>
          <w:szCs w:val="32"/>
          <w:lang w:val="en-US" w:eastAsia="zh-CN"/>
        </w:rPr>
        <w:t>是否需接入医院APP以项目验收时采购人需求为准。</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本项目软件部分按总价进行报价，不能以安装工作站数量进行报价。</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本项目系统需完成旧系统中的历史数据导入，旧系统中非自动产生的数据（如手工输入值等），在新系统中可不体现或以默认值体现。若有涉及接口费用，由中标方负责，采购人不再向中标人支付接口费用。</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本项目软件版面色彩、风格等应按医院要求设计制作；软件标题只能出现医院logo及系统名称，不能出现公司名称，公司名称允许在帮助（help）的关于（about）中出现。具体版面另行通知。</w:t>
      </w:r>
    </w:p>
    <w:p>
      <w:pPr>
        <w:pStyle w:val="13"/>
        <w:numPr>
          <w:ilvl w:val="0"/>
          <w:numId w:val="2"/>
        </w:numPr>
        <w:wordWrap/>
        <w:spacing w:before="0" w:beforeAutospacing="0" w:after="0" w:afterAutospacing="0" w:line="360" w:lineRule="auto"/>
        <w:ind w:left="0" w:leftChars="0" w:right="0" w:firstLine="48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本项目系统安装调试并经验收合格后，应对采购方的相关人员提供关于系统应用时技术和操作方面的培训。相关培训费用应包含在投标总价中。</w:t>
      </w:r>
    </w:p>
    <w:p>
      <w:pPr>
        <w:pStyle w:val="13"/>
        <w:numPr>
          <w:numId w:val="0"/>
        </w:numPr>
        <w:wordWrap/>
        <w:spacing w:before="0" w:beforeAutospacing="0" w:after="0" w:afterAutospacing="0" w:line="360" w:lineRule="auto"/>
        <w:ind w:left="0" w:leftChars="0" w:right="0"/>
        <w:jc w:val="both"/>
        <w:rPr>
          <w:rFonts w:hint="eastAsia" w:ascii="仿宋_GB2312" w:hAnsi="仿宋_GB2312" w:eastAsia="仿宋_GB2312" w:cs="仿宋_GB2312"/>
          <w:color w:val="auto"/>
          <w:sz w:val="32"/>
          <w:szCs w:val="32"/>
          <w:lang w:val="en-US" w:eastAsia="zh-CN"/>
        </w:rPr>
      </w:pPr>
    </w:p>
    <w:p>
      <w:pPr>
        <w:pStyle w:val="2"/>
        <w:widowControl w:val="0"/>
        <w:numPr>
          <w:ilvl w:val="0"/>
          <w:numId w:val="1"/>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报名参加本次</w:t>
      </w:r>
      <w:r>
        <w:rPr>
          <w:rFonts w:hint="eastAsia" w:ascii="仿宋_GB2312" w:hAnsi="仿宋_GB2312" w:eastAsia="仿宋_GB2312" w:cs="仿宋_GB2312"/>
          <w:b w:val="0"/>
          <w:bCs/>
          <w:sz w:val="32"/>
          <w:szCs w:val="32"/>
          <w:shd w:val="clear" w:color="auto" w:fill="FFFFFF"/>
        </w:rPr>
        <w:t>调研</w:t>
      </w:r>
      <w:r>
        <w:rPr>
          <w:rFonts w:hint="eastAsia" w:ascii="仿宋_GB2312" w:hAnsi="仿宋_GB2312" w:eastAsia="仿宋_GB2312" w:cs="仿宋_GB2312"/>
          <w:b w:val="0"/>
          <w:bCs/>
          <w:sz w:val="32"/>
          <w:szCs w:val="32"/>
          <w:shd w:val="clear" w:color="auto" w:fill="FFFFFF"/>
          <w:lang w:val="en-US" w:eastAsia="zh-CN"/>
        </w:rPr>
        <w:t>的供应商、厂家需</w:t>
      </w:r>
      <w:r>
        <w:rPr>
          <w:rFonts w:hint="eastAsia" w:ascii="仿宋_GB2312" w:hAnsi="仿宋_GB2312" w:eastAsia="仿宋_GB2312" w:cs="仿宋_GB2312"/>
          <w:b w:val="0"/>
          <w:bCs/>
          <w:sz w:val="32"/>
          <w:szCs w:val="32"/>
          <w:shd w:val="clear" w:color="auto" w:fill="FFFFFF"/>
        </w:rPr>
        <w:t>提供如下相关资料</w:t>
      </w:r>
      <w:r>
        <w:rPr>
          <w:rFonts w:hint="eastAsia" w:ascii="仿宋_GB2312" w:hAnsi="仿宋_GB2312" w:eastAsia="仿宋_GB2312" w:cs="仿宋_GB2312"/>
          <w:b w:val="0"/>
          <w:bCs/>
          <w:sz w:val="32"/>
          <w:szCs w:val="32"/>
          <w:shd w:val="clear" w:color="auto" w:fill="FFFFFF"/>
          <w:lang w:eastAsia="zh-CN"/>
        </w:rPr>
        <w:t>。</w:t>
      </w:r>
    </w:p>
    <w:p>
      <w:pPr>
        <w:widowControl/>
        <w:numPr>
          <w:ilvl w:val="0"/>
          <w:numId w:val="3"/>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kern w:val="0"/>
          <w:sz w:val="36"/>
          <w:szCs w:val="36"/>
          <w:highlight w:val="none"/>
          <w:lang w:eastAsia="zh-CN"/>
        </w:rPr>
      </w:pPr>
      <w:r>
        <w:rPr>
          <w:rFonts w:hint="eastAsia" w:ascii="仿宋_GB2312" w:hAnsi="仿宋_GB2312" w:eastAsia="仿宋_GB2312" w:cs="仿宋_GB2312"/>
          <w:color w:val="000000"/>
          <w:kern w:val="0"/>
          <w:sz w:val="36"/>
          <w:szCs w:val="36"/>
          <w:highlight w:val="none"/>
        </w:rPr>
        <w:t>报名请携带加盖公章的项目文件回执单、营业执照复印件、公司简介</w:t>
      </w:r>
      <w:r>
        <w:rPr>
          <w:rFonts w:hint="eastAsia" w:ascii="仿宋_GB2312" w:hAnsi="仿宋_GB2312" w:eastAsia="仿宋_GB2312" w:cs="仿宋_GB2312"/>
          <w:color w:val="000000"/>
          <w:kern w:val="0"/>
          <w:sz w:val="36"/>
          <w:szCs w:val="36"/>
          <w:highlight w:val="none"/>
          <w:lang w:eastAsia="zh-CN"/>
        </w:rPr>
        <w:t>（</w:t>
      </w:r>
      <w:r>
        <w:rPr>
          <w:rFonts w:hint="eastAsia" w:ascii="仿宋_GB2312" w:hAnsi="仿宋_GB2312" w:eastAsia="仿宋_GB2312" w:cs="仿宋_GB2312"/>
          <w:color w:val="000000"/>
          <w:kern w:val="0"/>
          <w:sz w:val="36"/>
          <w:szCs w:val="36"/>
          <w:highlight w:val="none"/>
          <w:lang w:val="en-US" w:eastAsia="zh-CN"/>
        </w:rPr>
        <w:t>可含</w:t>
      </w:r>
      <w:r>
        <w:rPr>
          <w:rFonts w:hint="eastAsia" w:ascii="仿宋_GB2312" w:hAnsi="仿宋_GB2312" w:eastAsia="仿宋_GB2312" w:cs="仿宋_GB2312"/>
          <w:b w:val="0"/>
          <w:bCs/>
          <w:sz w:val="36"/>
          <w:szCs w:val="36"/>
          <w:shd w:val="clear" w:color="auto" w:fill="FFFFFF"/>
        </w:rPr>
        <w:t>提供设备彩页、相关三证等</w:t>
      </w:r>
      <w:r>
        <w:rPr>
          <w:rFonts w:hint="eastAsia" w:ascii="仿宋_GB2312" w:hAnsi="仿宋_GB2312" w:eastAsia="仿宋_GB2312" w:cs="仿宋_GB2312"/>
          <w:b w:val="0"/>
          <w:bCs/>
          <w:sz w:val="36"/>
          <w:szCs w:val="36"/>
          <w:shd w:val="clear" w:color="auto" w:fill="FFFFFF"/>
          <w:lang w:eastAsia="zh-CN"/>
        </w:rPr>
        <w:t>）</w:t>
      </w:r>
      <w:r>
        <w:rPr>
          <w:rFonts w:hint="eastAsia" w:ascii="仿宋_GB2312" w:hAnsi="仿宋_GB2312" w:eastAsia="仿宋_GB2312" w:cs="仿宋_GB2312"/>
          <w:color w:val="000000"/>
          <w:kern w:val="0"/>
          <w:sz w:val="36"/>
          <w:szCs w:val="36"/>
          <w:highlight w:val="none"/>
          <w:lang w:eastAsia="zh-CN"/>
        </w:rPr>
        <w:t>。</w:t>
      </w:r>
    </w:p>
    <w:p>
      <w:pPr>
        <w:pStyle w:val="2"/>
        <w:numPr>
          <w:numId w:val="0"/>
        </w:numPr>
        <w:wordWrap/>
        <w:spacing w:before="0" w:after="0" w:line="360" w:lineRule="auto"/>
        <w:ind w:left="0" w:leftChars="0" w:right="0"/>
        <w:rPr>
          <w:rFonts w:hint="eastAsia"/>
          <w:lang w:eastAsia="zh-CN"/>
        </w:rPr>
      </w:pPr>
    </w:p>
    <w:p>
      <w:pPr>
        <w:widowControl/>
        <w:shd w:val="clear" w:color="auto" w:fill="FFFFFF"/>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numPr>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rPr>
        <w:t>4、</w:t>
      </w:r>
      <w:r>
        <w:rPr>
          <w:rFonts w:hint="eastAsia" w:ascii="仿宋_GB2312" w:hAnsi="仿宋_GB2312" w:eastAsia="仿宋_GB2312" w:cs="仿宋_GB2312"/>
          <w:color w:val="000000"/>
          <w:spacing w:val="-8"/>
          <w:kern w:val="0"/>
          <w:sz w:val="32"/>
          <w:szCs w:val="32"/>
          <w:shd w:val="clear" w:color="auto" w:fill="FFFFFF"/>
          <w:lang w:val="en-US" w:eastAsia="zh-CN"/>
        </w:rPr>
        <w:t>提供业绩清单及近3年省内同类项目中标书</w:t>
      </w:r>
    </w:p>
    <w:p>
      <w:pPr>
        <w:pStyle w:val="2"/>
        <w:numPr>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5、本调研会的报价仅做为本项目公开招标的预算限价；不做参与投标的限制条件；</w:t>
      </w:r>
    </w:p>
    <w:p>
      <w:pPr>
        <w:pStyle w:val="2"/>
        <w:numPr>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6、上述各参数将做为本项目招标的主要参数，不代表本项目公开招标的最终参数；</w:t>
      </w:r>
    </w:p>
    <w:p>
      <w:pPr>
        <w:pStyle w:val="2"/>
        <w:numPr>
          <w:numId w:val="0"/>
        </w:numPr>
        <w:wordWrap/>
        <w:snapToGrid/>
        <w:spacing w:before="0" w:after="0" w:line="360" w:lineRule="auto"/>
        <w:ind w:left="0" w:leftChars="0" w:right="0" w:firstLine="640" w:firstLineChars="200"/>
        <w:jc w:val="both"/>
        <w:outlineLvl w:val="9"/>
        <w:rPr>
          <w:rFonts w:hint="eastAsia" w:ascii="仿宋_GB2312" w:hAnsi="仿宋_GB2312" w:eastAsia="仿宋_GB2312" w:cs="仿宋_GB2312"/>
          <w:color w:val="000000"/>
          <w:spacing w:val="-8"/>
          <w:kern w:val="0"/>
          <w:sz w:val="32"/>
          <w:szCs w:val="32"/>
          <w:shd w:val="clear" w:color="auto" w:fill="FFFFFF"/>
          <w:lang w:val="en-US" w:eastAsia="zh-CN"/>
        </w:rPr>
      </w:pPr>
      <w:r>
        <w:rPr>
          <w:rFonts w:hint="eastAsia" w:ascii="仿宋_GB2312" w:hAnsi="仿宋_GB2312" w:eastAsia="仿宋_GB2312" w:cs="仿宋_GB2312"/>
          <w:color w:val="000000"/>
          <w:spacing w:val="-8"/>
          <w:kern w:val="0"/>
          <w:sz w:val="32"/>
          <w:szCs w:val="32"/>
          <w:shd w:val="clear" w:color="auto" w:fill="FFFFFF"/>
          <w:lang w:val="en-US" w:eastAsia="zh-CN"/>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2"/>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pPr>
        <w:pStyle w:val="2"/>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pPr>
        <w:pStyle w:val="2"/>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pPr>
        <w:pStyle w:val="2"/>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4" w:type="default"/>
      <w:pgSz w:w="12240" w:h="15840"/>
      <w:pgMar w:top="1417" w:right="1587" w:bottom="1417" w:left="1587" w:header="720" w:footer="720" w:gutter="0"/>
      <w:paperSrc w:first="0" w:oth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2020603050405020304"/>
    <w:charset w:val="00"/>
    <w:family w:val="auto"/>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rect id="Quad Arrow 1025" o:spid="_x0000_s1025" style="position:absolute;left:0;margin-top:0pt;height:12.8pt;width:5.3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75063653">
    <w:nsid w:val="63D77165"/>
    <w:multiLevelType w:val="singleLevel"/>
    <w:tmpl w:val="63D77165"/>
    <w:lvl w:ilvl="0" w:tentative="1">
      <w:start w:val="2"/>
      <w:numFmt w:val="decimal"/>
      <w:suff w:val="nothing"/>
      <w:lvlText w:val="%1、"/>
      <w:lvlJc w:val="left"/>
    </w:lvl>
  </w:abstractNum>
  <w:abstractNum w:abstractNumId="1398085122">
    <w:nsid w:val="53551602"/>
    <w:multiLevelType w:val="singleLevel"/>
    <w:tmpl w:val="53551602"/>
    <w:lvl w:ilvl="0" w:tentative="1">
      <w:start w:val="3"/>
      <w:numFmt w:val="chineseCounting"/>
      <w:suff w:val="nothing"/>
      <w:lvlText w:val="%1、"/>
      <w:lvlJc w:val="left"/>
      <w:rPr>
        <w:rFonts w:hint="eastAsia"/>
      </w:rPr>
    </w:lvl>
  </w:abstractNum>
  <w:abstractNum w:abstractNumId="1739864447">
    <w:nsid w:val="67B4397F"/>
    <w:multiLevelType w:val="singleLevel"/>
    <w:tmpl w:val="67B4397F"/>
    <w:lvl w:ilvl="0" w:tentative="1">
      <w:start w:val="1"/>
      <w:numFmt w:val="decimal"/>
      <w:suff w:val="nothing"/>
      <w:lvlText w:val="%1、"/>
      <w:lvlJc w:val="left"/>
    </w:lvl>
  </w:abstractNum>
  <w:num w:numId="1">
    <w:abstractNumId w:val="1398085122"/>
  </w:num>
  <w:num w:numId="2">
    <w:abstractNumId w:val="1675063653"/>
  </w:num>
  <w:num w:numId="3">
    <w:abstractNumId w:val="17398644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WYwOWNhMWIwMTM5Y2VhMTQwZDE5YzA3MTI0ODg5N2E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qFormat/>
    <w:uiPriority w:val="0"/>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Quote"/>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2">
    <w:name w:val="List Paragraph"/>
    <w:basedOn w:val="1"/>
    <w:qFormat/>
    <w:uiPriority w:val="34"/>
    <w:pPr>
      <w:ind w:firstLine="420" w:firstLineChars="200"/>
    </w:p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列出段落2"/>
    <w:basedOn w:val="1"/>
    <w:qFormat/>
    <w:uiPriority w:val="34"/>
    <w:pPr>
      <w:ind w:firstLine="420" w:firstLineChars="200"/>
    </w:pPr>
    <w:rPr>
      <w:rFonts w:cs="Times New Roman"/>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1849</Words>
  <Characters>2122</Characters>
  <Lines>0</Lines>
  <Paragraphs>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Admin</cp:lastModifiedBy>
  <cp:lastPrinted>2023-06-20T07:45:00Z</cp:lastPrinted>
  <dcterms:modified xsi:type="dcterms:W3CDTF">2025-04-07T03:26:03Z</dcterms:modified>
  <dc:title>设备科：</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CD1CBFDCF0B34D54A1323A555A4AB815_12</vt:lpwstr>
  </property>
</Properties>
</file>