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8D0CC">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w:t>
      </w:r>
      <w:bookmarkStart w:id="0" w:name="_GoBack"/>
      <w:bookmarkEnd w:id="0"/>
      <w:r>
        <w:rPr>
          <w:rFonts w:hint="eastAsia" w:ascii="方正小标宋简体" w:hAnsi="方正小标宋简体" w:eastAsia="方正小标宋简体" w:cs="方正小标宋简体"/>
          <w:b w:val="0"/>
          <w:kern w:val="2"/>
          <w:sz w:val="44"/>
          <w:szCs w:val="44"/>
          <w:lang w:val="en-US" w:eastAsia="zh-CN"/>
        </w:rPr>
        <w:t>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14:paraId="50101728">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7"/>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127256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2CC57FA">
            <w:pPr>
              <w:pStyle w:val="6"/>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00A21EE">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533F04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BF7120">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9FC3BE">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xml:space="preserve">： 等级保护安全测评及安全加固服务 </w:t>
            </w:r>
          </w:p>
        </w:tc>
      </w:tr>
      <w:tr w14:paraId="5FFB78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01D831">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4303E11">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 xml:space="preserve">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12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14:paraId="689DF0E8">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19</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14:paraId="53FD76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2A875D">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8964B07">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14:paraId="1EF8EE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86DC96B">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1BC761">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14:paraId="5A603E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F4F935">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3755820">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14:paraId="4E888A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FA15B0A">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C43533">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14:paraId="562354F5">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14:paraId="37C3169C">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14:paraId="448C1857">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14:paraId="2C856FBE">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14:paraId="1C067F9D">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14:paraId="2DDA104B">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钱工、金工</w:t>
      </w:r>
    </w:p>
    <w:p w14:paraId="7715BD14">
      <w:pPr>
        <w:pStyle w:val="2"/>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8A86D23">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006FAFE9">
      <w:pPr>
        <w:shd w:val="clear" w:color="auto" w:fill="FFFFFF"/>
        <w:autoSpaceDE w:val="0"/>
        <w:snapToGrid w:val="0"/>
        <w:spacing w:before="156"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Style w:val="7"/>
        <w:tblpPr w:leftFromText="180" w:rightFromText="180" w:vertAnchor="text" w:horzAnchor="page" w:tblpX="2477" w:tblpY="283"/>
        <w:tblOverlap w:val="never"/>
        <w:tblW w:w="80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3178"/>
        <w:gridCol w:w="1190"/>
        <w:gridCol w:w="1875"/>
      </w:tblGrid>
      <w:tr w14:paraId="2D17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782" w:type="dxa"/>
            <w:vAlign w:val="center"/>
          </w:tcPr>
          <w:p w14:paraId="57BC3491">
            <w:pPr>
              <w:snapToGrid w:val="0"/>
              <w:spacing w:line="312"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14:paraId="6A397DFC">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名称</w:t>
            </w:r>
          </w:p>
        </w:tc>
        <w:tc>
          <w:tcPr>
            <w:tcW w:w="1190" w:type="dxa"/>
            <w:vAlign w:val="center"/>
          </w:tcPr>
          <w:p w14:paraId="3AA313A6">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75" w:type="dxa"/>
            <w:vAlign w:val="center"/>
          </w:tcPr>
          <w:p w14:paraId="1D359EC0">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预算（万元）</w:t>
            </w:r>
          </w:p>
        </w:tc>
      </w:tr>
      <w:tr w14:paraId="6AA1A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exact"/>
        </w:trPr>
        <w:tc>
          <w:tcPr>
            <w:tcW w:w="1782" w:type="dxa"/>
            <w:vAlign w:val="center"/>
          </w:tcPr>
          <w:p w14:paraId="07B6276D">
            <w:pPr>
              <w:snapToGrid w:val="0"/>
              <w:spacing w:line="312" w:lineRule="auto"/>
              <w:jc w:val="center"/>
              <w:rPr>
                <w:rFonts w:ascii="宋体" w:hAnsi="宋体" w:cs="宋体"/>
                <w:sz w:val="22"/>
                <w:szCs w:val="22"/>
              </w:rPr>
            </w:pPr>
            <w:r>
              <w:rPr>
                <w:rFonts w:hint="eastAsia" w:ascii="宋体" w:hAnsi="宋体" w:cs="宋体"/>
                <w:b/>
                <w:bCs/>
                <w:color w:val="000000"/>
                <w:kern w:val="0"/>
                <w:sz w:val="22"/>
                <w:szCs w:val="22"/>
              </w:rPr>
              <w:t>（一）</w:t>
            </w:r>
          </w:p>
        </w:tc>
        <w:tc>
          <w:tcPr>
            <w:tcW w:w="3178" w:type="dxa"/>
            <w:vAlign w:val="center"/>
          </w:tcPr>
          <w:p w14:paraId="721342D5">
            <w:pPr>
              <w:snapToGrid w:val="0"/>
              <w:spacing w:line="312" w:lineRule="auto"/>
              <w:rPr>
                <w:rFonts w:ascii="宋体" w:hAnsi="宋体" w:cs="宋体"/>
                <w:kern w:val="0"/>
                <w:sz w:val="24"/>
              </w:rPr>
            </w:pPr>
            <w:r>
              <w:rPr>
                <w:rFonts w:hint="eastAsia" w:ascii="宋体" w:hAnsi="宋体" w:cs="宋体"/>
                <w:kern w:val="0"/>
                <w:sz w:val="24"/>
              </w:rPr>
              <w:t>等级保护安全测评及安全加固服务</w:t>
            </w:r>
          </w:p>
        </w:tc>
        <w:tc>
          <w:tcPr>
            <w:tcW w:w="1190" w:type="dxa"/>
            <w:vAlign w:val="center"/>
          </w:tcPr>
          <w:p w14:paraId="67F7D518">
            <w:pPr>
              <w:autoSpaceDN w:val="0"/>
              <w:snapToGrid w:val="0"/>
              <w:spacing w:line="312" w:lineRule="auto"/>
              <w:jc w:val="center"/>
              <w:textAlignment w:val="center"/>
              <w:rPr>
                <w:rFonts w:ascii="宋体" w:hAnsi="宋体" w:cs="宋体"/>
                <w:kern w:val="0"/>
                <w:sz w:val="24"/>
              </w:rPr>
            </w:pPr>
            <w:r>
              <w:rPr>
                <w:rFonts w:hint="eastAsia" w:ascii="宋体" w:hAnsi="宋体" w:cs="宋体"/>
                <w:kern w:val="0"/>
                <w:sz w:val="24"/>
              </w:rPr>
              <w:t>1项</w:t>
            </w:r>
          </w:p>
        </w:tc>
        <w:tc>
          <w:tcPr>
            <w:tcW w:w="1875" w:type="dxa"/>
            <w:shd w:val="clear" w:color="auto" w:fill="FFFFFF" w:themeFill="background1"/>
            <w:vAlign w:val="center"/>
          </w:tcPr>
          <w:p w14:paraId="29B6F354">
            <w:pPr>
              <w:autoSpaceDN w:val="0"/>
              <w:snapToGrid w:val="0"/>
              <w:spacing w:line="312" w:lineRule="auto"/>
              <w:jc w:val="center"/>
              <w:textAlignment w:val="center"/>
              <w:rPr>
                <w:rFonts w:ascii="宋体" w:hAnsi="宋体" w:cs="宋体"/>
                <w:kern w:val="0"/>
                <w:sz w:val="24"/>
                <w:highlight w:val="yellow"/>
              </w:rPr>
            </w:pPr>
            <w:r>
              <w:rPr>
                <w:rFonts w:hint="eastAsia" w:ascii="宋体" w:hAnsi="宋体" w:cs="宋体"/>
                <w:kern w:val="0"/>
                <w:sz w:val="24"/>
              </w:rPr>
              <w:t>8</w:t>
            </w:r>
            <w:r>
              <w:rPr>
                <w:rFonts w:ascii="宋体" w:hAnsi="宋体" w:cs="宋体"/>
                <w:kern w:val="0"/>
                <w:sz w:val="24"/>
              </w:rPr>
              <w:t>0</w:t>
            </w:r>
          </w:p>
        </w:tc>
      </w:tr>
    </w:tbl>
    <w:p w14:paraId="57E19CCB">
      <w:pPr>
        <w:shd w:val="clear" w:color="auto" w:fill="FFFFFF"/>
        <w:autoSpaceDE w:val="0"/>
        <w:snapToGrid w:val="0"/>
        <w:spacing w:before="156" w:beforeLines="50" w:line="360" w:lineRule="auto"/>
        <w:rPr>
          <w:rFonts w:ascii="宋体" w:hAnsi="宋体" w:cs="宋体"/>
          <w:b/>
          <w:color w:val="000000"/>
          <w:kern w:val="0"/>
          <w:sz w:val="28"/>
          <w:szCs w:val="28"/>
          <w:shd w:val="clear" w:color="auto" w:fill="FFFFFF"/>
        </w:rPr>
      </w:pPr>
    </w:p>
    <w:p w14:paraId="1FB48D37">
      <w:pPr>
        <w:shd w:val="clear" w:color="auto" w:fill="FFFFFF"/>
        <w:autoSpaceDE w:val="0"/>
        <w:snapToGrid w:val="0"/>
        <w:spacing w:before="156" w:beforeLines="50" w:line="360" w:lineRule="auto"/>
        <w:rPr>
          <w:rFonts w:ascii="宋体" w:hAnsi="宋体" w:cs="宋体"/>
          <w:b/>
          <w:color w:val="000000"/>
          <w:kern w:val="0"/>
          <w:sz w:val="28"/>
          <w:szCs w:val="28"/>
          <w:shd w:val="clear" w:color="auto" w:fill="FFFFFF"/>
        </w:rPr>
      </w:pPr>
    </w:p>
    <w:p w14:paraId="5FA9AF29">
      <w:pPr>
        <w:shd w:val="clear" w:color="auto" w:fill="FFFFFF"/>
        <w:autoSpaceDE w:val="0"/>
        <w:snapToGrid w:val="0"/>
        <w:spacing w:before="156" w:beforeLines="50" w:line="360" w:lineRule="auto"/>
        <w:rPr>
          <w:rFonts w:ascii="宋体" w:hAnsi="宋体" w:cs="宋体"/>
          <w:b/>
          <w:color w:val="000000"/>
          <w:kern w:val="0"/>
          <w:sz w:val="28"/>
          <w:szCs w:val="28"/>
          <w:shd w:val="clear" w:color="auto" w:fill="FFFFFF"/>
        </w:rPr>
      </w:pPr>
    </w:p>
    <w:p w14:paraId="597A43E6">
      <w:pPr>
        <w:keepNext w:val="0"/>
        <w:keepLines w:val="0"/>
        <w:pageBreakBefore w:val="0"/>
        <w:widowControl w:val="0"/>
        <w:shd w:val="clear" w:color="auto" w:fill="FFFFFF"/>
        <w:kinsoku/>
        <w:wordWrap/>
        <w:topLinePunct w:val="0"/>
        <w:autoSpaceDE w:val="0"/>
        <w:bidi w:val="0"/>
        <w:snapToGrid w:val="0"/>
        <w:spacing w:line="360" w:lineRule="auto"/>
        <w:ind w:leftChars="0"/>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14:paraId="428BA4B9">
      <w:pPr>
        <w:pStyle w:val="2"/>
        <w:keepNext w:val="0"/>
        <w:keepLines w:val="0"/>
        <w:pageBreakBefore w:val="0"/>
        <w:widowControl w:val="0"/>
        <w:kinsoku/>
        <w:wordWrap/>
        <w:topLinePunct w:val="0"/>
        <w:bidi w:val="0"/>
        <w:snapToGrid w:val="0"/>
        <w:spacing w:line="360" w:lineRule="auto"/>
        <w:ind w:leftChars="0"/>
        <w:outlineLvl w:val="0"/>
        <w:rPr>
          <w:rFonts w:ascii="宋体" w:hAnsi="宋体" w:eastAsia="宋体" w:cs="宋体"/>
          <w:b/>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25"/>
        <w:gridCol w:w="972"/>
        <w:gridCol w:w="5486"/>
      </w:tblGrid>
      <w:tr w14:paraId="49D6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23B22B4">
            <w:pPr>
              <w:keepNext w:val="0"/>
              <w:keepLines w:val="0"/>
              <w:pageBreakBefore w:val="0"/>
              <w:widowControl w:val="0"/>
              <w:kinsoku/>
              <w:wordWrap/>
              <w:topLinePunct w:val="0"/>
              <w:bidi w:val="0"/>
              <w:snapToGrid w:val="0"/>
              <w:spacing w:line="312" w:lineRule="auto"/>
              <w:ind w:leftChars="0"/>
              <w:jc w:val="center"/>
              <w:rPr>
                <w:rFonts w:ascii="宋体" w:hAnsi="宋体" w:cs="宋体"/>
                <w:b/>
                <w:bCs/>
                <w:kern w:val="0"/>
                <w:sz w:val="22"/>
                <w:szCs w:val="22"/>
              </w:rPr>
            </w:pPr>
            <w:r>
              <w:rPr>
                <w:rFonts w:hint="eastAsia" w:ascii="宋体" w:hAnsi="宋体" w:cs="宋体"/>
                <w:b/>
                <w:bCs/>
                <w:kern w:val="0"/>
                <w:sz w:val="22"/>
                <w:szCs w:val="22"/>
              </w:rPr>
              <w:t>序号</w:t>
            </w:r>
          </w:p>
        </w:tc>
        <w:tc>
          <w:tcPr>
            <w:tcW w:w="1125" w:type="dxa"/>
            <w:vAlign w:val="center"/>
          </w:tcPr>
          <w:p w14:paraId="31AF1089">
            <w:pPr>
              <w:keepNext w:val="0"/>
              <w:keepLines w:val="0"/>
              <w:pageBreakBefore w:val="0"/>
              <w:widowControl w:val="0"/>
              <w:kinsoku/>
              <w:wordWrap/>
              <w:topLinePunct w:val="0"/>
              <w:bidi w:val="0"/>
              <w:snapToGrid w:val="0"/>
              <w:spacing w:line="312" w:lineRule="auto"/>
              <w:ind w:leftChars="0"/>
              <w:jc w:val="center"/>
              <w:rPr>
                <w:rFonts w:ascii="宋体" w:hAnsi="宋体" w:cs="宋体"/>
                <w:b/>
                <w:bCs/>
                <w:kern w:val="0"/>
                <w:sz w:val="22"/>
                <w:szCs w:val="22"/>
              </w:rPr>
            </w:pPr>
            <w:r>
              <w:rPr>
                <w:rFonts w:hint="eastAsia" w:ascii="宋体" w:hAnsi="宋体" w:cs="宋体"/>
                <w:b/>
                <w:bCs/>
                <w:kern w:val="0"/>
                <w:sz w:val="22"/>
                <w:szCs w:val="22"/>
              </w:rPr>
              <w:t>项目</w:t>
            </w:r>
          </w:p>
        </w:tc>
        <w:tc>
          <w:tcPr>
            <w:tcW w:w="972" w:type="dxa"/>
            <w:vAlign w:val="center"/>
          </w:tcPr>
          <w:p w14:paraId="241A13A4">
            <w:pPr>
              <w:keepNext w:val="0"/>
              <w:keepLines w:val="0"/>
              <w:pageBreakBefore w:val="0"/>
              <w:widowControl w:val="0"/>
              <w:kinsoku/>
              <w:wordWrap/>
              <w:topLinePunct w:val="0"/>
              <w:bidi w:val="0"/>
              <w:snapToGrid w:val="0"/>
              <w:spacing w:line="312" w:lineRule="auto"/>
              <w:ind w:leftChars="0"/>
              <w:jc w:val="center"/>
              <w:rPr>
                <w:rFonts w:ascii="宋体" w:hAnsi="宋体" w:cs="宋体"/>
                <w:b/>
                <w:bCs/>
                <w:kern w:val="0"/>
                <w:sz w:val="22"/>
                <w:szCs w:val="22"/>
              </w:rPr>
            </w:pPr>
            <w:r>
              <w:rPr>
                <w:rFonts w:hint="eastAsia" w:ascii="宋体" w:hAnsi="宋体" w:cs="宋体"/>
                <w:b/>
                <w:bCs/>
                <w:kern w:val="0"/>
                <w:sz w:val="22"/>
                <w:szCs w:val="22"/>
              </w:rPr>
              <w:t>数量</w:t>
            </w:r>
          </w:p>
        </w:tc>
        <w:tc>
          <w:tcPr>
            <w:tcW w:w="5486" w:type="dxa"/>
            <w:vAlign w:val="center"/>
          </w:tcPr>
          <w:p w14:paraId="17704A14">
            <w:pPr>
              <w:keepNext w:val="0"/>
              <w:keepLines w:val="0"/>
              <w:pageBreakBefore w:val="0"/>
              <w:widowControl w:val="0"/>
              <w:kinsoku/>
              <w:wordWrap/>
              <w:topLinePunct w:val="0"/>
              <w:bidi w:val="0"/>
              <w:snapToGrid w:val="0"/>
              <w:spacing w:line="312" w:lineRule="auto"/>
              <w:ind w:leftChars="0"/>
              <w:jc w:val="center"/>
              <w:rPr>
                <w:rFonts w:ascii="宋体" w:hAnsi="宋体" w:cs="宋体"/>
                <w:b/>
                <w:bCs/>
                <w:kern w:val="0"/>
                <w:sz w:val="22"/>
                <w:szCs w:val="22"/>
              </w:rPr>
            </w:pPr>
            <w:r>
              <w:rPr>
                <w:rFonts w:hint="eastAsia" w:ascii="宋体" w:hAnsi="宋体" w:cs="宋体"/>
                <w:b/>
                <w:bCs/>
                <w:kern w:val="0"/>
                <w:sz w:val="22"/>
                <w:szCs w:val="22"/>
              </w:rPr>
              <w:t>技术参数要求</w:t>
            </w:r>
          </w:p>
        </w:tc>
      </w:tr>
      <w:tr w14:paraId="60BF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4C39BEF9">
            <w:pPr>
              <w:keepNext w:val="0"/>
              <w:keepLines w:val="0"/>
              <w:pageBreakBefore w:val="0"/>
              <w:widowControl w:val="0"/>
              <w:kinsoku/>
              <w:wordWrap/>
              <w:topLinePunct w:val="0"/>
              <w:bidi w:val="0"/>
              <w:snapToGrid w:val="0"/>
              <w:spacing w:line="312" w:lineRule="auto"/>
              <w:ind w:leftChars="0"/>
              <w:jc w:val="center"/>
              <w:rPr>
                <w:rFonts w:ascii="宋体" w:hAnsi="宋体" w:cs="宋体"/>
                <w:kern w:val="0"/>
                <w:sz w:val="22"/>
                <w:szCs w:val="22"/>
              </w:rPr>
            </w:pPr>
            <w:r>
              <w:rPr>
                <w:rFonts w:hint="eastAsia" w:ascii="宋体" w:hAnsi="宋体" w:cs="宋体"/>
                <w:kern w:val="0"/>
                <w:sz w:val="22"/>
                <w:szCs w:val="22"/>
              </w:rPr>
              <w:t>1</w:t>
            </w:r>
          </w:p>
        </w:tc>
        <w:tc>
          <w:tcPr>
            <w:tcW w:w="1125" w:type="dxa"/>
            <w:vAlign w:val="center"/>
          </w:tcPr>
          <w:p w14:paraId="5E603DB5">
            <w:pPr>
              <w:keepNext w:val="0"/>
              <w:keepLines w:val="0"/>
              <w:pageBreakBefore w:val="0"/>
              <w:widowControl w:val="0"/>
              <w:kinsoku/>
              <w:wordWrap/>
              <w:topLinePunct w:val="0"/>
              <w:bidi w:val="0"/>
              <w:snapToGrid w:val="0"/>
              <w:spacing w:line="312" w:lineRule="auto"/>
              <w:ind w:leftChars="0"/>
              <w:rPr>
                <w:rFonts w:ascii="宋体" w:hAnsi="宋体" w:cs="宋体"/>
                <w:b w:val="0"/>
                <w:bCs w:val="0"/>
                <w:kern w:val="0"/>
                <w:sz w:val="22"/>
                <w:szCs w:val="22"/>
              </w:rPr>
            </w:pPr>
            <w:r>
              <w:rPr>
                <w:rFonts w:hint="eastAsia" w:ascii="宋体" w:hAnsi="宋体" w:cs="宋体"/>
                <w:b w:val="0"/>
                <w:bCs w:val="0"/>
                <w:kern w:val="0"/>
                <w:sz w:val="22"/>
                <w:szCs w:val="22"/>
              </w:rPr>
              <w:t>等级保护测评服务</w:t>
            </w:r>
          </w:p>
        </w:tc>
        <w:tc>
          <w:tcPr>
            <w:tcW w:w="972" w:type="dxa"/>
            <w:vAlign w:val="center"/>
          </w:tcPr>
          <w:p w14:paraId="2D2C2E22">
            <w:pPr>
              <w:keepNext w:val="0"/>
              <w:keepLines w:val="0"/>
              <w:pageBreakBefore w:val="0"/>
              <w:widowControl w:val="0"/>
              <w:kinsoku/>
              <w:wordWrap/>
              <w:topLinePunct w:val="0"/>
              <w:bidi w:val="0"/>
              <w:snapToGrid w:val="0"/>
              <w:spacing w:line="312" w:lineRule="auto"/>
              <w:ind w:leftChars="0"/>
              <w:jc w:val="left"/>
              <w:rPr>
                <w:rFonts w:ascii="宋体" w:hAnsi="宋体" w:cs="宋体"/>
                <w:b w:val="0"/>
                <w:bCs w:val="0"/>
                <w:kern w:val="0"/>
                <w:sz w:val="22"/>
                <w:szCs w:val="22"/>
              </w:rPr>
            </w:pPr>
            <w:r>
              <w:rPr>
                <w:rFonts w:hint="eastAsia" w:ascii="宋体" w:hAnsi="宋体" w:cs="宋体"/>
                <w:b w:val="0"/>
                <w:bCs w:val="0"/>
                <w:kern w:val="0"/>
                <w:sz w:val="22"/>
                <w:szCs w:val="22"/>
              </w:rPr>
              <w:t>1项</w:t>
            </w:r>
          </w:p>
        </w:tc>
        <w:tc>
          <w:tcPr>
            <w:tcW w:w="5486" w:type="dxa"/>
          </w:tcPr>
          <w:p w14:paraId="650CF6CC">
            <w:pPr>
              <w:keepNext w:val="0"/>
              <w:keepLines w:val="0"/>
              <w:pageBreakBefore w:val="0"/>
              <w:widowControl w:val="0"/>
              <w:kinsoku/>
              <w:wordWrap/>
              <w:topLinePunct w:val="0"/>
              <w:bidi w:val="0"/>
              <w:snapToGrid w:val="0"/>
              <w:spacing w:line="312"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1.</w:t>
            </w:r>
            <w:r>
              <w:rPr>
                <w:rFonts w:hint="eastAsia" w:ascii="宋体" w:hAnsi="宋体" w:cs="宋体"/>
                <w:b w:val="0"/>
                <w:bCs w:val="0"/>
                <w:kern w:val="0"/>
                <w:sz w:val="24"/>
              </w:rPr>
              <w:t>对医院</w:t>
            </w:r>
            <w:r>
              <w:rPr>
                <w:rFonts w:hint="eastAsia" w:ascii="宋体" w:hAnsi="宋体" w:cs="宋体"/>
                <w:b w:val="0"/>
                <w:bCs w:val="0"/>
                <w:kern w:val="0"/>
                <w:sz w:val="24"/>
                <w:lang w:val="en-US" w:eastAsia="zh-CN"/>
              </w:rPr>
              <w:t>重要信息</w:t>
            </w:r>
            <w:r>
              <w:rPr>
                <w:rFonts w:hint="eastAsia" w:ascii="宋体" w:hAnsi="宋体" w:cs="宋体"/>
                <w:b w:val="0"/>
                <w:bCs w:val="0"/>
                <w:kern w:val="0"/>
                <w:sz w:val="24"/>
              </w:rPr>
              <w:t>系统</w:t>
            </w:r>
            <w:r>
              <w:rPr>
                <w:rFonts w:hint="eastAsia" w:ascii="宋体" w:hAnsi="宋体" w:cs="宋体"/>
                <w:b w:val="0"/>
                <w:bCs w:val="0"/>
                <w:color w:val="auto"/>
                <w:kern w:val="0"/>
                <w:sz w:val="24"/>
              </w:rPr>
              <w:t>（HIS、LIS、PACS、EMR、协同办公系统、移动APP、门户网站、互联网医疗及处方流转服务平台（含慢病管理）、福建省肿瘤登记信息直报平台、医院信息集成平台、病理质控与资料管理系统、分子病理质控管理系统）</w:t>
            </w:r>
            <w:r>
              <w:rPr>
                <w:rFonts w:hint="eastAsia" w:ascii="宋体" w:hAnsi="宋体" w:cs="宋体"/>
                <w:b w:val="0"/>
                <w:bCs w:val="0"/>
                <w:kern w:val="0"/>
                <w:sz w:val="24"/>
              </w:rPr>
              <w:t>进行三级等级保护测评</w:t>
            </w:r>
            <w:r>
              <w:rPr>
                <w:rFonts w:hint="eastAsia" w:ascii="宋体" w:hAnsi="宋体" w:cs="宋体"/>
                <w:b w:val="0"/>
                <w:bCs w:val="0"/>
                <w:kern w:val="0"/>
                <w:sz w:val="24"/>
                <w:lang w:val="en-US" w:eastAsia="zh-CN"/>
              </w:rPr>
              <w:t>服务</w:t>
            </w:r>
            <w:r>
              <w:rPr>
                <w:rFonts w:hint="eastAsia" w:ascii="宋体" w:hAnsi="宋体" w:cs="宋体"/>
                <w:b w:val="0"/>
                <w:bCs w:val="0"/>
                <w:kern w:val="0"/>
                <w:sz w:val="24"/>
              </w:rPr>
              <w:t>。</w:t>
            </w:r>
          </w:p>
          <w:p w14:paraId="43F3F43F">
            <w:pPr>
              <w:keepNext w:val="0"/>
              <w:keepLines w:val="0"/>
              <w:pageBreakBefore w:val="0"/>
              <w:widowControl w:val="0"/>
              <w:kinsoku/>
              <w:wordWrap/>
              <w:topLinePunct w:val="0"/>
              <w:bidi w:val="0"/>
              <w:snapToGrid w:val="0"/>
              <w:spacing w:line="312" w:lineRule="auto"/>
              <w:jc w:val="left"/>
              <w:rPr>
                <w:rFonts w:hint="eastAsia" w:ascii="宋体" w:hAnsi="宋体" w:cs="宋体"/>
                <w:b w:val="0"/>
                <w:bCs w:val="0"/>
                <w:kern w:val="0"/>
                <w:sz w:val="24"/>
              </w:rPr>
            </w:pPr>
            <w:r>
              <w:rPr>
                <w:rFonts w:hint="eastAsia" w:ascii="宋体" w:hAnsi="宋体" w:cs="宋体"/>
                <w:b w:val="0"/>
                <w:bCs w:val="0"/>
                <w:kern w:val="0"/>
                <w:sz w:val="24"/>
                <w:lang w:val="en-US" w:eastAsia="zh-CN"/>
              </w:rPr>
              <w:t>2.</w:t>
            </w:r>
            <w:r>
              <w:rPr>
                <w:rFonts w:hint="eastAsia" w:ascii="宋体" w:hAnsi="宋体" w:cs="宋体"/>
                <w:b w:val="0"/>
                <w:bCs w:val="0"/>
                <w:kern w:val="0"/>
                <w:sz w:val="24"/>
              </w:rPr>
              <w:t>测评内容覆盖安全物理环境、安全通信网络、安全区域边界、安全计算环境、安全管理中心、安全管理制度等方面的内容</w:t>
            </w:r>
            <w:r>
              <w:rPr>
                <w:rFonts w:hint="eastAsia" w:ascii="宋体" w:hAnsi="宋体" w:cs="宋体"/>
                <w:b w:val="0"/>
                <w:bCs w:val="0"/>
                <w:kern w:val="0"/>
                <w:sz w:val="24"/>
                <w:lang w:eastAsia="zh-CN"/>
              </w:rPr>
              <w:t>。</w:t>
            </w:r>
          </w:p>
          <w:p w14:paraId="12F29EFA">
            <w:pPr>
              <w:keepNext w:val="0"/>
              <w:keepLines w:val="0"/>
              <w:pageBreakBefore w:val="0"/>
              <w:widowControl w:val="0"/>
              <w:kinsoku/>
              <w:wordWrap/>
              <w:topLinePunct w:val="0"/>
              <w:bidi w:val="0"/>
              <w:snapToGrid w:val="0"/>
              <w:spacing w:line="312" w:lineRule="auto"/>
              <w:jc w:val="left"/>
              <w:rPr>
                <w:rFonts w:ascii="宋体" w:hAnsi="宋体" w:cs="宋体"/>
                <w:b w:val="0"/>
                <w:bCs w:val="0"/>
                <w:kern w:val="0"/>
                <w:sz w:val="24"/>
              </w:rPr>
            </w:pPr>
            <w:r>
              <w:rPr>
                <w:rFonts w:hint="eastAsia" w:ascii="宋体" w:hAnsi="宋体" w:cs="宋体"/>
                <w:b w:val="0"/>
                <w:bCs w:val="0"/>
                <w:kern w:val="0"/>
                <w:sz w:val="24"/>
                <w:lang w:val="en-US" w:eastAsia="zh-CN"/>
              </w:rPr>
              <w:t>3.</w:t>
            </w:r>
            <w:r>
              <w:rPr>
                <w:rFonts w:hint="eastAsia" w:ascii="宋体" w:hAnsi="宋体" w:cs="宋体"/>
                <w:b w:val="0"/>
                <w:bCs w:val="0"/>
                <w:kern w:val="0"/>
                <w:sz w:val="24"/>
              </w:rPr>
              <w:t>由</w:t>
            </w:r>
            <w:r>
              <w:rPr>
                <w:rFonts w:hint="eastAsia" w:ascii="宋体" w:hAnsi="宋体" w:cs="宋体"/>
                <w:b w:val="0"/>
                <w:bCs w:val="0"/>
                <w:kern w:val="0"/>
                <w:sz w:val="24"/>
                <w:lang w:val="en-US" w:eastAsia="zh-CN"/>
              </w:rPr>
              <w:t>中标方委托具备等保测评资质的机构实施，</w:t>
            </w:r>
            <w:r>
              <w:rPr>
                <w:rFonts w:hint="eastAsia" w:ascii="宋体" w:hAnsi="宋体" w:cs="宋体"/>
                <w:b w:val="0"/>
                <w:bCs w:val="0"/>
                <w:kern w:val="0"/>
                <w:sz w:val="24"/>
              </w:rPr>
              <w:t>最终</w:t>
            </w:r>
            <w:r>
              <w:rPr>
                <w:rFonts w:hint="eastAsia" w:ascii="宋体" w:hAnsi="宋体" w:cs="宋体"/>
                <w:b w:val="0"/>
                <w:bCs w:val="0"/>
                <w:kern w:val="0"/>
                <w:sz w:val="24"/>
                <w:lang w:val="en-US" w:eastAsia="zh-CN"/>
              </w:rPr>
              <w:t>正式测评</w:t>
            </w:r>
            <w:r>
              <w:rPr>
                <w:rFonts w:hint="eastAsia" w:ascii="宋体" w:hAnsi="宋体" w:cs="宋体"/>
                <w:b w:val="0"/>
                <w:bCs w:val="0"/>
                <w:kern w:val="0"/>
                <w:sz w:val="24"/>
              </w:rPr>
              <w:t>报告</w:t>
            </w:r>
            <w:r>
              <w:rPr>
                <w:rFonts w:hint="eastAsia" w:ascii="宋体" w:hAnsi="宋体" w:cs="宋体"/>
                <w:b w:val="0"/>
                <w:bCs w:val="0"/>
                <w:kern w:val="0"/>
                <w:sz w:val="24"/>
                <w:lang w:val="en-US" w:eastAsia="zh-CN"/>
              </w:rPr>
              <w:t>需</w:t>
            </w:r>
            <w:r>
              <w:rPr>
                <w:rFonts w:hint="eastAsia" w:ascii="宋体" w:hAnsi="宋体" w:cs="宋体"/>
                <w:b w:val="0"/>
                <w:bCs w:val="0"/>
                <w:kern w:val="0"/>
                <w:sz w:val="24"/>
              </w:rPr>
              <w:t>由</w:t>
            </w:r>
            <w:r>
              <w:rPr>
                <w:rFonts w:hint="eastAsia" w:ascii="宋体" w:hAnsi="宋体" w:cs="宋体"/>
                <w:b w:val="0"/>
                <w:bCs w:val="0"/>
                <w:kern w:val="0"/>
                <w:sz w:val="24"/>
                <w:lang w:val="en-US" w:eastAsia="zh-CN"/>
              </w:rPr>
              <w:t>机</w:t>
            </w:r>
            <w:r>
              <w:rPr>
                <w:rFonts w:hint="eastAsia" w:ascii="宋体" w:hAnsi="宋体" w:cs="宋体"/>
                <w:b w:val="0"/>
                <w:bCs w:val="0"/>
                <w:kern w:val="0"/>
                <w:sz w:val="24"/>
              </w:rPr>
              <w:t>构盖章</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并通过官方备案</w:t>
            </w:r>
            <w:r>
              <w:rPr>
                <w:rFonts w:hint="eastAsia" w:ascii="宋体" w:hAnsi="宋体" w:cs="宋体"/>
                <w:b w:val="0"/>
                <w:bCs w:val="0"/>
                <w:kern w:val="0"/>
                <w:sz w:val="24"/>
                <w:lang w:eastAsia="zh-CN"/>
              </w:rPr>
              <w:t>。</w:t>
            </w:r>
          </w:p>
          <w:p w14:paraId="16694D17">
            <w:pPr>
              <w:keepNext w:val="0"/>
              <w:keepLines w:val="0"/>
              <w:pageBreakBefore w:val="0"/>
              <w:widowControl w:val="0"/>
              <w:kinsoku/>
              <w:wordWrap/>
              <w:topLinePunct w:val="0"/>
              <w:bidi w:val="0"/>
              <w:snapToGrid w:val="0"/>
              <w:spacing w:line="312" w:lineRule="auto"/>
              <w:jc w:val="left"/>
              <w:rPr>
                <w:rFonts w:ascii="宋体" w:hAnsi="宋体" w:cs="宋体"/>
                <w:b w:val="0"/>
                <w:bCs w:val="0"/>
                <w:kern w:val="0"/>
                <w:sz w:val="22"/>
                <w:szCs w:val="22"/>
              </w:rPr>
            </w:pPr>
            <w:r>
              <w:rPr>
                <w:rFonts w:hint="eastAsia" w:ascii="宋体" w:hAnsi="宋体" w:cs="宋体"/>
                <w:b w:val="0"/>
                <w:bCs w:val="0"/>
                <w:kern w:val="0"/>
                <w:sz w:val="24"/>
                <w:lang w:val="en-US" w:eastAsia="zh-CN"/>
              </w:rPr>
              <w:t>4.</w:t>
            </w:r>
            <w:r>
              <w:rPr>
                <w:rFonts w:hint="eastAsia" w:ascii="宋体" w:hAnsi="宋体" w:cs="宋体"/>
                <w:b w:val="0"/>
                <w:bCs w:val="0"/>
                <w:kern w:val="0"/>
                <w:sz w:val="24"/>
              </w:rPr>
              <w:t>服务期限自合同签订起1年，或测评完成，以先到为止。</w:t>
            </w:r>
          </w:p>
        </w:tc>
      </w:tr>
      <w:tr w14:paraId="76D3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352F1E9">
            <w:pPr>
              <w:keepNext w:val="0"/>
              <w:keepLines w:val="0"/>
              <w:pageBreakBefore w:val="0"/>
              <w:widowControl w:val="0"/>
              <w:kinsoku/>
              <w:wordWrap/>
              <w:topLinePunct w:val="0"/>
              <w:bidi w:val="0"/>
              <w:snapToGrid w:val="0"/>
              <w:spacing w:line="312" w:lineRule="auto"/>
              <w:ind w:leftChars="0"/>
              <w:jc w:val="center"/>
              <w:rPr>
                <w:rFonts w:ascii="宋体" w:hAnsi="宋体" w:cs="宋体"/>
                <w:kern w:val="0"/>
                <w:sz w:val="22"/>
                <w:szCs w:val="22"/>
              </w:rPr>
            </w:pPr>
            <w:r>
              <w:rPr>
                <w:rFonts w:hint="eastAsia" w:ascii="宋体" w:hAnsi="宋体" w:cs="宋体"/>
                <w:kern w:val="0"/>
                <w:sz w:val="22"/>
                <w:szCs w:val="22"/>
              </w:rPr>
              <w:t>2</w:t>
            </w:r>
          </w:p>
        </w:tc>
        <w:tc>
          <w:tcPr>
            <w:tcW w:w="1125" w:type="dxa"/>
            <w:vAlign w:val="center"/>
          </w:tcPr>
          <w:p w14:paraId="40173190">
            <w:pPr>
              <w:keepNext w:val="0"/>
              <w:keepLines w:val="0"/>
              <w:pageBreakBefore w:val="0"/>
              <w:widowControl w:val="0"/>
              <w:kinsoku/>
              <w:wordWrap/>
              <w:topLinePunct w:val="0"/>
              <w:bidi w:val="0"/>
              <w:snapToGrid w:val="0"/>
              <w:spacing w:line="312" w:lineRule="auto"/>
              <w:ind w:leftChars="0"/>
              <w:jc w:val="left"/>
              <w:rPr>
                <w:rFonts w:ascii="宋体" w:hAnsi="宋体" w:cs="宋体"/>
                <w:b w:val="0"/>
                <w:bCs w:val="0"/>
                <w:kern w:val="0"/>
                <w:sz w:val="22"/>
                <w:szCs w:val="22"/>
              </w:rPr>
            </w:pPr>
            <w:r>
              <w:rPr>
                <w:rFonts w:hint="eastAsia" w:ascii="宋体" w:hAnsi="宋体" w:cs="宋体"/>
                <w:b w:val="0"/>
                <w:bCs w:val="0"/>
                <w:kern w:val="0"/>
                <w:sz w:val="22"/>
                <w:szCs w:val="22"/>
              </w:rPr>
              <w:t>网络安全运营服务</w:t>
            </w:r>
          </w:p>
        </w:tc>
        <w:tc>
          <w:tcPr>
            <w:tcW w:w="972" w:type="dxa"/>
            <w:vAlign w:val="center"/>
          </w:tcPr>
          <w:p w14:paraId="54D54AD0">
            <w:pPr>
              <w:keepNext w:val="0"/>
              <w:keepLines w:val="0"/>
              <w:pageBreakBefore w:val="0"/>
              <w:widowControl w:val="0"/>
              <w:kinsoku/>
              <w:wordWrap/>
              <w:topLinePunct w:val="0"/>
              <w:bidi w:val="0"/>
              <w:snapToGrid w:val="0"/>
              <w:spacing w:line="312" w:lineRule="auto"/>
              <w:ind w:leftChars="0"/>
              <w:jc w:val="left"/>
              <w:rPr>
                <w:rFonts w:ascii="宋体" w:hAnsi="宋体" w:cs="宋体"/>
                <w:b w:val="0"/>
                <w:bCs w:val="0"/>
                <w:kern w:val="0"/>
                <w:sz w:val="22"/>
                <w:szCs w:val="22"/>
              </w:rPr>
            </w:pPr>
            <w:r>
              <w:rPr>
                <w:rFonts w:hint="eastAsia" w:ascii="宋体" w:hAnsi="宋体" w:cs="宋体"/>
                <w:b w:val="0"/>
                <w:bCs w:val="0"/>
                <w:kern w:val="0"/>
                <w:sz w:val="22"/>
                <w:szCs w:val="22"/>
              </w:rPr>
              <w:t>1项</w:t>
            </w:r>
          </w:p>
        </w:tc>
        <w:tc>
          <w:tcPr>
            <w:tcW w:w="5486" w:type="dxa"/>
            <w:vAlign w:val="center"/>
          </w:tcPr>
          <w:p w14:paraId="15A3DDD0">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1</w:t>
            </w:r>
            <w:r>
              <w:rPr>
                <w:rFonts w:ascii="宋体" w:hAnsi="宋体" w:cs="宋体"/>
                <w:b w:val="0"/>
                <w:bCs w:val="0"/>
                <w:kern w:val="0"/>
                <w:sz w:val="24"/>
              </w:rPr>
              <w:t xml:space="preserve"> </w:t>
            </w:r>
            <w:r>
              <w:rPr>
                <w:rFonts w:hint="eastAsia" w:ascii="宋体" w:hAnsi="宋体" w:cs="宋体"/>
                <w:b w:val="0"/>
                <w:bCs w:val="0"/>
                <w:kern w:val="0"/>
                <w:sz w:val="24"/>
              </w:rPr>
              <w:t>等级保护咨询服务</w:t>
            </w:r>
          </w:p>
          <w:p w14:paraId="036F178E">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1）</w:t>
            </w:r>
            <w:r>
              <w:rPr>
                <w:rFonts w:hint="eastAsia" w:ascii="宋体" w:hAnsi="宋体" w:cs="宋体"/>
                <w:b w:val="0"/>
                <w:bCs w:val="0"/>
                <w:kern w:val="0"/>
                <w:sz w:val="24"/>
              </w:rPr>
              <w:t>对</w:t>
            </w:r>
            <w:r>
              <w:rPr>
                <w:rFonts w:hint="eastAsia" w:ascii="宋体" w:hAnsi="宋体" w:cs="宋体"/>
                <w:b w:val="0"/>
                <w:bCs w:val="0"/>
                <w:kern w:val="0"/>
                <w:sz w:val="24"/>
                <w:lang w:val="en-US" w:eastAsia="zh-CN"/>
              </w:rPr>
              <w:t>上述12个等保测评</w:t>
            </w:r>
            <w:r>
              <w:rPr>
                <w:rFonts w:hint="eastAsia" w:ascii="宋体" w:hAnsi="宋体" w:cs="宋体"/>
                <w:b w:val="0"/>
                <w:bCs w:val="0"/>
                <w:kern w:val="0"/>
                <w:sz w:val="24"/>
              </w:rPr>
              <w:t>信息系统</w:t>
            </w:r>
            <w:r>
              <w:rPr>
                <w:rFonts w:hint="eastAsia" w:ascii="宋体" w:hAnsi="宋体" w:cs="宋体"/>
                <w:b w:val="0"/>
                <w:bCs w:val="0"/>
                <w:kern w:val="0"/>
                <w:sz w:val="24"/>
                <w:lang w:val="en-US" w:eastAsia="zh-CN"/>
              </w:rPr>
              <w:t>提供</w:t>
            </w:r>
            <w:r>
              <w:rPr>
                <w:rFonts w:hint="eastAsia" w:ascii="宋体" w:hAnsi="宋体" w:cs="宋体"/>
                <w:b w:val="0"/>
                <w:bCs w:val="0"/>
                <w:kern w:val="0"/>
                <w:sz w:val="24"/>
              </w:rPr>
              <w:t>资产分析服务、风险评估服务、差距评估、安全加固服务、等保制度建设服务、辅助测评一站式服务。</w:t>
            </w:r>
          </w:p>
          <w:p w14:paraId="20BACDB4">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2）</w:t>
            </w:r>
            <w:r>
              <w:rPr>
                <w:rFonts w:hint="eastAsia" w:ascii="宋体" w:hAnsi="宋体" w:cs="宋体"/>
                <w:b w:val="0"/>
                <w:bCs w:val="0"/>
                <w:kern w:val="0"/>
                <w:sz w:val="24"/>
              </w:rPr>
              <w:t>交付成果包括：《信息系统基本情况调查表》、《等级保护安全评估与整改建议》、《等级保护安全管理制度汇编》等。</w:t>
            </w:r>
          </w:p>
          <w:p w14:paraId="4A813CA5">
            <w:pPr>
              <w:keepNext w:val="0"/>
              <w:keepLines w:val="0"/>
              <w:pageBreakBefore w:val="0"/>
              <w:widowControl w:val="0"/>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3）</w:t>
            </w:r>
            <w:r>
              <w:rPr>
                <w:rFonts w:hint="eastAsia" w:ascii="宋体" w:hAnsi="宋体" w:cs="宋体"/>
                <w:b w:val="0"/>
                <w:bCs w:val="0"/>
                <w:kern w:val="0"/>
                <w:sz w:val="24"/>
              </w:rPr>
              <w:t>服务期限自合同签订起1年，或测评完成，以先到为止。</w:t>
            </w:r>
          </w:p>
          <w:p w14:paraId="5B0055BD">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2 网络安全运营服务</w:t>
            </w:r>
          </w:p>
          <w:p w14:paraId="36E61EA9">
            <w:pPr>
              <w:keepNext w:val="0"/>
              <w:keepLines w:val="0"/>
              <w:pageBreakBefore w:val="0"/>
              <w:widowControl w:val="0"/>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lang w:val="en-US" w:eastAsia="zh-CN"/>
              </w:rPr>
              <w:t>对医院关键业务系统</w:t>
            </w:r>
            <w:r>
              <w:rPr>
                <w:rFonts w:hint="eastAsia" w:ascii="宋体" w:hAnsi="宋体" w:cs="宋体"/>
                <w:b w:val="0"/>
                <w:bCs w:val="0"/>
                <w:kern w:val="0"/>
                <w:sz w:val="24"/>
              </w:rPr>
              <w:t>提供网络安全运营服务，服务内容包括：</w:t>
            </w:r>
          </w:p>
          <w:p w14:paraId="5588ABB4">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1）</w:t>
            </w:r>
            <w:r>
              <w:rPr>
                <w:rFonts w:hint="eastAsia" w:ascii="宋体" w:hAnsi="宋体" w:cs="宋体"/>
                <w:b w:val="0"/>
                <w:bCs w:val="0"/>
                <w:kern w:val="0"/>
                <w:sz w:val="24"/>
              </w:rPr>
              <w:t>安全评估服务(4次/年): 为信息系统的使用、管理部门开展信息安全等级保护提供依据，制定安全规划及开展安全建设提供安全决策支持。</w:t>
            </w:r>
          </w:p>
          <w:p w14:paraId="44632359">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交付成果：《安全评估报告》4份</w:t>
            </w:r>
          </w:p>
          <w:p w14:paraId="6CE65539">
            <w:pPr>
              <w:keepNext w:val="0"/>
              <w:keepLines w:val="0"/>
              <w:pageBreakBefore w:val="0"/>
              <w:widowControl w:val="0"/>
              <w:numPr>
                <w:ilvl w:val="0"/>
                <w:numId w:val="1"/>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渗透测试服务(1次/年):针对目标系统开展黑客模拟攻击渗透测试服务，全面检测被测系统安全性;在网络攻防演练提供专</w:t>
            </w:r>
            <w:r>
              <w:rPr>
                <w:rFonts w:hint="eastAsia" w:ascii="宋体" w:hAnsi="宋体" w:cs="宋体"/>
                <w:b w:val="0"/>
                <w:bCs w:val="0"/>
                <w:kern w:val="0"/>
                <w:sz w:val="24"/>
                <w:lang w:val="en-US" w:eastAsia="zh-CN"/>
              </w:rPr>
              <w:t>业攻防人员</w:t>
            </w:r>
            <w:r>
              <w:rPr>
                <w:rFonts w:hint="eastAsia" w:ascii="宋体" w:hAnsi="宋体" w:cs="宋体"/>
                <w:b w:val="0"/>
                <w:bCs w:val="0"/>
                <w:kern w:val="0"/>
                <w:sz w:val="24"/>
              </w:rPr>
              <w:t>和相关安全设备支持。</w:t>
            </w:r>
          </w:p>
          <w:p w14:paraId="779EB8FA">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交付成果：《渗透测试报告》1份</w:t>
            </w:r>
          </w:p>
          <w:p w14:paraId="16BE5A3B">
            <w:pPr>
              <w:keepNext w:val="0"/>
              <w:keepLines w:val="0"/>
              <w:pageBreakBefore w:val="0"/>
              <w:widowControl w:val="0"/>
              <w:numPr>
                <w:ilvl w:val="0"/>
                <w:numId w:val="1"/>
              </w:numPr>
              <w:kinsoku/>
              <w:wordWrap/>
              <w:topLinePunct w:val="0"/>
              <w:bidi w:val="0"/>
              <w:spacing w:line="315" w:lineRule="atLeast"/>
              <w:ind w:left="0"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应用安全检测服务(4次/年)：采用自动化检测工具</w:t>
            </w:r>
            <w:r>
              <w:rPr>
                <w:rFonts w:hint="eastAsia" w:ascii="宋体" w:hAnsi="宋体" w:cs="宋体"/>
                <w:b w:val="0"/>
                <w:bCs w:val="0"/>
                <w:kern w:val="0"/>
                <w:sz w:val="24"/>
                <w:lang w:val="en-US" w:eastAsia="zh-CN"/>
              </w:rPr>
              <w:t>和</w:t>
            </w:r>
            <w:r>
              <w:rPr>
                <w:rFonts w:hint="eastAsia" w:ascii="宋体" w:hAnsi="宋体" w:cs="宋体"/>
                <w:b w:val="0"/>
                <w:bCs w:val="0"/>
                <w:kern w:val="0"/>
                <w:sz w:val="24"/>
              </w:rPr>
              <w:t>专业攻防人员全面检测Web应用程序安全，提供</w:t>
            </w:r>
            <w:r>
              <w:rPr>
                <w:rFonts w:hint="eastAsia" w:ascii="宋体" w:hAnsi="宋体" w:cs="宋体"/>
                <w:b w:val="0"/>
                <w:bCs w:val="0"/>
                <w:kern w:val="0"/>
                <w:sz w:val="24"/>
                <w:lang w:val="en-US" w:eastAsia="zh-CN"/>
              </w:rPr>
              <w:t>安全加固</w:t>
            </w:r>
            <w:r>
              <w:rPr>
                <w:rFonts w:hint="eastAsia" w:ascii="宋体" w:hAnsi="宋体" w:cs="宋体"/>
                <w:b w:val="0"/>
                <w:bCs w:val="0"/>
                <w:kern w:val="0"/>
                <w:sz w:val="24"/>
              </w:rPr>
              <w:t>指导。</w:t>
            </w:r>
          </w:p>
          <w:p w14:paraId="0505AEBF">
            <w:pPr>
              <w:keepNext w:val="0"/>
              <w:keepLines w:val="0"/>
              <w:pageBreakBefore w:val="0"/>
              <w:widowControl w:val="0"/>
              <w:numPr>
                <w:ilvl w:val="0"/>
                <w:numId w:val="0"/>
              </w:numPr>
              <w:kinsoku/>
              <w:wordWrap/>
              <w:topLinePunct w:val="0"/>
              <w:bidi w:val="0"/>
              <w:spacing w:line="315" w:lineRule="atLeast"/>
              <w:ind w:leftChars="0"/>
              <w:jc w:val="left"/>
              <w:rPr>
                <w:rFonts w:hint="eastAsia" w:ascii="宋体" w:hAnsi="宋体" w:cs="宋体"/>
                <w:b w:val="0"/>
                <w:bCs w:val="0"/>
                <w:kern w:val="0"/>
                <w:sz w:val="24"/>
              </w:rPr>
            </w:pPr>
            <w:r>
              <w:rPr>
                <w:rFonts w:hint="eastAsia" w:ascii="宋体" w:hAnsi="宋体" w:cs="宋体"/>
                <w:b w:val="0"/>
                <w:bCs w:val="0"/>
                <w:kern w:val="0"/>
                <w:sz w:val="24"/>
              </w:rPr>
              <w:t>交付成果：《应用安全检测报告》 4份</w:t>
            </w:r>
          </w:p>
          <w:p w14:paraId="12BD2DF4">
            <w:pPr>
              <w:keepNext w:val="0"/>
              <w:keepLines w:val="0"/>
              <w:pageBreakBefore w:val="0"/>
              <w:widowControl w:val="0"/>
              <w:numPr>
                <w:ilvl w:val="0"/>
                <w:numId w:val="0"/>
              </w:numPr>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3.MS安全运营托管服务</w:t>
            </w:r>
          </w:p>
          <w:p w14:paraId="7E98A701">
            <w:pPr>
              <w:keepNext w:val="0"/>
              <w:keepLines w:val="0"/>
              <w:pageBreakBefore w:val="0"/>
              <w:widowControl w:val="0"/>
              <w:kinsoku/>
              <w:wordWrap/>
              <w:topLinePunct w:val="0"/>
              <w:bidi w:val="0"/>
              <w:spacing w:line="315" w:lineRule="atLeast"/>
              <w:ind w:leftChars="0" w:firstLine="480" w:firstLineChars="200"/>
              <w:jc w:val="left"/>
              <w:rPr>
                <w:b w:val="0"/>
                <w:bCs w:val="0"/>
                <w:sz w:val="22"/>
                <w:szCs w:val="28"/>
              </w:rPr>
            </w:pPr>
            <w:r>
              <w:rPr>
                <w:rFonts w:hint="eastAsia" w:ascii="宋体" w:hAnsi="宋体" w:cs="宋体"/>
                <w:b w:val="0"/>
                <w:bCs w:val="0"/>
                <w:kern w:val="0"/>
                <w:sz w:val="24"/>
              </w:rPr>
              <w:t>通过云端安全运营专家，面向</w:t>
            </w:r>
            <w:r>
              <w:rPr>
                <w:rFonts w:hint="eastAsia" w:ascii="宋体" w:hAnsi="宋体" w:cs="宋体"/>
                <w:b w:val="0"/>
                <w:bCs w:val="0"/>
                <w:kern w:val="0"/>
                <w:sz w:val="24"/>
                <w:lang w:val="en-US" w:eastAsia="zh-CN"/>
              </w:rPr>
              <w:t>医院</w:t>
            </w:r>
            <w:r>
              <w:rPr>
                <w:rFonts w:hint="eastAsia" w:ascii="宋体" w:hAnsi="宋体" w:cs="宋体"/>
                <w:b w:val="0"/>
                <w:bCs w:val="0"/>
                <w:kern w:val="0"/>
                <w:sz w:val="24"/>
              </w:rPr>
              <w:t>提供7*24小时互联网网络安全</w:t>
            </w:r>
            <w:r>
              <w:rPr>
                <w:rFonts w:hint="eastAsia" w:ascii="宋体" w:hAnsi="宋体" w:cs="宋体"/>
                <w:b w:val="0"/>
                <w:bCs w:val="0"/>
                <w:kern w:val="0"/>
                <w:sz w:val="24"/>
                <w:lang w:val="en-US" w:eastAsia="zh-CN"/>
              </w:rPr>
              <w:t>监控</w:t>
            </w:r>
            <w:r>
              <w:rPr>
                <w:rFonts w:hint="eastAsia" w:ascii="宋体" w:hAnsi="宋体" w:cs="宋体"/>
                <w:b w:val="0"/>
                <w:bCs w:val="0"/>
                <w:kern w:val="0"/>
                <w:sz w:val="24"/>
              </w:rPr>
              <w:t>，对安全告警日志进行实时分析、研判、告警和</w:t>
            </w:r>
            <w:r>
              <w:rPr>
                <w:rFonts w:hint="eastAsia" w:ascii="宋体" w:hAnsi="宋体" w:cs="宋体"/>
                <w:b w:val="0"/>
                <w:bCs w:val="0"/>
                <w:kern w:val="0"/>
                <w:sz w:val="24"/>
                <w:lang w:val="en-US" w:eastAsia="zh-CN"/>
              </w:rPr>
              <w:t>提供</w:t>
            </w:r>
            <w:r>
              <w:rPr>
                <w:rFonts w:hint="eastAsia" w:ascii="宋体" w:hAnsi="宋体" w:cs="宋体"/>
                <w:b w:val="0"/>
                <w:bCs w:val="0"/>
                <w:kern w:val="0"/>
                <w:sz w:val="24"/>
              </w:rPr>
              <w:t>处置建议。</w:t>
            </w:r>
          </w:p>
          <w:p w14:paraId="0797E321">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（1）</w:t>
            </w:r>
            <w:r>
              <w:rPr>
                <w:rFonts w:hint="eastAsia" w:ascii="宋体" w:hAnsi="宋体" w:cs="宋体"/>
                <w:b w:val="0"/>
                <w:bCs w:val="0"/>
                <w:kern w:val="0"/>
                <w:sz w:val="24"/>
                <w:lang w:val="en-US" w:eastAsia="zh-CN"/>
              </w:rPr>
              <w:t>云端安全监控：</w:t>
            </w:r>
            <w:r>
              <w:rPr>
                <w:rFonts w:hint="eastAsia" w:ascii="宋体" w:hAnsi="宋体" w:cs="宋体"/>
                <w:b w:val="0"/>
                <w:bCs w:val="0"/>
                <w:kern w:val="0"/>
                <w:sz w:val="24"/>
              </w:rPr>
              <w:t>结合安全专家人工分析和处置，提供安全威胁分析和安全威胁情报服务，形成处置和整改建议。</w:t>
            </w:r>
          </w:p>
          <w:p w14:paraId="73B31035">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交付成果：每日安全简报。</w:t>
            </w:r>
          </w:p>
          <w:p w14:paraId="5395A549">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（2）威胁情报共享：云端安全运营管理平台</w:t>
            </w:r>
            <w:r>
              <w:rPr>
                <w:rFonts w:hint="eastAsia" w:ascii="宋体" w:hAnsi="宋体" w:cs="宋体"/>
                <w:b w:val="0"/>
                <w:bCs w:val="0"/>
                <w:kern w:val="0"/>
                <w:sz w:val="24"/>
                <w:lang w:val="en-US" w:eastAsia="zh-CN"/>
              </w:rPr>
              <w:t>可</w:t>
            </w:r>
            <w:r>
              <w:rPr>
                <w:rFonts w:hint="eastAsia" w:ascii="宋体" w:hAnsi="宋体" w:cs="宋体"/>
                <w:b w:val="0"/>
                <w:bCs w:val="0"/>
                <w:kern w:val="0"/>
                <w:sz w:val="24"/>
              </w:rPr>
              <w:t>与医院安全运营管理平台交换恶意软件、攻击特征数据等数据，实现安全威胁情报</w:t>
            </w:r>
            <w:r>
              <w:rPr>
                <w:rFonts w:hint="eastAsia" w:ascii="宋体" w:hAnsi="宋体" w:cs="宋体"/>
                <w:b w:val="0"/>
                <w:bCs w:val="0"/>
                <w:kern w:val="0"/>
                <w:sz w:val="24"/>
                <w:lang w:val="en-US" w:eastAsia="zh-CN"/>
              </w:rPr>
              <w:t>实时</w:t>
            </w:r>
            <w:r>
              <w:rPr>
                <w:rFonts w:hint="eastAsia" w:ascii="宋体" w:hAnsi="宋体" w:cs="宋体"/>
                <w:b w:val="0"/>
                <w:bCs w:val="0"/>
                <w:kern w:val="0"/>
                <w:sz w:val="24"/>
              </w:rPr>
              <w:t>共享</w:t>
            </w:r>
            <w:r>
              <w:rPr>
                <w:rFonts w:hint="eastAsia" w:ascii="宋体" w:hAnsi="宋体" w:cs="宋体"/>
                <w:b w:val="0"/>
                <w:bCs w:val="0"/>
                <w:kern w:val="0"/>
                <w:sz w:val="24"/>
                <w:lang w:eastAsia="zh-CN"/>
              </w:rPr>
              <w:t>，</w:t>
            </w:r>
            <w:r>
              <w:rPr>
                <w:rFonts w:hint="eastAsia" w:ascii="宋体" w:hAnsi="宋体" w:cs="宋体"/>
                <w:b w:val="0"/>
                <w:bCs w:val="0"/>
                <w:kern w:val="0"/>
                <w:sz w:val="24"/>
              </w:rPr>
              <w:t>可与医院防火墙、Web应用防火墙等设备进行策略联动，实现网络安全告警微信小程序推送、自动封堵阻断。</w:t>
            </w:r>
          </w:p>
          <w:p w14:paraId="3207AB88">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交付成果：按需提供《威胁情报更新记录》。</w:t>
            </w:r>
          </w:p>
          <w:p w14:paraId="64432CE8">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（3）网站安全监控（全年）：对网站提供可用性、域名劫持</w:t>
            </w:r>
            <w:r>
              <w:rPr>
                <w:rFonts w:hint="eastAsia" w:ascii="宋体" w:hAnsi="宋体" w:cs="宋体"/>
                <w:b w:val="0"/>
                <w:bCs w:val="0"/>
                <w:kern w:val="0"/>
                <w:sz w:val="24"/>
                <w:lang w:eastAsia="zh-CN"/>
              </w:rPr>
              <w:t>、</w:t>
            </w:r>
            <w:r>
              <w:rPr>
                <w:rFonts w:hint="eastAsia" w:ascii="宋体" w:hAnsi="宋体" w:cs="宋体"/>
                <w:b w:val="0"/>
                <w:bCs w:val="0"/>
                <w:kern w:val="0"/>
                <w:sz w:val="24"/>
              </w:rPr>
              <w:t>敏感词、弱口令、挂马、暗链等</w:t>
            </w:r>
            <w:r>
              <w:rPr>
                <w:rFonts w:hint="eastAsia" w:ascii="宋体" w:hAnsi="宋体" w:cs="宋体"/>
                <w:b w:val="0"/>
                <w:bCs w:val="0"/>
                <w:kern w:val="0"/>
                <w:sz w:val="24"/>
                <w:lang w:val="en-US" w:eastAsia="zh-CN"/>
              </w:rPr>
              <w:t>监控服务</w:t>
            </w:r>
            <w:r>
              <w:rPr>
                <w:rFonts w:hint="eastAsia" w:ascii="宋体" w:hAnsi="宋体" w:cs="宋体"/>
                <w:b w:val="0"/>
                <w:bCs w:val="0"/>
                <w:kern w:val="0"/>
                <w:sz w:val="24"/>
              </w:rPr>
              <w:t>，覆盖主流网络运营商线路，提供7*24小时值班，第一时间人工验证告警。</w:t>
            </w:r>
          </w:p>
          <w:p w14:paraId="2500D7B2">
            <w:pPr>
              <w:keepNext w:val="0"/>
              <w:keepLines w:val="0"/>
              <w:pageBreakBefore w:val="0"/>
              <w:widowControl w:val="0"/>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交付成果：《网站安全监控报告》4份；</w:t>
            </w:r>
          </w:p>
          <w:p w14:paraId="449383F2">
            <w:pPr>
              <w:keepNext w:val="0"/>
              <w:keepLines w:val="0"/>
              <w:pageBreakBefore w:val="0"/>
              <w:widowControl w:val="0"/>
              <w:numPr>
                <w:ilvl w:val="0"/>
                <w:numId w:val="1"/>
              </w:numPr>
              <w:kinsoku/>
              <w:wordWrap/>
              <w:topLinePunct w:val="0"/>
              <w:bidi w:val="0"/>
              <w:spacing w:line="315" w:lineRule="atLeast"/>
              <w:ind w:left="0"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告警与处置服务：运营过程中根据发生的告警情况，进行分析和处置，同时给出设备策略等准确的优化与加固建议。</w:t>
            </w:r>
          </w:p>
          <w:p w14:paraId="2C5F86AE">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交付成果：《安全处置建议》。</w:t>
            </w:r>
          </w:p>
          <w:p w14:paraId="4179C152">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w:t>
            </w:r>
            <w:r>
              <w:rPr>
                <w:rFonts w:hint="eastAsia" w:ascii="宋体" w:hAnsi="宋体" w:cs="宋体"/>
                <w:b w:val="0"/>
                <w:bCs w:val="0"/>
                <w:kern w:val="0"/>
                <w:sz w:val="24"/>
              </w:rPr>
              <w:t>服务期限自合同签订起1年。</w:t>
            </w:r>
          </w:p>
          <w:p w14:paraId="69BFA8BE">
            <w:pPr>
              <w:keepNext w:val="0"/>
              <w:keepLines w:val="0"/>
              <w:pageBreakBefore w:val="0"/>
              <w:widowControl w:val="0"/>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为保障安全服务实施质量，供应商拟投入的项目团队需至少包含1名项目经理，</w:t>
            </w:r>
            <w:r>
              <w:rPr>
                <w:rFonts w:hint="eastAsia" w:ascii="宋体" w:hAnsi="宋体" w:cs="宋体"/>
                <w:b w:val="0"/>
                <w:bCs w:val="0"/>
                <w:kern w:val="0"/>
                <w:sz w:val="24"/>
                <w:lang w:val="en-US" w:eastAsia="zh-CN"/>
              </w:rPr>
              <w:t>项目成员需</w:t>
            </w:r>
            <w:r>
              <w:rPr>
                <w:rFonts w:hint="eastAsia" w:ascii="宋体" w:hAnsi="宋体" w:cs="宋体"/>
                <w:b w:val="0"/>
                <w:bCs w:val="0"/>
                <w:kern w:val="0"/>
                <w:sz w:val="24"/>
              </w:rPr>
              <w:t>具备</w:t>
            </w:r>
            <w:r>
              <w:rPr>
                <w:rFonts w:ascii="宋体" w:hAnsi="宋体" w:cs="宋体"/>
                <w:b w:val="0"/>
                <w:bCs w:val="0"/>
                <w:kern w:val="0"/>
                <w:sz w:val="24"/>
              </w:rPr>
              <w:t>中国网络安全审查技术与认证中心</w:t>
            </w:r>
            <w:r>
              <w:rPr>
                <w:rFonts w:hint="eastAsia" w:ascii="宋体" w:hAnsi="宋体" w:cs="宋体"/>
                <w:b w:val="0"/>
                <w:bCs w:val="0"/>
                <w:kern w:val="0"/>
                <w:sz w:val="24"/>
              </w:rPr>
              <w:t>认证的信息安全保障人员工程师CISAW证书（安全集成专业级或以上）、注册渗透测试工程师（CISP-PTE）证书、网络安全应急管理能力证书。</w:t>
            </w:r>
          </w:p>
        </w:tc>
      </w:tr>
      <w:tr w14:paraId="6859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814E1EB">
            <w:pPr>
              <w:keepNext w:val="0"/>
              <w:keepLines w:val="0"/>
              <w:pageBreakBefore w:val="0"/>
              <w:widowControl w:val="0"/>
              <w:kinsoku/>
              <w:wordWrap/>
              <w:topLinePunct w:val="0"/>
              <w:bidi w:val="0"/>
              <w:spacing w:line="315" w:lineRule="atLeast"/>
              <w:ind w:leftChars="0"/>
              <w:jc w:val="left"/>
              <w:rPr>
                <w:rFonts w:ascii="宋体" w:hAnsi="宋体" w:cs="宋体"/>
                <w:kern w:val="0"/>
                <w:sz w:val="24"/>
              </w:rPr>
            </w:pPr>
            <w:r>
              <w:rPr>
                <w:rFonts w:hint="eastAsia" w:ascii="宋体" w:hAnsi="宋体" w:cs="宋体"/>
                <w:kern w:val="0"/>
                <w:sz w:val="24"/>
              </w:rPr>
              <w:t>3</w:t>
            </w:r>
          </w:p>
        </w:tc>
        <w:tc>
          <w:tcPr>
            <w:tcW w:w="1125" w:type="dxa"/>
            <w:vAlign w:val="center"/>
          </w:tcPr>
          <w:p w14:paraId="742BA4FF">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安全加固服务</w:t>
            </w:r>
          </w:p>
        </w:tc>
        <w:tc>
          <w:tcPr>
            <w:tcW w:w="972" w:type="dxa"/>
            <w:vAlign w:val="center"/>
          </w:tcPr>
          <w:p w14:paraId="4965C66B">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1项</w:t>
            </w:r>
          </w:p>
        </w:tc>
        <w:tc>
          <w:tcPr>
            <w:tcW w:w="5486" w:type="dxa"/>
            <w:vAlign w:val="center"/>
          </w:tcPr>
          <w:p w14:paraId="4CB3A77B">
            <w:pPr>
              <w:keepNext w:val="0"/>
              <w:keepLines w:val="0"/>
              <w:pageBreakBefore w:val="0"/>
              <w:widowControl w:val="0"/>
              <w:numPr>
                <w:ilvl w:val="0"/>
                <w:numId w:val="2"/>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安全加固服务(4次/年)：根据安全评估和测试服务的结果，提供应用安全、操作系统安全、Web服务器（中间件）、数据库安全加固辅导服务</w:t>
            </w:r>
            <w:r>
              <w:rPr>
                <w:rFonts w:hint="eastAsia" w:ascii="宋体" w:hAnsi="宋体" w:cs="宋体"/>
                <w:b w:val="0"/>
                <w:bCs w:val="0"/>
                <w:kern w:val="0"/>
                <w:sz w:val="24"/>
                <w:lang w:eastAsia="zh-CN"/>
              </w:rPr>
              <w:t>。</w:t>
            </w:r>
          </w:p>
          <w:p w14:paraId="6079D368">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交付成果：《安全加固报告》4份</w:t>
            </w:r>
          </w:p>
          <w:p w14:paraId="2CAE14AA">
            <w:pPr>
              <w:keepNext w:val="0"/>
              <w:keepLines w:val="0"/>
              <w:pageBreakBefore w:val="0"/>
              <w:widowControl w:val="0"/>
              <w:numPr>
                <w:ilvl w:val="0"/>
                <w:numId w:val="2"/>
              </w:numPr>
              <w:kinsoku/>
              <w:wordWrap/>
              <w:topLinePunct w:val="0"/>
              <w:bidi w:val="0"/>
              <w:spacing w:line="315" w:lineRule="atLeast"/>
              <w:ind w:left="0"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安全培训服务(1次/年)：面向全院新员工讲座开展网络安全意识培训(一节课30-60分钟)，培训内容包含不限于以下方面：安全标准、政策法规解读，信息安全意识、信息安全发展方向，周期性安全服务报告解读，可定制培训内容。</w:t>
            </w:r>
          </w:p>
          <w:p w14:paraId="3CB02322">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交付成果：《安全培训PPT》1份</w:t>
            </w:r>
          </w:p>
          <w:p w14:paraId="0D51B94A">
            <w:pPr>
              <w:keepNext w:val="0"/>
              <w:keepLines w:val="0"/>
              <w:pageBreakBefore w:val="0"/>
              <w:widowControl w:val="0"/>
              <w:numPr>
                <w:ilvl w:val="0"/>
                <w:numId w:val="2"/>
              </w:numPr>
              <w:kinsoku/>
              <w:wordWrap/>
              <w:topLinePunct w:val="0"/>
              <w:bidi w:val="0"/>
              <w:spacing w:line="315" w:lineRule="atLeast"/>
              <w:ind w:left="0"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应急响应服务（按需提供）：当医院网络和信息系统遇到黑客攻击或网页篡改等恶性事件，提供7*24小时电话响应或即时通讯或邮件等方式解疑答惑；远程支持无法解决时，提供3</w:t>
            </w:r>
            <w:r>
              <w:rPr>
                <w:rFonts w:ascii="宋体" w:hAnsi="宋体" w:cs="宋体"/>
                <w:b w:val="0"/>
                <w:bCs w:val="0"/>
                <w:kern w:val="0"/>
                <w:sz w:val="24"/>
              </w:rPr>
              <w:t>0分钟</w:t>
            </w:r>
            <w:r>
              <w:rPr>
                <w:rFonts w:hint="eastAsia" w:ascii="宋体" w:hAnsi="宋体" w:cs="宋体"/>
                <w:b w:val="0"/>
                <w:bCs w:val="0"/>
                <w:kern w:val="0"/>
                <w:sz w:val="24"/>
              </w:rPr>
              <w:t>内突发安全事件现场应急响应服务。</w:t>
            </w:r>
          </w:p>
          <w:p w14:paraId="6715E3FD">
            <w:pPr>
              <w:keepNext w:val="0"/>
              <w:keepLines w:val="0"/>
              <w:pageBreakBefore w:val="0"/>
              <w:widowControl w:val="0"/>
              <w:numPr>
                <w:ilvl w:val="0"/>
                <w:numId w:val="0"/>
              </w:numPr>
              <w:kinsoku/>
              <w:wordWrap/>
              <w:topLinePunct w:val="0"/>
              <w:bidi w:val="0"/>
              <w:spacing w:line="315" w:lineRule="atLeast"/>
              <w:ind w:leftChars="0" w:firstLine="480" w:firstLineChars="200"/>
              <w:jc w:val="left"/>
              <w:rPr>
                <w:rFonts w:hint="eastAsia" w:ascii="宋体" w:hAnsi="宋体" w:cs="宋体"/>
                <w:b w:val="0"/>
                <w:bCs w:val="0"/>
                <w:kern w:val="0"/>
                <w:sz w:val="24"/>
              </w:rPr>
            </w:pPr>
            <w:r>
              <w:rPr>
                <w:rFonts w:hint="eastAsia" w:ascii="宋体" w:hAnsi="宋体" w:cs="宋体"/>
                <w:b w:val="0"/>
                <w:bCs w:val="0"/>
                <w:kern w:val="0"/>
                <w:sz w:val="24"/>
              </w:rPr>
              <w:t>交付成果：按需提供《应急响应报告》。</w:t>
            </w:r>
          </w:p>
          <w:p w14:paraId="4C40ADD6">
            <w:pPr>
              <w:keepNext w:val="0"/>
              <w:keepLines w:val="0"/>
              <w:pageBreakBefore w:val="0"/>
              <w:widowControl w:val="0"/>
              <w:numPr>
                <w:ilvl w:val="0"/>
                <w:numId w:val="3"/>
              </w:numPr>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服务时间为1年。</w:t>
            </w:r>
          </w:p>
        </w:tc>
      </w:tr>
      <w:tr w14:paraId="18FF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71F3691">
            <w:pPr>
              <w:keepNext w:val="0"/>
              <w:keepLines w:val="0"/>
              <w:pageBreakBefore w:val="0"/>
              <w:widowControl w:val="0"/>
              <w:kinsoku/>
              <w:wordWrap/>
              <w:topLinePunct w:val="0"/>
              <w:bidi w:val="0"/>
              <w:spacing w:line="315" w:lineRule="atLeast"/>
              <w:ind w:leftChars="0"/>
              <w:jc w:val="left"/>
              <w:rPr>
                <w:rFonts w:ascii="宋体" w:hAnsi="宋体" w:cs="宋体"/>
                <w:kern w:val="0"/>
                <w:sz w:val="24"/>
              </w:rPr>
            </w:pPr>
            <w:r>
              <w:rPr>
                <w:rFonts w:hint="eastAsia" w:ascii="宋体" w:hAnsi="宋体" w:cs="宋体"/>
                <w:kern w:val="0"/>
                <w:sz w:val="24"/>
              </w:rPr>
              <w:t>4</w:t>
            </w:r>
          </w:p>
        </w:tc>
        <w:tc>
          <w:tcPr>
            <w:tcW w:w="1125" w:type="dxa"/>
            <w:vAlign w:val="center"/>
          </w:tcPr>
          <w:p w14:paraId="637D3E20">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网络安全审计系统扩容升级服务</w:t>
            </w:r>
          </w:p>
        </w:tc>
        <w:tc>
          <w:tcPr>
            <w:tcW w:w="972" w:type="dxa"/>
            <w:vAlign w:val="center"/>
          </w:tcPr>
          <w:p w14:paraId="56C54F94">
            <w:pPr>
              <w:keepNext w:val="0"/>
              <w:keepLines w:val="0"/>
              <w:pageBreakBefore w:val="0"/>
              <w:widowControl w:val="0"/>
              <w:kinsoku/>
              <w:wordWrap/>
              <w:topLinePunct w:val="0"/>
              <w:bidi w:val="0"/>
              <w:spacing w:line="315" w:lineRule="atLeast"/>
              <w:ind w:leftChars="0"/>
              <w:jc w:val="left"/>
              <w:rPr>
                <w:rFonts w:ascii="宋体" w:hAnsi="宋体" w:cs="宋体"/>
                <w:b w:val="0"/>
                <w:bCs w:val="0"/>
                <w:kern w:val="0"/>
                <w:sz w:val="24"/>
              </w:rPr>
            </w:pPr>
            <w:r>
              <w:rPr>
                <w:rFonts w:hint="eastAsia" w:ascii="宋体" w:hAnsi="宋体" w:cs="宋体"/>
                <w:b w:val="0"/>
                <w:bCs w:val="0"/>
                <w:kern w:val="0"/>
                <w:sz w:val="24"/>
              </w:rPr>
              <w:t>1项</w:t>
            </w:r>
          </w:p>
        </w:tc>
        <w:tc>
          <w:tcPr>
            <w:tcW w:w="5486" w:type="dxa"/>
            <w:vAlign w:val="center"/>
          </w:tcPr>
          <w:p w14:paraId="6A8AC791">
            <w:pPr>
              <w:keepNext w:val="0"/>
              <w:keepLines w:val="0"/>
              <w:pageBreakBefore w:val="0"/>
              <w:widowControl w:val="0"/>
              <w:kinsoku/>
              <w:wordWrap/>
              <w:topLinePunct w:val="0"/>
              <w:bidi w:val="0"/>
              <w:spacing w:line="315" w:lineRule="atLeast"/>
              <w:ind w:leftChars="0" w:firstLine="480" w:firstLineChars="200"/>
              <w:jc w:val="left"/>
              <w:rPr>
                <w:rFonts w:ascii="宋体" w:hAnsi="宋体" w:cs="宋体"/>
                <w:b w:val="0"/>
                <w:bCs w:val="0"/>
                <w:kern w:val="0"/>
                <w:sz w:val="24"/>
              </w:rPr>
            </w:pPr>
            <w:r>
              <w:rPr>
                <w:rFonts w:hint="eastAsia" w:ascii="宋体" w:hAnsi="宋体" w:cs="宋体"/>
                <w:b w:val="0"/>
                <w:bCs w:val="0"/>
                <w:kern w:val="0"/>
                <w:sz w:val="24"/>
              </w:rPr>
              <w:t>对现有无线区域的网络安全审计系统提供设备扩容升级服务并完成旧设备日志、用户账号信息迁移，升级后的设备性能满足以下要求：</w:t>
            </w:r>
          </w:p>
          <w:p w14:paraId="2EC00EA9">
            <w:pPr>
              <w:keepNext w:val="0"/>
              <w:keepLines w:val="0"/>
              <w:pageBreakBefore w:val="0"/>
              <w:widowControl w:val="0"/>
              <w:kinsoku/>
              <w:wordWrap/>
              <w:topLinePunct w:val="0"/>
              <w:bidi w:val="0"/>
              <w:spacing w:line="315" w:lineRule="atLeast"/>
              <w:ind w:leftChars="0" w:firstLine="480" w:firstLineChars="200"/>
              <w:jc w:val="left"/>
              <w:rPr>
                <w:rFonts w:ascii="宋体" w:hAnsi="宋体" w:cs="宋体"/>
                <w:b w:val="0"/>
                <w:bCs w:val="0"/>
                <w:kern w:val="0"/>
                <w:sz w:val="24"/>
              </w:rPr>
            </w:pPr>
            <w:r>
              <w:rPr>
                <w:rFonts w:ascii="宋体" w:hAnsi="宋体" w:cs="宋体"/>
                <w:b w:val="0"/>
                <w:bCs w:val="0"/>
                <w:kern w:val="0"/>
                <w:sz w:val="24"/>
              </w:rPr>
              <w:t>模块化设计，</w:t>
            </w:r>
            <w:r>
              <w:rPr>
                <w:rFonts w:hint="eastAsia" w:ascii="宋体" w:hAnsi="宋体" w:cs="宋体"/>
                <w:b w:val="0"/>
                <w:bCs w:val="0"/>
                <w:kern w:val="0"/>
                <w:sz w:val="24"/>
                <w:lang w:val="en-US" w:eastAsia="zh-CN"/>
              </w:rPr>
              <w:t>提供</w:t>
            </w:r>
            <w:r>
              <w:rPr>
                <w:rFonts w:ascii="宋体" w:hAnsi="宋体" w:cs="宋体"/>
                <w:b w:val="0"/>
                <w:bCs w:val="0"/>
                <w:kern w:val="0"/>
                <w:sz w:val="24"/>
              </w:rPr>
              <w:t>千兆电口、千兆SFP接口、</w:t>
            </w:r>
            <w:r>
              <w:rPr>
                <w:rFonts w:ascii="宋体" w:hAnsi="宋体" w:cs="宋体"/>
                <w:b w:val="0"/>
                <w:bCs w:val="0"/>
                <w:strike w:val="0"/>
                <w:dstrike w:val="0"/>
                <w:kern w:val="0"/>
                <w:sz w:val="24"/>
              </w:rPr>
              <w:t>扩展槽</w:t>
            </w:r>
            <w:r>
              <w:rPr>
                <w:rFonts w:ascii="宋体" w:hAnsi="宋体" w:cs="宋体"/>
                <w:b w:val="0"/>
                <w:bCs w:val="0"/>
                <w:kern w:val="0"/>
                <w:sz w:val="24"/>
              </w:rPr>
              <w:t>。适用带宽</w:t>
            </w:r>
            <w:r>
              <w:rPr>
                <w:rFonts w:hint="eastAsia" w:ascii="宋体" w:hAnsi="宋体" w:cs="宋体"/>
                <w:b w:val="0"/>
                <w:bCs w:val="0"/>
                <w:kern w:val="0"/>
                <w:sz w:val="24"/>
                <w:lang w:val="en-US" w:eastAsia="zh-CN"/>
              </w:rPr>
              <w:t>不小于</w:t>
            </w:r>
            <w:r>
              <w:rPr>
                <w:rFonts w:ascii="宋体" w:hAnsi="宋体" w:cs="宋体"/>
                <w:b w:val="0"/>
                <w:bCs w:val="0"/>
                <w:kern w:val="0"/>
                <w:sz w:val="24"/>
              </w:rPr>
              <w:t>1000M，网络吞吐量</w:t>
            </w:r>
            <w:r>
              <w:rPr>
                <w:rFonts w:hint="eastAsia" w:ascii="宋体" w:hAnsi="宋体" w:cs="宋体"/>
                <w:b w:val="0"/>
                <w:bCs w:val="0"/>
                <w:kern w:val="0"/>
                <w:sz w:val="24"/>
                <w:lang w:val="en-US" w:eastAsia="zh-CN"/>
              </w:rPr>
              <w:t>大小于</w:t>
            </w:r>
            <w:r>
              <w:rPr>
                <w:rFonts w:ascii="宋体" w:hAnsi="宋体" w:cs="宋体"/>
                <w:b w:val="0"/>
                <w:bCs w:val="0"/>
                <w:kern w:val="0"/>
                <w:sz w:val="24"/>
              </w:rPr>
              <w:t>8G，最大并发连接数</w:t>
            </w:r>
            <w:r>
              <w:rPr>
                <w:rFonts w:hint="eastAsia" w:ascii="宋体" w:hAnsi="宋体" w:cs="宋体"/>
                <w:b w:val="0"/>
                <w:bCs w:val="0"/>
                <w:kern w:val="0"/>
                <w:sz w:val="24"/>
                <w:lang w:val="en-US" w:eastAsia="zh-CN"/>
              </w:rPr>
              <w:t>不少于</w:t>
            </w:r>
            <w:r>
              <w:rPr>
                <w:rFonts w:ascii="宋体" w:hAnsi="宋体" w:cs="宋体"/>
                <w:b w:val="0"/>
                <w:bCs w:val="0"/>
                <w:kern w:val="0"/>
                <w:sz w:val="24"/>
              </w:rPr>
              <w:t>160万，每秒最大新建连接数</w:t>
            </w:r>
            <w:r>
              <w:rPr>
                <w:rFonts w:hint="eastAsia" w:ascii="宋体" w:hAnsi="宋体" w:cs="宋体"/>
                <w:b w:val="0"/>
                <w:bCs w:val="0"/>
                <w:kern w:val="0"/>
                <w:sz w:val="24"/>
              </w:rPr>
              <w:t>不低于</w:t>
            </w:r>
            <w:r>
              <w:rPr>
                <w:rFonts w:ascii="宋体" w:hAnsi="宋体" w:cs="宋体"/>
                <w:b w:val="0"/>
                <w:bCs w:val="0"/>
                <w:kern w:val="0"/>
                <w:sz w:val="24"/>
              </w:rPr>
              <w:t>50000</w:t>
            </w:r>
            <w:r>
              <w:rPr>
                <w:rFonts w:hint="eastAsia" w:ascii="宋体" w:hAnsi="宋体" w:cs="宋体"/>
                <w:b w:val="0"/>
                <w:bCs w:val="0"/>
                <w:kern w:val="0"/>
                <w:sz w:val="24"/>
              </w:rPr>
              <w:t>。</w:t>
            </w:r>
          </w:p>
        </w:tc>
      </w:tr>
    </w:tbl>
    <w:p w14:paraId="1D40D647">
      <w:pPr>
        <w:rPr>
          <w:rFonts w:hint="eastAsia" w:ascii="宋体" w:hAnsi="宋体" w:cs="宋体"/>
          <w:sz w:val="28"/>
          <w:szCs w:val="28"/>
        </w:rPr>
      </w:pPr>
    </w:p>
    <w:p w14:paraId="4E3F3A13">
      <w:pPr>
        <w:rPr>
          <w:rFonts w:hint="eastAsia" w:ascii="宋体" w:hAnsi="宋体" w:cs="宋体"/>
          <w:sz w:val="28"/>
          <w:szCs w:val="28"/>
        </w:rPr>
      </w:pPr>
    </w:p>
    <w:p w14:paraId="103C8F15">
      <w:pPr>
        <w:rPr>
          <w:rFonts w:ascii="宋体" w:hAnsi="宋体" w:cs="宋体"/>
          <w:sz w:val="28"/>
          <w:szCs w:val="28"/>
        </w:rPr>
      </w:pPr>
      <w:r>
        <w:rPr>
          <w:rFonts w:hint="eastAsia" w:ascii="宋体" w:hAnsi="宋体" w:cs="宋体"/>
          <w:sz w:val="28"/>
          <w:szCs w:val="28"/>
        </w:rPr>
        <w:br w:type="page"/>
      </w:r>
    </w:p>
    <w:p w14:paraId="7E49C150">
      <w:pPr>
        <w:pStyle w:val="2"/>
        <w:widowControl w:val="0"/>
        <w:numPr>
          <w:ilvl w:val="0"/>
          <w:numId w:val="4"/>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14:paraId="6E8A0C1A">
      <w:pPr>
        <w:keepNext w:val="0"/>
        <w:keepLines w:val="0"/>
        <w:pageBreakBefore w:val="0"/>
        <w:widowControl w:val="0"/>
        <w:kinsoku/>
        <w:wordWrap/>
        <w:topLinePunct w:val="0"/>
        <w:bidi w:val="0"/>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1.按照《网络安全法》、等级保护等相关要求进行规划和建设；符合《信息安全技术网络安全等级保护基本要求》GB/T22239-2019（三级）要求（下文简称：三级等保），并在三级等保测评中协助完成测评工作。</w:t>
      </w:r>
    </w:p>
    <w:p w14:paraId="71E72C4B">
      <w:pPr>
        <w:keepNext w:val="0"/>
        <w:keepLines w:val="0"/>
        <w:pageBreakBefore w:val="0"/>
        <w:widowControl w:val="0"/>
        <w:kinsoku/>
        <w:wordWrap/>
        <w:topLinePunct w:val="0"/>
        <w:bidi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2.项目实施应尽可能小地影响系统和网络的正常运行，不能对现有网络的运行和业务的正常提供产生显著影响(包括系统性能明显下降、网络拥塞、服务中断等)；</w:t>
      </w:r>
    </w:p>
    <w:p w14:paraId="186CF2C0">
      <w:pPr>
        <w:keepNext w:val="0"/>
        <w:keepLines w:val="0"/>
        <w:pageBreakBefore w:val="0"/>
        <w:widowControl w:val="0"/>
        <w:kinsoku/>
        <w:wordWrap/>
        <w:topLinePunct w:val="0"/>
        <w:bidi w:val="0"/>
        <w:spacing w:line="59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3.对服务过程中的过程数据和结果数据严格保密，未经授权不泄露给任何单位和个人，不利用此数据进行任何侵害用户单位的行为。</w:t>
      </w:r>
    </w:p>
    <w:p w14:paraId="3AA66777">
      <w:pPr>
        <w:pStyle w:val="2"/>
        <w:rPr>
          <w:rFonts w:hint="eastAsia" w:ascii="仿宋_GB2312" w:hAnsi="仿宋_GB2312" w:eastAsia="仿宋_GB2312" w:cs="仿宋_GB2312"/>
          <w:color w:val="000000"/>
          <w:kern w:val="0"/>
          <w:sz w:val="32"/>
          <w:szCs w:val="32"/>
        </w:rPr>
      </w:pPr>
    </w:p>
    <w:p w14:paraId="70E9737D">
      <w:pPr>
        <w:pStyle w:val="2"/>
        <w:widowControl w:val="0"/>
        <w:numPr>
          <w:ilvl w:val="0"/>
          <w:numId w:val="4"/>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14:paraId="06A6A7B4">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14:paraId="1EDDF226">
      <w:pPr>
        <w:widowControl/>
        <w:numPr>
          <w:ilvl w:val="0"/>
          <w:numId w:val="5"/>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14:paraId="0D648193">
      <w:pPr>
        <w:pStyle w:val="2"/>
        <w:numPr>
          <w:ilvl w:val="0"/>
          <w:numId w:val="0"/>
        </w:numPr>
        <w:wordWrap/>
        <w:spacing w:before="0" w:after="0" w:line="360" w:lineRule="auto"/>
        <w:ind w:left="0" w:leftChars="0" w:right="0"/>
        <w:rPr>
          <w:rFonts w:hint="eastAsia"/>
          <w:lang w:eastAsia="zh-CN"/>
        </w:rPr>
      </w:pPr>
    </w:p>
    <w:p w14:paraId="13B40ED1">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5035A4D3">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11E8FFD5">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14:paraId="08806B2F">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14:paraId="05BB2D73">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14:paraId="718E7794">
      <w:pPr>
        <w:pStyle w:val="2"/>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46E28F71">
      <w:pPr>
        <w:pStyle w:val="2"/>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0C32468">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14:paraId="24368782">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14:paraId="79CABBCC">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7"/>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0996F6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EA50728">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438DF7F">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C544D55">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AC9DE4A">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14:paraId="6DC949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228EF93">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DD0A8E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6459D2D">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9BBD3E5">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14:paraId="597539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0BF1DAE2">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3290190">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D6C5551">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62CAF82">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14:paraId="75B340CD">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76671FA3">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442831B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14:paraId="1870D0E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14:paraId="19E65258">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14:paraId="337A726B">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14:paraId="0DC28CEC">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14:paraId="6D9FA03A">
      <w:pPr>
        <w:pStyle w:val="2"/>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14:paraId="1CD63C5A">
      <w:pPr>
        <w:pStyle w:val="2"/>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14:paraId="0AABB525">
      <w:pPr>
        <w:pStyle w:val="2"/>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14:paraId="4BF28CD0">
      <w:pPr>
        <w:pStyle w:val="2"/>
        <w:rPr>
          <w:rFonts w:hint="eastAsia" w:ascii="仿宋_GB2312" w:hAnsi="仿宋_GB2312" w:eastAsia="仿宋_GB2312" w:cs="仿宋_GB2312"/>
          <w:color w:val="000000"/>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A8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D932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D932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6298">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DA737"/>
    <w:multiLevelType w:val="singleLevel"/>
    <w:tmpl w:val="CCCDA737"/>
    <w:lvl w:ilvl="0" w:tentative="0">
      <w:start w:val="1"/>
      <w:numFmt w:val="decimal"/>
      <w:lvlText w:val="%1."/>
      <w:lvlJc w:val="left"/>
      <w:pPr>
        <w:tabs>
          <w:tab w:val="left" w:pos="312"/>
        </w:tabs>
      </w:pPr>
    </w:lvl>
  </w:abstractNum>
  <w:abstractNum w:abstractNumId="1">
    <w:nsid w:val="4295E4BE"/>
    <w:multiLevelType w:val="singleLevel"/>
    <w:tmpl w:val="4295E4BE"/>
    <w:lvl w:ilvl="0" w:tentative="0">
      <w:start w:val="4"/>
      <w:numFmt w:val="decimal"/>
      <w:suff w:val="nothing"/>
      <w:lvlText w:val="%1、"/>
      <w:lvlJc w:val="left"/>
    </w:lvl>
  </w:abstractNum>
  <w:abstractNum w:abstractNumId="2">
    <w:nsid w:val="53551602"/>
    <w:multiLevelType w:val="singleLevel"/>
    <w:tmpl w:val="53551602"/>
    <w:lvl w:ilvl="0" w:tentative="0">
      <w:start w:val="3"/>
      <w:numFmt w:val="chineseCounting"/>
      <w:suff w:val="nothing"/>
      <w:lvlText w:val="%1、"/>
      <w:lvlJc w:val="left"/>
      <w:rPr>
        <w:rFonts w:hint="eastAsia"/>
      </w:rPr>
    </w:lvl>
  </w:abstractNum>
  <w:abstractNum w:abstractNumId="3">
    <w:nsid w:val="67B4397F"/>
    <w:multiLevelType w:val="singleLevel"/>
    <w:tmpl w:val="67B4397F"/>
    <w:lvl w:ilvl="0" w:tentative="0">
      <w:start w:val="1"/>
      <w:numFmt w:val="decimal"/>
      <w:suff w:val="nothing"/>
      <w:lvlText w:val="%1、"/>
      <w:lvlJc w:val="left"/>
    </w:lvl>
  </w:abstractNum>
  <w:abstractNum w:abstractNumId="4">
    <w:nsid w:val="6987EA66"/>
    <w:multiLevelType w:val="singleLevel"/>
    <w:tmpl w:val="6987EA66"/>
    <w:lvl w:ilvl="0" w:tentative="0">
      <w:start w:val="2"/>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A1"/>
    <w:rsid w:val="00036B2E"/>
    <w:rsid w:val="00062341"/>
    <w:rsid w:val="001F3146"/>
    <w:rsid w:val="002C3B99"/>
    <w:rsid w:val="002C4CF6"/>
    <w:rsid w:val="003B0B55"/>
    <w:rsid w:val="00473F10"/>
    <w:rsid w:val="004C004C"/>
    <w:rsid w:val="004D1FC0"/>
    <w:rsid w:val="005010D2"/>
    <w:rsid w:val="0050351A"/>
    <w:rsid w:val="00517C37"/>
    <w:rsid w:val="005825D6"/>
    <w:rsid w:val="00644F97"/>
    <w:rsid w:val="0072159A"/>
    <w:rsid w:val="007A0EE5"/>
    <w:rsid w:val="008425EF"/>
    <w:rsid w:val="008D41A1"/>
    <w:rsid w:val="00A0397E"/>
    <w:rsid w:val="00AA421C"/>
    <w:rsid w:val="00CD21D2"/>
    <w:rsid w:val="00DF386F"/>
    <w:rsid w:val="09462CBE"/>
    <w:rsid w:val="19A6429B"/>
    <w:rsid w:val="2AB66315"/>
    <w:rsid w:val="3A5D01E7"/>
    <w:rsid w:val="3ABE48E3"/>
    <w:rsid w:val="3DAC723C"/>
    <w:rsid w:val="41C221AA"/>
    <w:rsid w:val="67440B13"/>
    <w:rsid w:val="69AB4284"/>
    <w:rsid w:val="71DC6704"/>
    <w:rsid w:val="75F9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rFonts w:eastAsia="仿宋_GB2312"/>
      <w:kern w:val="28"/>
      <w:sz w:val="24"/>
      <w:szCs w:val="20"/>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line="336" w:lineRule="auto"/>
      <w:jc w:val="left"/>
    </w:pPr>
    <w:rPr>
      <w:rFonts w:ascii="宋体" w:hAnsi="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1909</Words>
  <Characters>2041</Characters>
  <Lines>115</Lines>
  <Paragraphs>62</Paragraphs>
  <TotalTime>0</TotalTime>
  <ScaleCrop>false</ScaleCrop>
  <LinksUpToDate>false</LinksUpToDate>
  <CharactersWithSpaces>2084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2025-05-14T09:53:00Z</dcterms:created>
  <dc:creator>Administrator</dc:creator>
  <cp:lastModifiedBy>网络办金</cp:lastModifiedBy>
  <dcterms:modified xsi:type="dcterms:W3CDTF">2025-06-04T02:30:26Z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eyJoZGlkIjoiMzcyYzQ4MzExOWIxM2ZmZWE3MDIzNjczNzVlZjFmOWYiLCJ1c2VySWQiOiIxNzAwODQwNTc2In0=</vt:lpwstr>
  </property>
  <property fmtid="{D5CDD505-2E9C-101B-9397-08002B2CF9AE}" pid="3" name="KSOProductBuildVer">
    <vt:lpwstr>2052-12.1.0.20784</vt:lpwstr>
  </property>
  <property fmtid="{D5CDD505-2E9C-101B-9397-08002B2CF9AE}" pid="4" name="ICV">
    <vt:lpwstr>76A37FC18FE5443B8D485A1510FEFB40_13</vt:lpwstr>
  </property>
</Properties>
</file>