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8D169">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bookmarkStart w:id="2" w:name="_GoBack"/>
      <w:bookmarkEnd w:id="2"/>
      <w:r>
        <w:rPr>
          <w:rFonts w:hint="eastAsia" w:ascii="方正小标宋简体" w:hAnsi="方正小标宋简体" w:eastAsia="方正小标宋简体" w:cs="方正小标宋简体"/>
          <w:b w:val="0"/>
          <w:kern w:val="2"/>
          <w:sz w:val="44"/>
          <w:szCs w:val="44"/>
          <w:lang w:val="en-US" w:eastAsia="zh-CN"/>
        </w:rPr>
        <w:t>福建省肿瘤医院</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14:paraId="3ABB2580">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6"/>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5F4B0B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C9DFD7">
            <w:pPr>
              <w:pStyle w:val="5"/>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4A9B081">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5BAB4A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B0084F">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8E422B">
            <w:pPr>
              <w:widowControl/>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肿瘤大数据平台</w:t>
            </w:r>
          </w:p>
        </w:tc>
      </w:tr>
      <w:tr w14:paraId="660920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E91D41C">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3E92EA2">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 xml:space="preserve">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12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14:paraId="43D990EB">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14:paraId="283427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7F56C4">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8C27308">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14:paraId="30D36B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EE21F4">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9477E54">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14:paraId="34C978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8B85806">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B52A07">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14:paraId="781CDF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006315E">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BD064B">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14:paraId="288F730F">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14:paraId="1E958775">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14:paraId="21DAD3EA">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14:paraId="765E0B3B">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14:paraId="3F67B70E">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14:paraId="3D242F5C">
      <w:pPr>
        <w:widowControl/>
        <w:shd w:val="clear" w:color="auto" w:fill="FFFFFF"/>
        <w:wordWrap/>
        <w:spacing w:before="0" w:after="0" w:line="360" w:lineRule="auto"/>
        <w:ind w:left="0" w:leftChars="0" w:right="0"/>
        <w:jc w:val="both"/>
        <w:rPr>
          <w:rFonts w:hint="default"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郑工</w:t>
      </w:r>
    </w:p>
    <w:p w14:paraId="20FA7A12">
      <w:pPr>
        <w:pStyle w:val="2"/>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A144C82">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14:paraId="5FB3B49C">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6"/>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14:paraId="4693F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14:paraId="4C8848A5">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178" w:type="dxa"/>
            <w:vAlign w:val="center"/>
          </w:tcPr>
          <w:p w14:paraId="1589E7AF">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14:paraId="3225B60C">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14:paraId="3F199DDB">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14:paraId="661D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exact"/>
        </w:trPr>
        <w:tc>
          <w:tcPr>
            <w:tcW w:w="2697" w:type="dxa"/>
            <w:vAlign w:val="center"/>
          </w:tcPr>
          <w:p w14:paraId="1FDA24EB">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178" w:type="dxa"/>
            <w:vAlign w:val="center"/>
          </w:tcPr>
          <w:p w14:paraId="5669A04E">
            <w:pPr>
              <w:widowControl/>
              <w:wordWrap/>
              <w:spacing w:before="0" w:after="0" w:line="360" w:lineRule="auto"/>
              <w:ind w:left="0" w:leftChars="0" w:right="0"/>
              <w:jc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000000"/>
                <w:kern w:val="0"/>
                <w:sz w:val="32"/>
                <w:szCs w:val="32"/>
                <w:lang w:val="en-US" w:eastAsia="zh-CN"/>
              </w:rPr>
              <w:t>肿瘤大数据平台</w:t>
            </w:r>
          </w:p>
        </w:tc>
        <w:tc>
          <w:tcPr>
            <w:tcW w:w="1590" w:type="dxa"/>
            <w:vAlign w:val="center"/>
          </w:tcPr>
          <w:p w14:paraId="76BB21CF">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vAlign w:val="center"/>
          </w:tcPr>
          <w:p w14:paraId="1B766CED">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150</w:t>
            </w:r>
          </w:p>
        </w:tc>
      </w:tr>
    </w:tbl>
    <w:p w14:paraId="38ED3C46">
      <w:pPr>
        <w:rPr>
          <w:rFonts w:hint="eastAsia"/>
          <w:lang w:val="en-US" w:eastAsia="zh-CN"/>
        </w:rPr>
      </w:pPr>
    </w:p>
    <w:p w14:paraId="5A3D1100">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14:paraId="37AA6B89">
      <w:pPr>
        <w:pStyle w:val="2"/>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7"/>
        <w:tblW w:w="9002"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77"/>
        <w:gridCol w:w="5975"/>
      </w:tblGrid>
      <w:tr w14:paraId="3F65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269C6AF">
            <w:pPr>
              <w:wordWrap/>
              <w:spacing w:before="0" w:after="0" w:line="360" w:lineRule="auto"/>
              <w:ind w:left="0" w:leftChars="0" w:right="0" w:rightChars="0"/>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28"/>
                <w:szCs w:val="28"/>
                <w:lang w:val="en-US" w:eastAsia="zh-CN"/>
              </w:rPr>
              <w:t>序号</w:t>
            </w:r>
          </w:p>
        </w:tc>
        <w:tc>
          <w:tcPr>
            <w:tcW w:w="1977" w:type="dxa"/>
            <w:vAlign w:val="center"/>
          </w:tcPr>
          <w:p w14:paraId="00271448">
            <w:pPr>
              <w:wordWrap/>
              <w:spacing w:before="0" w:after="0" w:line="360" w:lineRule="auto"/>
              <w:ind w:left="0" w:leftChars="0" w:right="0" w:rightChars="0"/>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28"/>
                <w:szCs w:val="28"/>
                <w:lang w:val="en-US" w:eastAsia="zh-CN"/>
              </w:rPr>
              <w:t>项目</w:t>
            </w:r>
          </w:p>
        </w:tc>
        <w:tc>
          <w:tcPr>
            <w:tcW w:w="5975" w:type="dxa"/>
            <w:vAlign w:val="center"/>
          </w:tcPr>
          <w:p w14:paraId="37A4EDB5">
            <w:pPr>
              <w:wordWrap/>
              <w:spacing w:before="0" w:after="0" w:line="360" w:lineRule="auto"/>
              <w:ind w:left="0" w:leftChars="0" w:right="0" w:rightChars="0"/>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28"/>
                <w:szCs w:val="28"/>
                <w:lang w:val="en-US" w:eastAsia="zh-CN"/>
              </w:rPr>
              <w:t>技术参数要求</w:t>
            </w:r>
          </w:p>
        </w:tc>
      </w:tr>
      <w:tr w14:paraId="18A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699E57B">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977" w:type="dxa"/>
          </w:tcPr>
          <w:p w14:paraId="017B9974">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元数据管理</w:t>
            </w:r>
          </w:p>
        </w:tc>
        <w:tc>
          <w:tcPr>
            <w:tcW w:w="5975" w:type="dxa"/>
          </w:tcPr>
          <w:p w14:paraId="243745AD">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28"/>
                <w:szCs w:val="28"/>
                <w:lang w:val="en-US" w:eastAsia="zh-CN"/>
              </w:rPr>
              <w:t>提供元数据的创建、删除、检索、上传下载等功能，支持元数据设计、术语服务集成、分类管理及多种检索方式（关键词检索、全文检索等），确保元数据功能完整且覆盖标准。</w:t>
            </w:r>
          </w:p>
        </w:tc>
      </w:tr>
      <w:tr w14:paraId="322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C5B6FCC">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977" w:type="dxa"/>
          </w:tcPr>
          <w:p w14:paraId="30B8FABC">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大数据治理模型管理</w:t>
            </w:r>
          </w:p>
        </w:tc>
        <w:tc>
          <w:tcPr>
            <w:tcW w:w="5975" w:type="dxa"/>
          </w:tcPr>
          <w:p w14:paraId="0C98F660">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支持数据建模空间管理、医疗数据模型设计、模型差异稽核、变更管控及版本管理，提供模板编辑和导入导出功能，确保数据模型与架构一致，提升数据质量。</w:t>
            </w:r>
          </w:p>
        </w:tc>
      </w:tr>
      <w:tr w14:paraId="0E4C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D497F7B">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977" w:type="dxa"/>
          </w:tcPr>
          <w:p w14:paraId="1AAEA7B2">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大数据平台存储管理</w:t>
            </w:r>
          </w:p>
        </w:tc>
        <w:tc>
          <w:tcPr>
            <w:tcW w:w="5975" w:type="dxa"/>
          </w:tcPr>
          <w:p w14:paraId="1DA1484A">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实现模型转化为关系数据库的能力，支持临床信息数据库建设、数据分层架构设计及专科专病数据仓库建设，具备数据量监控和异常数据检测功能。</w:t>
            </w:r>
          </w:p>
        </w:tc>
      </w:tr>
      <w:tr w14:paraId="0149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ADCA9D9">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977" w:type="dxa"/>
          </w:tcPr>
          <w:p w14:paraId="74A8F0C8">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大数据集成抽取引擎</w:t>
            </w:r>
          </w:p>
        </w:tc>
        <w:tc>
          <w:tcPr>
            <w:tcW w:w="5975" w:type="dxa"/>
          </w:tcPr>
          <w:p w14:paraId="41B4BC8E">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提供可视化集成开发功能，支持多种数据源连接（如TCP/IP、HL7等）、消息中间件能力及数据采集功能，确保数据完整性和一致性，支持结构化和非结构化数据处理。</w:t>
            </w:r>
          </w:p>
        </w:tc>
      </w:tr>
      <w:tr w14:paraId="00C9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EAFA406">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977" w:type="dxa"/>
          </w:tcPr>
          <w:p w14:paraId="174B78F8">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bookmarkStart w:id="0" w:name="OLE_LINK4"/>
            <w:r>
              <w:rPr>
                <w:rFonts w:hint="eastAsia" w:ascii="仿宋_GB2312" w:hAnsi="仿宋_GB2312" w:eastAsia="仿宋_GB2312" w:cs="仿宋_GB2312"/>
                <w:sz w:val="28"/>
                <w:szCs w:val="28"/>
                <w:lang w:val="en-US" w:eastAsia="zh-CN"/>
              </w:rPr>
              <w:t>大数据质量规则管理</w:t>
            </w:r>
            <w:bookmarkEnd w:id="0"/>
          </w:p>
        </w:tc>
        <w:tc>
          <w:tcPr>
            <w:tcW w:w="5975" w:type="dxa"/>
          </w:tcPr>
          <w:p w14:paraId="39819D8C">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管理数据质量规则，按完整性、合理性等维度分类，支持规则自动同步、自定义规则项及手动同步，提供规则推荐功能，确保数据质量可控。</w:t>
            </w:r>
          </w:p>
        </w:tc>
      </w:tr>
      <w:tr w14:paraId="33A3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5152B05">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977" w:type="dxa"/>
          </w:tcPr>
          <w:p w14:paraId="123610AE">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数据质量评估</w:t>
            </w:r>
          </w:p>
        </w:tc>
        <w:tc>
          <w:tcPr>
            <w:tcW w:w="5975" w:type="dxa"/>
          </w:tcPr>
          <w:p w14:paraId="41A68CDF">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支持评估任务定制、执行流程管理及结果报告生成，提供数据质量评分和治理建议，支持通过邮件、短信等方式发送预警信息。</w:t>
            </w:r>
          </w:p>
        </w:tc>
      </w:tr>
      <w:tr w14:paraId="3C07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6054EB6">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977" w:type="dxa"/>
          </w:tcPr>
          <w:p w14:paraId="33FB5B3C">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大数据治理</w:t>
            </w:r>
          </w:p>
        </w:tc>
        <w:tc>
          <w:tcPr>
            <w:tcW w:w="5975" w:type="dxa"/>
          </w:tcPr>
          <w:p w14:paraId="5719F901">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实现治理任务管理、数据搜索、清理和调整功能，支持数据输出到文件或数据库，提供工具箱调用（如术语映射、脚本等），确保数据治理流程高效。</w:t>
            </w:r>
          </w:p>
        </w:tc>
      </w:tr>
      <w:tr w14:paraId="2F22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05CA64B">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977" w:type="dxa"/>
          </w:tcPr>
          <w:p w14:paraId="4CE7DA5F">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肿瘤数据子集建设</w:t>
            </w:r>
          </w:p>
        </w:tc>
        <w:tc>
          <w:tcPr>
            <w:tcW w:w="5975" w:type="dxa"/>
          </w:tcPr>
          <w:p w14:paraId="3E534846">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肝癌、宫颈癌、胃癌、肺癌、乳腺癌、结直肠癌、黑色素瘤、甲状腺癌、食管癌、前列腺癌、鼻咽癌等病种构建基础数据集和个性化数据集，涵盖人口信息、临床诊断、检验、影像等维度，支持结构化处理和定制化需求。</w:t>
            </w:r>
          </w:p>
        </w:tc>
      </w:tr>
      <w:tr w14:paraId="47A6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2F70D55">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977" w:type="dxa"/>
          </w:tcPr>
          <w:p w14:paraId="47EC9066">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病例全息视图</w:t>
            </w:r>
          </w:p>
        </w:tc>
        <w:tc>
          <w:tcPr>
            <w:tcW w:w="5975" w:type="dxa"/>
          </w:tcPr>
          <w:p w14:paraId="4BFF7033">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以患者为核心，整合诊疗、临床等数据，提供时间轴视图、全息视图和摘要视图，支持图形化管理和多院区应用，便于科研和临床使用。</w:t>
            </w:r>
          </w:p>
        </w:tc>
      </w:tr>
      <w:tr w14:paraId="0D1F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1C99FAA">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977" w:type="dxa"/>
          </w:tcPr>
          <w:p w14:paraId="6CF98432">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center"/>
              <w:textAlignment w:val="auto"/>
              <w:rPr>
                <w:rFonts w:hint="eastAsia" w:ascii="仿宋_GB2312" w:hAnsi="仿宋_GB2312" w:eastAsia="仿宋_GB2312" w:cs="仿宋_GB2312"/>
                <w:sz w:val="28"/>
                <w:szCs w:val="28"/>
                <w:lang w:val="en-US" w:eastAsia="zh-CN"/>
              </w:rPr>
            </w:pPr>
            <w:bookmarkStart w:id="1" w:name="OLE_LINK5"/>
            <w:r>
              <w:rPr>
                <w:rFonts w:hint="eastAsia" w:ascii="仿宋_GB2312" w:hAnsi="仿宋_GB2312" w:eastAsia="仿宋_GB2312" w:cs="仿宋_GB2312"/>
                <w:sz w:val="28"/>
                <w:szCs w:val="28"/>
                <w:lang w:val="en-US" w:eastAsia="zh-CN"/>
              </w:rPr>
              <w:t>大数据检索系统</w:t>
            </w:r>
            <w:bookmarkEnd w:id="1"/>
          </w:p>
        </w:tc>
        <w:tc>
          <w:tcPr>
            <w:tcW w:w="5975" w:type="dxa"/>
          </w:tcPr>
          <w:p w14:paraId="252CC3E3">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支持自定义检索条件（全文检索、拼音检索等）、组合检索和数据过滤，提供隐私安全设置（如脱敏处理）和日志审计功能，确保检索高效且安全。</w:t>
            </w:r>
          </w:p>
        </w:tc>
      </w:tr>
    </w:tbl>
    <w:p w14:paraId="581BFB8C">
      <w:pPr>
        <w:numPr>
          <w:ilvl w:val="0"/>
          <w:numId w:val="0"/>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p>
    <w:p w14:paraId="3793A6B5">
      <w:pPr>
        <w:numPr>
          <w:ilvl w:val="0"/>
          <w:numId w:val="1"/>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14:paraId="106FD64F">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本项目系统须同时覆盖我院滨海院区，功能与技术要求与本部院区一致。应结合我院实际医疗及管理需要，对系统进行客户化修改，包括但不限于结合医院实际管理需求。</w:t>
      </w:r>
    </w:p>
    <w:p w14:paraId="0E934F6A">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及前端国产化工作站。同时本项目验收前须提供有资质的第三方公司开展的密码应用安全性测评、信息技术应用创新符合性测试，并提供相关的证明。暂时未能实现的，后续政策要求时不再另行收费，并在投标文件中出具承诺函。</w:t>
      </w:r>
    </w:p>
    <w:p w14:paraId="51C36243">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本项目需符合《信息安全技术网络安全等级保护基本要求》GB/T22239-2019（三级）要求（下文简称：三级等保2.0）及密码应用安全性评估，并在以上评审中协助完成本系统评审工作。</w:t>
      </w:r>
    </w:p>
    <w:p w14:paraId="6CB4AD62">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22138695">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14:paraId="1A0706CD">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14:paraId="40CA831F">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28F3650D">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14:paraId="0E49B65A">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1FD43FC7">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240CA1C9">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14:paraId="1B50EE67">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14:paraId="12D5C053">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本项目系统在软件使用及维保有效期内，在每个使用科室使用的终端数量不受限制，数据不得加密，不得使用加密狗、打印加密、功能加密等任何软件使用约束。</w:t>
      </w:r>
    </w:p>
    <w:p w14:paraId="637364E6">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14:paraId="4A569922">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14:paraId="538967EF">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14:paraId="5FE66269">
      <w:pPr>
        <w:pStyle w:val="9"/>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14:paraId="75DCB1BB">
      <w:pPr>
        <w:pStyle w:val="9"/>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14:paraId="4CD41E1B">
      <w:pPr>
        <w:pStyle w:val="2"/>
        <w:widowControl w:val="0"/>
        <w:numPr>
          <w:ilvl w:val="0"/>
          <w:numId w:val="1"/>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14:paraId="4D30056C">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14:paraId="0CD3CE2F">
      <w:pPr>
        <w:widowControl/>
        <w:numPr>
          <w:ilvl w:val="0"/>
          <w:numId w:val="3"/>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14:paraId="1D78BD22">
      <w:pPr>
        <w:pStyle w:val="2"/>
        <w:numPr>
          <w:ilvl w:val="0"/>
          <w:numId w:val="0"/>
        </w:numPr>
        <w:wordWrap/>
        <w:spacing w:before="0" w:after="0" w:line="360" w:lineRule="auto"/>
        <w:ind w:left="0" w:leftChars="0" w:right="0"/>
        <w:rPr>
          <w:rFonts w:hint="eastAsia"/>
          <w:lang w:eastAsia="zh-CN"/>
        </w:rPr>
      </w:pPr>
    </w:p>
    <w:p w14:paraId="2D067F5E">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7B1A3103">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7E93014E">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14:paraId="7AFB7C2B">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14:paraId="2C1B9CA8">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14:paraId="7BD1C954">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581BB8DD">
      <w:pPr>
        <w:pStyle w:val="2"/>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5501B3C">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14:paraId="332C8DB7">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14:paraId="180C059C">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6"/>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750C30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3847A065">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81F4C65">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F39C366">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5A69FBF">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14:paraId="33CD72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2D238CD7">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B760EF5">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3A3E8DD">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591997F">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14:paraId="742D20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1EE8BE00">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751DD16">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51D7AEC">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5F346AD">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14:paraId="42233AFF">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07245C8F">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2DE71732">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14:paraId="6865778F">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14:paraId="625D2A9C">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14:paraId="79FC7FCD">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14:paraId="78ACEE3E">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0D338296">
      <w:pPr>
        <w:pStyle w:val="2"/>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14:paraId="43A2999F">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14:paraId="3D21C533">
      <w:pPr>
        <w:pStyle w:val="2"/>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14:paraId="741EA6B8"/>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2D4A">
    <w:pPr>
      <w:pStyle w:val="4"/>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14:paraId="1CF51C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14:paraId="1CF51C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8FCB"/>
    <w:multiLevelType w:val="singleLevel"/>
    <w:tmpl w:val="942F8FCB"/>
    <w:lvl w:ilvl="0" w:tentative="0">
      <w:start w:val="1"/>
      <w:numFmt w:val="decimal"/>
      <w:suff w:val="nothing"/>
      <w:lvlText w:val="%1、"/>
      <w:lvlJc w:val="left"/>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abstractNum w:abstractNumId="2">
    <w:nsid w:val="67B4397F"/>
    <w:multiLevelType w:val="singleLevel"/>
    <w:tmpl w:val="67B439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55B3"/>
    <w:rsid w:val="0D954BE8"/>
    <w:rsid w:val="0E782A66"/>
    <w:rsid w:val="13C42198"/>
    <w:rsid w:val="14AE30D9"/>
    <w:rsid w:val="1E95634A"/>
    <w:rsid w:val="2D08798C"/>
    <w:rsid w:val="2DC15E45"/>
    <w:rsid w:val="2FD51B22"/>
    <w:rsid w:val="31C8341C"/>
    <w:rsid w:val="3A394FD8"/>
    <w:rsid w:val="483B0E27"/>
    <w:rsid w:val="493778DE"/>
    <w:rsid w:val="501954ED"/>
    <w:rsid w:val="54653A5E"/>
    <w:rsid w:val="5C0678E3"/>
    <w:rsid w:val="6ADFB210"/>
    <w:rsid w:val="75E50979"/>
    <w:rsid w:val="7D7F7A0B"/>
    <w:rsid w:val="CBFDA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line="336" w:lineRule="auto"/>
      <w:jc w:val="left"/>
    </w:pPr>
    <w:rPr>
      <w:rFonts w:ascii="宋体" w:hAnsi="宋体"/>
      <w:kern w:val="0"/>
      <w:sz w:val="24"/>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3156</Words>
  <Characters>3361</Characters>
  <Lines>0</Lines>
  <Paragraphs>0</Paragraphs>
  <TotalTime>67</TotalTime>
  <ScaleCrop>false</ScaleCrop>
  <LinksUpToDate>false</LinksUpToDate>
  <CharactersWithSpaces>3497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2025-05-20T22:43:00Z</dcterms:created>
  <dc:creator>帅如狗</dc:creator>
  <cp:lastModifiedBy>网络办金</cp:lastModifiedBy>
  <cp:lastPrinted>2025-05-27T00:46:00Z</cp:lastPrinted>
  <dcterms:modified xsi:type="dcterms:W3CDTF">2025-06-04T03:39:30Z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eyJoZGlkIjoiMzcyYzQ4MzExOWIxM2ZmZWE3MDIzNjczNzVlZjFmOWYiLCJ1c2VySWQiOiIxNzAwODQwNTc2In0=</vt:lpwstr>
  </property>
  <property fmtid="{D5CDD505-2E9C-101B-9397-08002B2CF9AE}" pid="4" name="ICV">
    <vt:lpwstr>D9576BD3AD86479EB4208CB6A4D96746_13</vt:lpwstr>
  </property>
</Properties>
</file>