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ordWrap/>
        <w:spacing w:before="0" w:after="0" w:line="360" w:lineRule="auto"/>
        <w:ind w:left="0" w:leftChars="0" w:right="0"/>
        <w:jc w:val="center"/>
        <w:rPr>
          <w:rFonts w:hint="eastAsia" w:ascii="方正小标宋简体" w:hAnsi="方正小标宋简体" w:eastAsia="方正小标宋简体" w:cs="方正小标宋简体"/>
          <w:b w:val="0"/>
          <w:kern w:val="2"/>
          <w:sz w:val="44"/>
          <w:szCs w:val="44"/>
          <w:highlight w:val="none"/>
          <w:lang w:val="en-US" w:eastAsia="zh-CN"/>
        </w:rPr>
      </w:pPr>
      <w:bookmarkStart w:id="0" w:name="OLE_LINK2"/>
      <w:r>
        <w:rPr>
          <w:rFonts w:hint="eastAsia" w:ascii="方正小标宋简体" w:hAnsi="方正小标宋简体" w:eastAsia="方正小标宋简体" w:cs="方正小标宋简体"/>
          <w:b w:val="0"/>
          <w:kern w:val="2"/>
          <w:sz w:val="44"/>
          <w:szCs w:val="44"/>
          <w:highlight w:val="none"/>
          <w:lang w:val="en-US" w:eastAsia="zh-CN"/>
        </w:rPr>
        <w:t>福建省肿瘤医院需求调研公告</w:t>
      </w: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right="0"/>
        <w:jc w:val="center"/>
        <w:textAlignment w:val="baseline"/>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第一部分 须知前附表</w:t>
      </w:r>
    </w:p>
    <w:tbl>
      <w:tblPr>
        <w:tblStyle w:val="14"/>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10"/>
              <w:widowControl/>
              <w:wordWrap/>
              <w:spacing w:before="0" w:after="0" w:line="360" w:lineRule="auto"/>
              <w:ind w:left="0" w:leftChars="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b/>
                <w:color w:val="000000"/>
                <w:sz w:val="32"/>
                <w:szCs w:val="32"/>
                <w:highlight w:val="none"/>
              </w:rPr>
              <w:t>序号</w:t>
            </w:r>
          </w:p>
        </w:tc>
        <w:tc>
          <w:tcPr>
            <w:tcW w:w="7781" w:type="dxa"/>
            <w:tcBorders>
              <w:top w:val="single" w:color="000000" w:sz="8" w:space="0"/>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b/>
                <w:color w:val="000000"/>
                <w:kern w:val="0"/>
                <w:sz w:val="32"/>
                <w:szCs w:val="32"/>
                <w:highlight w:val="none"/>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1</w:t>
            </w:r>
          </w:p>
        </w:tc>
        <w:tc>
          <w:tcPr>
            <w:tcW w:w="7781"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wordWrap/>
              <w:spacing w:before="0" w:after="0" w:line="360" w:lineRule="auto"/>
              <w:ind w:left="0" w:leftChars="0" w:right="0"/>
              <w:jc w:val="both"/>
              <w:rPr>
                <w:rFonts w:hint="default"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rPr>
              <w:t>项目</w:t>
            </w:r>
            <w:r>
              <w:rPr>
                <w:rFonts w:hint="eastAsia" w:ascii="仿宋_GB2312" w:hAnsi="仿宋_GB2312" w:eastAsia="仿宋_GB2312" w:cs="仿宋_GB2312"/>
                <w:color w:val="000000"/>
                <w:kern w:val="0"/>
                <w:sz w:val="32"/>
                <w:szCs w:val="32"/>
                <w:highlight w:val="none"/>
                <w:lang w:val="en-US" w:eastAsia="zh-CN"/>
              </w:rPr>
              <w:t>名称</w:t>
            </w:r>
            <w:r>
              <w:rPr>
                <w:rFonts w:hint="eastAsia" w:ascii="仿宋_GB2312" w:hAnsi="仿宋_GB2312" w:eastAsia="仿宋_GB2312" w:cs="仿宋_GB2312"/>
                <w:color w:val="000000"/>
                <w:kern w:val="0"/>
                <w:sz w:val="32"/>
                <w:szCs w:val="32"/>
                <w:highlight w:val="none"/>
              </w:rPr>
              <w:t>：</w:t>
            </w:r>
            <w:bookmarkStart w:id="1" w:name="OLE_LINK1"/>
            <w:r>
              <w:rPr>
                <w:rFonts w:hint="eastAsia" w:ascii="仿宋_GB2312" w:hAnsi="仿宋_GB2312" w:eastAsia="仿宋_GB2312" w:cs="仿宋_GB2312"/>
                <w:color w:val="000000"/>
                <w:kern w:val="0"/>
                <w:sz w:val="32"/>
                <w:szCs w:val="32"/>
                <w:highlight w:val="none"/>
                <w:lang w:val="en-US" w:eastAsia="zh-CN"/>
              </w:rPr>
              <w:t>电子病历改造及评级相关服务项目</w:t>
            </w:r>
            <w:bookmarkEnd w:id="1"/>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2</w:t>
            </w:r>
          </w:p>
        </w:tc>
        <w:tc>
          <w:tcPr>
            <w:tcW w:w="7781"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调研报名时间：2025 年</w:t>
            </w:r>
            <w:r>
              <w:rPr>
                <w:rFonts w:hint="eastAsia" w:ascii="仿宋_GB2312" w:hAnsi="仿宋_GB2312" w:eastAsia="仿宋_GB2312" w:cs="仿宋_GB2312"/>
                <w:color w:val="000000"/>
                <w:kern w:val="0"/>
                <w:sz w:val="32"/>
                <w:szCs w:val="32"/>
                <w:highlight w:val="none"/>
                <w:lang w:val="en-US" w:eastAsia="zh-CN"/>
              </w:rPr>
              <w:t>7</w:t>
            </w:r>
            <w:r>
              <w:rPr>
                <w:rFonts w:hint="eastAsia" w:ascii="仿宋_GB2312" w:hAnsi="仿宋_GB2312" w:eastAsia="仿宋_GB2312" w:cs="仿宋_GB2312"/>
                <w:color w:val="000000"/>
                <w:kern w:val="0"/>
                <w:sz w:val="32"/>
                <w:szCs w:val="32"/>
                <w:highlight w:val="none"/>
              </w:rPr>
              <w:t xml:space="preserve">月 </w:t>
            </w:r>
            <w:r>
              <w:rPr>
                <w:rFonts w:hint="eastAsia" w:ascii="仿宋_GB2312" w:hAnsi="仿宋_GB2312" w:eastAsia="仿宋_GB2312" w:cs="仿宋_GB2312"/>
                <w:color w:val="000000"/>
                <w:kern w:val="0"/>
                <w:sz w:val="32"/>
                <w:szCs w:val="32"/>
                <w:highlight w:val="none"/>
                <w:lang w:val="en-US" w:eastAsia="zh-CN"/>
              </w:rPr>
              <w:t>15</w:t>
            </w:r>
            <w:r>
              <w:rPr>
                <w:rFonts w:hint="eastAsia" w:ascii="仿宋_GB2312" w:hAnsi="仿宋_GB2312" w:eastAsia="仿宋_GB2312" w:cs="仿宋_GB2312"/>
                <w:color w:val="000000"/>
                <w:kern w:val="0"/>
                <w:sz w:val="32"/>
                <w:szCs w:val="32"/>
                <w:highlight w:val="none"/>
              </w:rPr>
              <w:t xml:space="preserve">日至 </w:t>
            </w:r>
            <w:r>
              <w:rPr>
                <w:rFonts w:hint="eastAsia" w:ascii="仿宋_GB2312" w:hAnsi="仿宋_GB2312" w:eastAsia="仿宋_GB2312" w:cs="仿宋_GB2312"/>
                <w:color w:val="000000"/>
                <w:kern w:val="0"/>
                <w:sz w:val="32"/>
                <w:szCs w:val="32"/>
                <w:highlight w:val="none"/>
                <w:lang w:val="en-US" w:eastAsia="zh-CN"/>
              </w:rPr>
              <w:t>7</w:t>
            </w:r>
            <w:r>
              <w:rPr>
                <w:rFonts w:hint="eastAsia" w:ascii="仿宋_GB2312" w:hAnsi="仿宋_GB2312" w:eastAsia="仿宋_GB2312" w:cs="仿宋_GB2312"/>
                <w:color w:val="000000"/>
                <w:kern w:val="0"/>
                <w:sz w:val="32"/>
                <w:szCs w:val="32"/>
                <w:highlight w:val="none"/>
              </w:rPr>
              <w:t>月</w:t>
            </w:r>
            <w:r>
              <w:rPr>
                <w:rFonts w:hint="eastAsia" w:ascii="仿宋_GB2312" w:hAnsi="仿宋_GB2312" w:eastAsia="仿宋_GB2312" w:cs="仿宋_GB2312"/>
                <w:color w:val="000000"/>
                <w:kern w:val="0"/>
                <w:sz w:val="32"/>
                <w:szCs w:val="32"/>
                <w:highlight w:val="none"/>
                <w:lang w:val="en-US" w:eastAsia="zh-CN"/>
              </w:rPr>
              <w:t>21</w:t>
            </w:r>
            <w:r>
              <w:rPr>
                <w:rFonts w:hint="eastAsia" w:ascii="仿宋_GB2312" w:hAnsi="仿宋_GB2312" w:eastAsia="仿宋_GB2312" w:cs="仿宋_GB2312"/>
                <w:color w:val="000000"/>
                <w:kern w:val="0"/>
                <w:sz w:val="32"/>
                <w:szCs w:val="32"/>
                <w:highlight w:val="none"/>
              </w:rPr>
              <w:t>日 (节假日除外)8：00-12：00或14：30-17：30(北京时间）</w:t>
            </w:r>
          </w:p>
          <w:p>
            <w:pPr>
              <w:widowControl/>
              <w:wordWrap/>
              <w:spacing w:before="0" w:after="0" w:line="360" w:lineRule="auto"/>
              <w:ind w:left="0" w:leftChars="0" w:right="0"/>
              <w:jc w:val="both"/>
              <w:rPr>
                <w:rFonts w:hint="eastAsia" w:ascii="仿宋_GB2312" w:hAnsi="仿宋_GB2312" w:eastAsia="仿宋_GB2312" w:cs="仿宋_GB2312"/>
                <w:color w:val="000000"/>
                <w:kern w:val="0"/>
                <w:sz w:val="32"/>
                <w:szCs w:val="32"/>
                <w:highlight w:val="none"/>
                <w:u w:val="single"/>
              </w:rPr>
            </w:pPr>
            <w:r>
              <w:rPr>
                <w:rFonts w:hint="eastAsia" w:ascii="仿宋_GB2312" w:hAnsi="仿宋_GB2312" w:eastAsia="仿宋_GB2312" w:cs="仿宋_GB2312"/>
                <w:color w:val="000000"/>
                <w:kern w:val="0"/>
                <w:sz w:val="32"/>
                <w:szCs w:val="32"/>
                <w:highlight w:val="none"/>
              </w:rPr>
              <w:t>调研会时间： 2025 年7月</w:t>
            </w:r>
            <w:r>
              <w:rPr>
                <w:rFonts w:hint="eastAsia" w:ascii="仿宋_GB2312" w:hAnsi="仿宋_GB2312" w:eastAsia="仿宋_GB2312" w:cs="仿宋_GB2312"/>
                <w:color w:val="000000"/>
                <w:kern w:val="0"/>
                <w:sz w:val="32"/>
                <w:szCs w:val="32"/>
                <w:highlight w:val="none"/>
                <w:lang w:val="en-US" w:eastAsia="zh-CN"/>
              </w:rPr>
              <w:t>24</w:t>
            </w:r>
            <w:r>
              <w:rPr>
                <w:rFonts w:hint="eastAsia" w:ascii="仿宋_GB2312" w:hAnsi="仿宋_GB2312" w:eastAsia="仿宋_GB2312" w:cs="仿宋_GB2312"/>
                <w:color w:val="000000"/>
                <w:kern w:val="0"/>
                <w:sz w:val="32"/>
                <w:szCs w:val="32"/>
                <w:highlight w:val="none"/>
              </w:rPr>
              <w:t>日 9:00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rPr>
              <w:t>3</w:t>
            </w:r>
          </w:p>
        </w:tc>
        <w:tc>
          <w:tcPr>
            <w:tcW w:w="7781"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lang w:val="en-US" w:eastAsia="zh-CN"/>
              </w:rPr>
              <w:t>投标</w:t>
            </w:r>
            <w:r>
              <w:rPr>
                <w:rFonts w:hint="eastAsia" w:ascii="仿宋_GB2312" w:hAnsi="仿宋_GB2312" w:eastAsia="仿宋_GB2312" w:cs="仿宋_GB2312"/>
                <w:color w:val="000000"/>
                <w:sz w:val="32"/>
                <w:szCs w:val="32"/>
                <w:highlight w:val="none"/>
              </w:rPr>
              <w:t>文件正本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份,副本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rPr>
              <w:t>4</w:t>
            </w:r>
          </w:p>
        </w:tc>
        <w:tc>
          <w:tcPr>
            <w:tcW w:w="7781"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val="en-US" w:eastAsia="zh-CN"/>
              </w:rPr>
              <w:t>投标</w:t>
            </w:r>
            <w:r>
              <w:rPr>
                <w:rFonts w:hint="eastAsia" w:ascii="仿宋_GB2312" w:hAnsi="仿宋_GB2312" w:eastAsia="仿宋_GB2312" w:cs="仿宋_GB2312"/>
                <w:color w:val="000000"/>
                <w:kern w:val="0"/>
                <w:sz w:val="32"/>
                <w:szCs w:val="32"/>
                <w:highlight w:val="none"/>
              </w:rPr>
              <w:t>文件递交处：福建省肿瘤医院</w:t>
            </w:r>
            <w:r>
              <w:rPr>
                <w:rFonts w:hint="eastAsia" w:ascii="仿宋_GB2312" w:hAnsi="仿宋_GB2312" w:eastAsia="仿宋_GB2312" w:cs="仿宋_GB2312"/>
                <w:color w:val="000000"/>
                <w:kern w:val="0"/>
                <w:sz w:val="32"/>
                <w:szCs w:val="32"/>
                <w:highlight w:val="none"/>
                <w:lang w:val="en-US" w:eastAsia="zh-CN"/>
              </w:rPr>
              <w:t>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color w:val="000000"/>
                <w:kern w:val="0"/>
                <w:sz w:val="32"/>
                <w:szCs w:val="32"/>
                <w:highlight w:val="none"/>
              </w:rPr>
              <w:t>5</w:t>
            </w:r>
          </w:p>
        </w:tc>
        <w:tc>
          <w:tcPr>
            <w:tcW w:w="7781"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color w:val="000000"/>
                <w:kern w:val="0"/>
                <w:sz w:val="32"/>
                <w:szCs w:val="32"/>
                <w:highlight w:val="none"/>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w:t>
            </w:r>
          </w:p>
        </w:tc>
        <w:tc>
          <w:tcPr>
            <w:tcW w:w="7781"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hd w:val="clear" w:color="auto" w:fill="FFFFFF"/>
              <w:wordWrap/>
              <w:adjustRightInd w:val="0"/>
              <w:snapToGrid w:val="0"/>
              <w:spacing w:before="0" w:after="0" w:line="360" w:lineRule="auto"/>
              <w:ind w:left="0" w:leftChars="0" w:right="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color w:val="000000"/>
                <w:kern w:val="0"/>
                <w:sz w:val="32"/>
                <w:szCs w:val="32"/>
                <w:highlight w:val="none"/>
                <w:shd w:val="clear" w:color="auto" w:fill="FFFFFF"/>
              </w:rPr>
              <w:t>采购报名、采购调研等采购过程中有任何异议，可联系我院监督科室。电话：83660063-8407；83660063-8467。</w:t>
            </w:r>
          </w:p>
        </w:tc>
      </w:tr>
    </w:tbl>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right="0"/>
        <w:textAlignment w:val="baseline"/>
        <w:rPr>
          <w:rFonts w:hint="eastAsia" w:ascii="仿宋_GB2312" w:hAnsi="仿宋_GB2312" w:cs="仿宋_GB2312"/>
          <w:b/>
          <w:bCs/>
          <w:sz w:val="32"/>
          <w:szCs w:val="32"/>
          <w:lang w:val="en-US" w:eastAsia="zh-CN"/>
        </w:rPr>
      </w:pP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right="0"/>
        <w:textAlignment w:val="baseline"/>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 xml:space="preserve">地　址： 福建省福州市福马路420号 </w:t>
      </w: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right="0" w:firstLine="960" w:firstLineChars="300"/>
        <w:textAlignment w:val="baseline"/>
        <w:rPr>
          <w:rFonts w:hint="default"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福建省肿瘤医院科研楼四楼网络技术中心</w:t>
      </w: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right="0"/>
        <w:textAlignment w:val="baseline"/>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邮　编： 350014　</w:t>
      </w: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right="0"/>
        <w:textAlignment w:val="baseline"/>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电　话： 0591-83660063-8822</w:t>
      </w: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right="0"/>
        <w:textAlignment w:val="baseline"/>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联系人： 林工、郑工</w:t>
      </w: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right="0"/>
        <w:textAlignment w:val="baseline"/>
        <w:rPr>
          <w:rFonts w:hint="eastAsia" w:ascii="仿宋_GB2312" w:hAnsi="仿宋_GB2312" w:cs="仿宋_GB2312"/>
          <w:b/>
          <w:bCs/>
          <w:sz w:val="32"/>
          <w:szCs w:val="32"/>
          <w:lang w:val="en-US" w:eastAsia="zh-CN"/>
        </w:rPr>
      </w:pP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right="0"/>
        <w:textAlignment w:val="baseline"/>
        <w:rPr>
          <w:rFonts w:hint="eastAsia" w:ascii="仿宋_GB2312" w:hAnsi="仿宋_GB2312" w:cs="仿宋_GB2312"/>
          <w:b/>
          <w:bCs/>
          <w:sz w:val="32"/>
          <w:szCs w:val="32"/>
          <w:lang w:val="en-US" w:eastAsia="zh-CN"/>
        </w:rPr>
      </w:pP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right="0"/>
        <w:jc w:val="center"/>
        <w:textAlignment w:val="baseline"/>
        <w:rPr>
          <w:rFonts w:hint="default"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第二部分 具体要求</w:t>
      </w: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right="0"/>
        <w:textAlignment w:val="baseline"/>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一、采购内容</w:t>
      </w:r>
    </w:p>
    <w:tbl>
      <w:tblPr>
        <w:tblStyle w:val="14"/>
        <w:tblpPr w:leftFromText="180" w:rightFromText="180" w:vertAnchor="text" w:horzAnchor="page" w:tblpX="1562" w:tblpY="283"/>
        <w:tblOverlap w:val="never"/>
        <w:tblW w:w="9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7"/>
        <w:gridCol w:w="3178"/>
        <w:gridCol w:w="1590"/>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97" w:type="dxa"/>
            <w:noWrap w:val="0"/>
            <w:vAlign w:val="center"/>
          </w:tcPr>
          <w:p>
            <w:pPr>
              <w:widowControl/>
              <w:wordWrap/>
              <w:spacing w:before="0" w:after="0" w:line="360" w:lineRule="auto"/>
              <w:ind w:left="0" w:leftChars="0" w:right="0"/>
              <w:jc w:val="cente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rPr>
              <w:t>合同包</w:t>
            </w:r>
          </w:p>
        </w:tc>
        <w:tc>
          <w:tcPr>
            <w:tcW w:w="3178" w:type="dxa"/>
            <w:noWrap w:val="0"/>
            <w:vAlign w:val="center"/>
          </w:tcPr>
          <w:p>
            <w:pPr>
              <w:widowControl/>
              <w:wordWrap/>
              <w:spacing w:before="0" w:after="0" w:line="360" w:lineRule="auto"/>
              <w:ind w:left="0" w:leftChars="0" w:right="0"/>
              <w:jc w:val="center"/>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color w:val="000000"/>
                <w:kern w:val="0"/>
                <w:sz w:val="28"/>
                <w:szCs w:val="28"/>
                <w:highlight w:val="none"/>
              </w:rPr>
              <w:t>名 称</w:t>
            </w:r>
          </w:p>
        </w:tc>
        <w:tc>
          <w:tcPr>
            <w:tcW w:w="1590" w:type="dxa"/>
            <w:noWrap w:val="0"/>
            <w:vAlign w:val="center"/>
          </w:tcPr>
          <w:p>
            <w:pPr>
              <w:widowControl/>
              <w:wordWrap/>
              <w:spacing w:before="0" w:after="0" w:line="360" w:lineRule="auto"/>
              <w:ind w:left="0" w:leftChars="0" w:right="0"/>
              <w:jc w:val="center"/>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color w:val="000000"/>
                <w:kern w:val="0"/>
                <w:sz w:val="28"/>
                <w:szCs w:val="28"/>
                <w:highlight w:val="none"/>
              </w:rPr>
              <w:t>数量</w:t>
            </w:r>
          </w:p>
        </w:tc>
        <w:tc>
          <w:tcPr>
            <w:tcW w:w="1894" w:type="dxa"/>
            <w:noWrap w:val="0"/>
            <w:vAlign w:val="center"/>
          </w:tcPr>
          <w:p>
            <w:pPr>
              <w:widowControl/>
              <w:wordWrap/>
              <w:spacing w:before="0" w:after="0" w:line="360" w:lineRule="auto"/>
              <w:ind w:left="0" w:leftChars="0" w:right="0"/>
              <w:jc w:val="center"/>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color w:val="000000"/>
                <w:kern w:val="0"/>
                <w:sz w:val="28"/>
                <w:szCs w:val="28"/>
                <w:highlight w:val="none"/>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exact"/>
        </w:trPr>
        <w:tc>
          <w:tcPr>
            <w:tcW w:w="2697" w:type="dxa"/>
            <w:noWrap w:val="0"/>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一）</w:t>
            </w:r>
          </w:p>
        </w:tc>
        <w:tc>
          <w:tcPr>
            <w:tcW w:w="3178" w:type="dxa"/>
            <w:noWrap w:val="0"/>
            <w:vAlign w:val="center"/>
          </w:tcPr>
          <w:p>
            <w:pPr>
              <w:numPr>
                <w:ilvl w:val="0"/>
                <w:numId w:val="0"/>
              </w:numPr>
              <w:wordWrap/>
              <w:spacing w:before="0" w:after="0" w:line="360" w:lineRule="auto"/>
              <w:ind w:left="0" w:leftChars="0" w:right="0" w:firstLine="0" w:firstLineChars="0"/>
              <w:jc w:val="both"/>
              <w:rPr>
                <w:rFonts w:hint="default" w:ascii="仿宋_GB2312" w:hAnsi="仿宋_GB2312" w:eastAsia="仿宋_GB2312" w:cs="仿宋_GB2312"/>
                <w:kern w:val="0"/>
                <w:sz w:val="32"/>
                <w:szCs w:val="32"/>
                <w:highlight w:val="none"/>
                <w:lang w:val="en-US"/>
              </w:rPr>
            </w:pPr>
            <w:r>
              <w:rPr>
                <w:rFonts w:hint="eastAsia" w:ascii="仿宋_GB2312" w:hAnsi="仿宋_GB2312" w:eastAsia="仿宋_GB2312" w:cs="仿宋_GB2312"/>
                <w:color w:val="000000"/>
                <w:kern w:val="0"/>
                <w:sz w:val="32"/>
                <w:szCs w:val="32"/>
                <w:highlight w:val="none"/>
                <w:lang w:val="en-US" w:eastAsia="zh-CN"/>
              </w:rPr>
              <w:t>电子病历改造及评级相关服务项目</w:t>
            </w:r>
          </w:p>
        </w:tc>
        <w:tc>
          <w:tcPr>
            <w:tcW w:w="1590" w:type="dxa"/>
            <w:noWrap w:val="0"/>
            <w:vAlign w:val="center"/>
          </w:tcPr>
          <w:p>
            <w:pPr>
              <w:wordWrap/>
              <w:autoSpaceDN w:val="0"/>
              <w:spacing w:before="0" w:after="0" w:line="360" w:lineRule="auto"/>
              <w:ind w:left="0" w:leftChars="0" w:right="0"/>
              <w:jc w:val="center"/>
              <w:textAlignment w:val="center"/>
              <w:rPr>
                <w:rFonts w:hint="default" w:ascii="仿宋_GB2312" w:hAnsi="仿宋_GB2312" w:eastAsia="仿宋_GB2312" w:cs="仿宋_GB2312"/>
                <w:kern w:val="0"/>
                <w:sz w:val="32"/>
                <w:szCs w:val="32"/>
                <w:highlight w:val="none"/>
                <w:lang w:val="en-US"/>
              </w:rPr>
            </w:pPr>
            <w:r>
              <w:rPr>
                <w:rFonts w:hint="eastAsia" w:ascii="仿宋_GB2312" w:hAnsi="仿宋_GB2312" w:eastAsia="仿宋_GB2312" w:cs="仿宋_GB2312"/>
                <w:b w:val="0"/>
                <w:i w:val="0"/>
                <w:color w:val="000000"/>
                <w:sz w:val="32"/>
                <w:szCs w:val="32"/>
                <w:highlight w:val="none"/>
                <w:u w:val="none"/>
                <w:lang w:val="en-US" w:eastAsia="zh-CN"/>
              </w:rPr>
              <w:t>1套</w:t>
            </w:r>
          </w:p>
        </w:tc>
        <w:tc>
          <w:tcPr>
            <w:tcW w:w="1894" w:type="dxa"/>
            <w:noWrap w:val="0"/>
            <w:vAlign w:val="center"/>
          </w:tcPr>
          <w:p>
            <w:pPr>
              <w:wordWrap/>
              <w:autoSpaceDN w:val="0"/>
              <w:spacing w:before="0" w:after="0" w:line="360" w:lineRule="auto"/>
              <w:ind w:left="0" w:leftChars="0" w:right="0"/>
              <w:jc w:val="center"/>
              <w:textAlignment w:val="center"/>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250</w:t>
            </w:r>
          </w:p>
        </w:tc>
      </w:tr>
    </w:tbl>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right="0"/>
        <w:textAlignment w:val="baseline"/>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二、技术功能及服务要求</w:t>
      </w: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right="0"/>
        <w:textAlignment w:val="baseline"/>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1.合同包（一）</w:t>
      </w: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right="0"/>
        <w:textAlignment w:val="baseline"/>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1.1电子病历评级指导服务</w:t>
      </w:r>
      <w:r>
        <w:rPr>
          <w:rFonts w:hint="default" w:ascii="仿宋_GB2312" w:hAnsi="仿宋_GB2312" w:cs="仿宋_GB2312"/>
          <w:sz w:val="32"/>
          <w:szCs w:val="32"/>
          <w:lang w:val="en-US" w:eastAsia="zh-CN"/>
        </w:rPr>
        <w:t xml:space="preserve"> </w:t>
      </w:r>
    </w:p>
    <w:tbl>
      <w:tblPr>
        <w:tblStyle w:val="14"/>
        <w:tblW w:w="80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3" w:type="dxa"/>
            <w:shd w:val="clear" w:color="auto" w:fill="D9D9D9"/>
            <w:vAlign w:val="center"/>
          </w:tcPr>
          <w:p>
            <w:pPr>
              <w:widowControl/>
              <w:jc w:val="center"/>
              <w:rPr>
                <w:rFonts w:hint="eastAsia" w:ascii="宋体" w:hAnsi="宋体"/>
                <w:b/>
                <w:bCs/>
                <w:color w:val="000000"/>
                <w:kern w:val="0"/>
                <w:sz w:val="22"/>
                <w:highlight w:val="none"/>
              </w:rPr>
            </w:pPr>
            <w:r>
              <w:rPr>
                <w:rFonts w:hint="eastAsia" w:ascii="宋体" w:hAnsi="宋体"/>
                <w:b/>
                <w:bCs/>
                <w:color w:val="000000"/>
                <w:kern w:val="0"/>
                <w:sz w:val="22"/>
                <w:highlight w:val="none"/>
              </w:rPr>
              <w:t>技术功能模块</w:t>
            </w:r>
          </w:p>
        </w:tc>
        <w:tc>
          <w:tcPr>
            <w:tcW w:w="6232" w:type="dxa"/>
            <w:shd w:val="clear" w:color="auto" w:fill="D9D9D9"/>
            <w:vAlign w:val="center"/>
          </w:tcPr>
          <w:p>
            <w:pPr>
              <w:widowControl/>
              <w:jc w:val="center"/>
              <w:rPr>
                <w:rFonts w:hint="eastAsia" w:ascii="宋体" w:hAnsi="宋体"/>
                <w:b/>
                <w:bCs/>
                <w:color w:val="000000"/>
                <w:kern w:val="0"/>
                <w:sz w:val="22"/>
                <w:highlight w:val="none"/>
              </w:rPr>
            </w:pPr>
            <w:r>
              <w:rPr>
                <w:rFonts w:hint="eastAsia" w:ascii="宋体" w:hAnsi="宋体"/>
                <w:b/>
                <w:bCs/>
                <w:color w:val="000000"/>
                <w:kern w:val="0"/>
                <w:sz w:val="22"/>
                <w:highlight w:val="none"/>
              </w:rPr>
              <w:t>功能要求说明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843"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服务目标</w:t>
            </w:r>
          </w:p>
        </w:tc>
        <w:tc>
          <w:tcPr>
            <w:tcW w:w="6232"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val="en-US" w:eastAsia="zh-CN"/>
              </w:rPr>
              <w:t>为推动以电子病历为核心的医院信息化建设</w:t>
            </w:r>
            <w:r>
              <w:rPr>
                <w:rFonts w:hint="eastAsia" w:ascii="宋体" w:hAnsi="宋体" w:eastAsia="宋体" w:cs="宋体"/>
                <w:color w:val="000000"/>
                <w:kern w:val="0"/>
                <w:sz w:val="21"/>
                <w:szCs w:val="21"/>
                <w:highlight w:val="none"/>
              </w:rPr>
              <w:t>，提升电子病历系统应用水平</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lang w:val="en-US" w:eastAsia="zh-CN"/>
              </w:rPr>
              <w:t>提高</w:t>
            </w:r>
            <w:r>
              <w:rPr>
                <w:rFonts w:hint="eastAsia" w:ascii="宋体" w:hAnsi="宋体" w:eastAsia="宋体" w:cs="宋体"/>
                <w:color w:val="000000"/>
                <w:kern w:val="0"/>
                <w:sz w:val="21"/>
                <w:szCs w:val="21"/>
                <w:highlight w:val="none"/>
              </w:rPr>
              <w:t>“智慧</w:t>
            </w:r>
            <w:r>
              <w:rPr>
                <w:rFonts w:hint="eastAsia" w:ascii="宋体" w:hAnsi="宋体" w:cs="宋体"/>
                <w:color w:val="000000"/>
                <w:kern w:val="0"/>
                <w:sz w:val="21"/>
                <w:szCs w:val="21"/>
                <w:highlight w:val="none"/>
                <w:lang w:val="en-US" w:eastAsia="zh-CN"/>
              </w:rPr>
              <w:t>医疗</w:t>
            </w:r>
            <w:r>
              <w:rPr>
                <w:rFonts w:hint="eastAsia" w:ascii="宋体" w:hAnsi="宋体" w:eastAsia="宋体" w:cs="宋体"/>
                <w:color w:val="000000"/>
                <w:kern w:val="0"/>
                <w:sz w:val="21"/>
                <w:szCs w:val="21"/>
                <w:highlight w:val="none"/>
              </w:rPr>
              <w:t>”电子病历系统功能应用分级评价</w:t>
            </w:r>
            <w:r>
              <w:rPr>
                <w:rFonts w:hint="eastAsia" w:ascii="宋体" w:hAnsi="宋体" w:cs="宋体"/>
                <w:color w:val="000000"/>
                <w:kern w:val="0"/>
                <w:sz w:val="21"/>
                <w:szCs w:val="21"/>
                <w:highlight w:val="none"/>
                <w:lang w:val="en-US" w:eastAsia="zh-CN"/>
              </w:rPr>
              <w:t>水平</w:t>
            </w:r>
            <w:r>
              <w:rPr>
                <w:rFonts w:hint="eastAsia" w:ascii="宋体"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通过引入咨询和管理服务，帮助医院分析现有信息系统建设情况和差距，依据医院的电子病历系统功能应用水平分级评价评审的业务需求，制定合理的评审咨询规划方案，以及提供明确的、可执行的进度计划路线图，并保证制定的方案及路线图能够充分保障医院评级工作开展。通过不断完善医院信息化建设，以评促建，达到符合标准的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843"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服务内容</w:t>
            </w:r>
          </w:p>
        </w:tc>
        <w:tc>
          <w:tcPr>
            <w:tcW w:w="6232"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1、基于</w:t>
            </w:r>
            <w:r>
              <w:rPr>
                <w:rFonts w:hint="eastAsia" w:ascii="宋体" w:hAnsi="宋体" w:cs="宋体"/>
                <w:color w:val="000000"/>
                <w:kern w:val="0"/>
                <w:sz w:val="21"/>
                <w:szCs w:val="21"/>
                <w:highlight w:val="none"/>
                <w:lang w:val="en-US" w:eastAsia="zh-CN"/>
              </w:rPr>
              <w:t>医院“智慧医疗”</w:t>
            </w:r>
            <w:r>
              <w:rPr>
                <w:rFonts w:hint="eastAsia" w:ascii="宋体" w:hAnsi="宋体" w:eastAsia="宋体" w:cs="宋体"/>
                <w:color w:val="000000"/>
                <w:kern w:val="0"/>
                <w:sz w:val="21"/>
                <w:szCs w:val="21"/>
                <w:highlight w:val="none"/>
              </w:rPr>
              <w:t>的建设目标，要成立专门的咨询服务团队；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2、基于医院目标的系统建设/改造方案咨询服务，需要包括信息系统功能建设/改造需求分析、功能建设/改造方案的沟通机制、功能建设/改造的计划拟定与评估；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3、基于申报服务，需要包括协助指导医院报名、申报材料准备环节；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4、基于评审要求，协助指导医院整理实证材料、汇报材料等迎检材料；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5、基于评审要求，协助指导医院做好各项迎检准备工作：包括培训、模拟测评、远程/现场评审。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843"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服务范围</w:t>
            </w:r>
          </w:p>
        </w:tc>
        <w:tc>
          <w:tcPr>
            <w:tcW w:w="6232"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咨询服务小组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现场调研评估服务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评级项目启动准备服务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功能建设辅助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数据质量情况监测辅助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实证材料准备辅助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网上上报辅助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应用水平提高指导辅助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迎评准备辅助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现场评审辅助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843"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服务团队</w:t>
            </w:r>
          </w:p>
        </w:tc>
        <w:tc>
          <w:tcPr>
            <w:tcW w:w="6232"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咨询顾问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数据质量技术工程师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项目经理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实施人员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研发人员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测试人员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84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服务项目管理</w:t>
            </w:r>
          </w:p>
        </w:tc>
        <w:tc>
          <w:tcPr>
            <w:tcW w:w="6232"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eastAsia="zh-CN"/>
              </w:rPr>
              <w:t>调研阶段：</w:t>
            </w:r>
            <w:r>
              <w:rPr>
                <w:rFonts w:hint="eastAsia" w:ascii="宋体" w:hAnsi="宋体" w:eastAsia="宋体" w:cs="宋体"/>
                <w:color w:val="000000"/>
                <w:kern w:val="0"/>
                <w:sz w:val="21"/>
                <w:szCs w:val="21"/>
                <w:highlight w:val="none"/>
              </w:rPr>
              <w:t>提供电子病历测评的调研咨询服务，参考电子病历应用水平分级评价标准及医院业务流程对评级涉及十大角色分别进行走访、调研，了解医院业务系统、功能建设情况以及使用情况，并出具相关调研报告。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84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p>
        </w:tc>
        <w:tc>
          <w:tcPr>
            <w:tcW w:w="6232"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启动阶段：</w:t>
            </w:r>
            <w:r>
              <w:rPr>
                <w:rFonts w:hint="eastAsia" w:ascii="宋体" w:hAnsi="宋体" w:eastAsia="宋体" w:cs="宋体"/>
                <w:sz w:val="21"/>
                <w:szCs w:val="21"/>
                <w:highlight w:val="none"/>
              </w:rPr>
              <w:t>结合国家最新评审政策要求及评审项目经验，为本次评级项目工作开展以及项目管理提供参考、指导，协助院方启动电子病历评审的各项准备工作。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84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p>
        </w:tc>
        <w:tc>
          <w:tcPr>
            <w:tcW w:w="6232"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r>
              <w:rPr>
                <w:rFonts w:hint="eastAsia" w:ascii="宋体" w:hAnsi="宋体" w:eastAsia="宋体" w:cs="宋体"/>
                <w:color w:val="000000"/>
                <w:kern w:val="0"/>
                <w:sz w:val="21"/>
                <w:szCs w:val="21"/>
                <w:highlight w:val="none"/>
                <w:lang w:val="en-US" w:eastAsia="zh-CN"/>
              </w:rPr>
              <w:t>建设阶段</w:t>
            </w:r>
            <w:r>
              <w:rPr>
                <w:rFonts w:hint="eastAsia" w:ascii="宋体" w:hAnsi="宋体" w:eastAsia="宋体" w:cs="宋体"/>
                <w:color w:val="000000"/>
                <w:kern w:val="0"/>
                <w:sz w:val="21"/>
                <w:szCs w:val="21"/>
                <w:highlight w:val="none"/>
              </w:rPr>
              <w:t>：协助医院整理评级改造计划，跟进评级建设进度；定期对评级相关内容进行查验，把握评级总体节奏，保证评级过程质量；协助医院针对新建、改造内容进行推广，确保功能改造切实满足临床用户使用需求与评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84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p>
        </w:tc>
        <w:tc>
          <w:tcPr>
            <w:tcW w:w="6232"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4、</w:t>
            </w:r>
            <w:r>
              <w:rPr>
                <w:rFonts w:hint="eastAsia" w:ascii="宋体" w:hAnsi="宋体" w:eastAsia="宋体" w:cs="宋体"/>
                <w:color w:val="000000"/>
                <w:kern w:val="0"/>
                <w:sz w:val="21"/>
                <w:szCs w:val="21"/>
                <w:highlight w:val="none"/>
                <w:lang w:val="en-US" w:eastAsia="zh-CN"/>
              </w:rPr>
              <w:t>上报阶段：根据国家评级材料提交要求，对实证材料整理模式、要求、规范、思路等内容提供培训服务;协助医院进行多轮实证材料审核，协助医院提高实证材料质量；针对评级数据上报内容，包括基础数据、EMR数据集、数据质量评估、数据提取列表提供培训指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84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p>
        </w:tc>
        <w:tc>
          <w:tcPr>
            <w:tcW w:w="6232"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5、应用水平提升阶段：协助医院评估上一阶段系统改造情况，查漏补缺，夯实改造成果，协助医院持续关注数据质量情况，协助医院持续关注系统应用水平情况；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84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p>
        </w:tc>
        <w:tc>
          <w:tcPr>
            <w:tcW w:w="6232"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6、迎评准备阶段：指导医院做好迎评各项准备工作，包括迎评培训工作、迎评方案制定、迎评环境准备、迎评汇报材料准备等；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84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p>
        </w:tc>
        <w:tc>
          <w:tcPr>
            <w:tcW w:w="6232"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7、正式迎评阶段：提供医院电子病历评级正式迎评阶段技术支持服务，保障医院顺利完成电子病历</w:t>
            </w:r>
            <w:r>
              <w:rPr>
                <w:rFonts w:hint="eastAsia" w:ascii="宋体" w:hAnsi="宋体" w:cs="宋体"/>
                <w:color w:val="000000"/>
                <w:kern w:val="0"/>
                <w:sz w:val="21"/>
                <w:szCs w:val="21"/>
                <w:highlight w:val="none"/>
                <w:lang w:val="en-US" w:eastAsia="zh-CN"/>
              </w:rPr>
              <w:t>分级评价</w:t>
            </w:r>
            <w:r>
              <w:rPr>
                <w:rFonts w:hint="eastAsia" w:ascii="宋体" w:hAnsi="宋体" w:eastAsia="宋体" w:cs="宋体"/>
                <w:color w:val="000000"/>
                <w:kern w:val="0"/>
                <w:sz w:val="21"/>
                <w:szCs w:val="21"/>
                <w:highlight w:val="none"/>
                <w:lang w:val="en-US" w:eastAsia="zh-CN"/>
              </w:rPr>
              <w:t>正式评审工作。</w:t>
            </w:r>
          </w:p>
        </w:tc>
      </w:tr>
    </w:tbl>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right="0"/>
        <w:textAlignment w:val="baseline"/>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1.2评级改造建设</w:t>
      </w:r>
    </w:p>
    <w:tbl>
      <w:tblPr>
        <w:tblStyle w:val="14"/>
        <w:tblW w:w="80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3" w:type="dxa"/>
            <w:shd w:val="clear" w:color="auto" w:fill="D9D9D9"/>
            <w:vAlign w:val="center"/>
          </w:tcPr>
          <w:p>
            <w:pPr>
              <w:widowControl/>
              <w:jc w:val="center"/>
              <w:rPr>
                <w:rFonts w:hint="eastAsia" w:ascii="宋体" w:hAnsi="宋体"/>
                <w:b/>
                <w:bCs/>
                <w:color w:val="000000"/>
                <w:kern w:val="0"/>
                <w:sz w:val="21"/>
                <w:szCs w:val="21"/>
                <w:highlight w:val="none"/>
              </w:rPr>
            </w:pPr>
            <w:r>
              <w:rPr>
                <w:rFonts w:hint="eastAsia" w:ascii="宋体" w:hAnsi="宋体"/>
                <w:b/>
                <w:bCs/>
                <w:color w:val="000000"/>
                <w:kern w:val="0"/>
                <w:sz w:val="22"/>
                <w:highlight w:val="none"/>
              </w:rPr>
              <w:t>技术功能模块</w:t>
            </w:r>
          </w:p>
        </w:tc>
        <w:tc>
          <w:tcPr>
            <w:tcW w:w="6232" w:type="dxa"/>
            <w:shd w:val="clear" w:color="auto" w:fill="D9D9D9"/>
            <w:vAlign w:val="center"/>
          </w:tcPr>
          <w:p>
            <w:pPr>
              <w:widowControl/>
              <w:jc w:val="center"/>
              <w:rPr>
                <w:rFonts w:hint="eastAsia" w:ascii="宋体" w:hAnsi="宋体"/>
                <w:b/>
                <w:bCs/>
                <w:color w:val="000000"/>
                <w:kern w:val="0"/>
                <w:sz w:val="21"/>
                <w:szCs w:val="21"/>
                <w:highlight w:val="none"/>
              </w:rPr>
            </w:pPr>
            <w:r>
              <w:rPr>
                <w:rFonts w:hint="eastAsia" w:ascii="宋体" w:hAnsi="宋体"/>
                <w:b/>
                <w:bCs/>
                <w:color w:val="000000"/>
                <w:kern w:val="0"/>
                <w:sz w:val="22"/>
                <w:highlight w:val="none"/>
              </w:rPr>
              <w:t>功能要求说明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3" w:type="dxa"/>
            <w:shd w:val="clear" w:color="auto" w:fill="auto"/>
            <w:vAlign w:val="center"/>
          </w:tcPr>
          <w:p>
            <w:pPr>
              <w:widowControl/>
              <w:jc w:val="center"/>
              <w:rPr>
                <w:rFonts w:hint="default" w:ascii="宋体" w:hAnsi="宋体" w:eastAsia="宋体"/>
                <w:b w:val="0"/>
                <w:bCs w:val="0"/>
                <w:color w:val="000000"/>
                <w:kern w:val="0"/>
                <w:sz w:val="21"/>
                <w:szCs w:val="21"/>
                <w:highlight w:val="none"/>
                <w:lang w:val="en-US" w:eastAsia="zh-CN"/>
              </w:rPr>
            </w:pPr>
            <w:r>
              <w:rPr>
                <w:rFonts w:hint="eastAsia" w:ascii="宋体" w:hAnsi="宋体"/>
                <w:b w:val="0"/>
                <w:bCs w:val="0"/>
                <w:color w:val="000000"/>
                <w:kern w:val="0"/>
                <w:sz w:val="21"/>
                <w:szCs w:val="21"/>
                <w:highlight w:val="none"/>
                <w:lang w:val="en-US" w:eastAsia="zh-CN"/>
              </w:rPr>
              <w:t>改造内容</w:t>
            </w:r>
          </w:p>
        </w:tc>
        <w:tc>
          <w:tcPr>
            <w:tcW w:w="6232" w:type="dxa"/>
            <w:shd w:val="clear" w:color="auto" w:fill="auto"/>
            <w:vAlign w:val="center"/>
          </w:tcPr>
          <w:p>
            <w:pPr>
              <w:widowControl/>
              <w:numPr>
                <w:ilvl w:val="0"/>
                <w:numId w:val="1"/>
              </w:numPr>
              <w:spacing w:line="360" w:lineRule="auto"/>
              <w:ind w:left="425" w:leftChars="0" w:hanging="425" w:firstLineChars="0"/>
              <w:jc w:val="left"/>
              <w:rPr>
                <w:rFonts w:hint="eastAsia" w:ascii="宋体" w:hAnsi="宋体" w:cs="宋体"/>
                <w:kern w:val="0"/>
                <w:sz w:val="21"/>
                <w:szCs w:val="21"/>
                <w:highlight w:val="none"/>
              </w:rPr>
            </w:pPr>
            <w:r>
              <w:rPr>
                <w:rFonts w:hint="eastAsia" w:ascii="宋体" w:hAnsi="宋体" w:cs="宋体"/>
                <w:kern w:val="0"/>
                <w:sz w:val="21"/>
                <w:szCs w:val="21"/>
                <w:highlight w:val="none"/>
              </w:rPr>
              <w:t>支持病历归档状态与病案首页系统一致。</w:t>
            </w:r>
          </w:p>
          <w:p>
            <w:pPr>
              <w:widowControl/>
              <w:numPr>
                <w:ilvl w:val="0"/>
                <w:numId w:val="1"/>
              </w:numPr>
              <w:spacing w:line="360" w:lineRule="auto"/>
              <w:ind w:left="425" w:leftChars="0" w:hanging="425" w:firstLineChars="0"/>
              <w:jc w:val="left"/>
              <w:rPr>
                <w:rFonts w:hint="eastAsia" w:ascii="宋体" w:hAnsi="宋体" w:cs="宋体"/>
                <w:kern w:val="0"/>
                <w:sz w:val="21"/>
                <w:szCs w:val="21"/>
                <w:highlight w:val="none"/>
              </w:rPr>
            </w:pPr>
            <w:r>
              <w:rPr>
                <w:rFonts w:hint="eastAsia" w:ascii="宋体" w:hAnsi="宋体" w:cs="宋体"/>
                <w:kern w:val="0"/>
                <w:sz w:val="21"/>
                <w:szCs w:val="21"/>
                <w:highlight w:val="none"/>
              </w:rPr>
              <w:t>支持处方点评消息推送给医生，与电子病历系统做接口</w:t>
            </w:r>
          </w:p>
          <w:p>
            <w:pPr>
              <w:widowControl/>
              <w:numPr>
                <w:ilvl w:val="0"/>
                <w:numId w:val="1"/>
              </w:numPr>
              <w:spacing w:line="360" w:lineRule="auto"/>
              <w:ind w:left="425" w:leftChars="0" w:hanging="425" w:firstLineChars="0"/>
              <w:jc w:val="left"/>
              <w:rPr>
                <w:rFonts w:hint="eastAsia" w:ascii="宋体" w:hAnsi="宋体" w:cs="宋体"/>
                <w:kern w:val="0"/>
                <w:sz w:val="21"/>
                <w:szCs w:val="21"/>
                <w:highlight w:val="none"/>
              </w:rPr>
            </w:pPr>
            <w:r>
              <w:rPr>
                <w:rFonts w:hint="eastAsia" w:ascii="宋体" w:hAnsi="宋体" w:cs="宋体"/>
                <w:kern w:val="0"/>
                <w:sz w:val="21"/>
                <w:szCs w:val="21"/>
                <w:highlight w:val="none"/>
              </w:rPr>
              <w:t>支持下达检验医嘱时，调用全院统一的规则库进行规则校验，对与规则冲突的情况给出提示，提高临床诊疗的准确性。（诊断，性别、年龄、生理周期）</w:t>
            </w:r>
          </w:p>
          <w:p>
            <w:pPr>
              <w:widowControl/>
              <w:numPr>
                <w:ilvl w:val="0"/>
                <w:numId w:val="1"/>
              </w:numPr>
              <w:spacing w:line="360" w:lineRule="auto"/>
              <w:ind w:left="425" w:leftChars="0" w:hanging="425" w:firstLineChars="0"/>
              <w:jc w:val="left"/>
              <w:rPr>
                <w:rFonts w:hint="eastAsia" w:ascii="宋体" w:hAnsi="宋体" w:cs="宋体"/>
                <w:kern w:val="0"/>
                <w:sz w:val="21"/>
                <w:szCs w:val="21"/>
                <w:highlight w:val="none"/>
              </w:rPr>
            </w:pPr>
            <w:r>
              <w:rPr>
                <w:rFonts w:hint="eastAsia" w:ascii="宋体" w:hAnsi="宋体" w:cs="宋体"/>
                <w:kern w:val="0"/>
                <w:sz w:val="21"/>
                <w:szCs w:val="21"/>
                <w:highlight w:val="none"/>
              </w:rPr>
              <w:t>支持下达检查申请时，调用全院统一的规则库进行规则校验，对与规则冲突的情况给出提示，提高临床诊疗的准确性</w:t>
            </w:r>
          </w:p>
          <w:p>
            <w:pPr>
              <w:widowControl/>
              <w:numPr>
                <w:ilvl w:val="0"/>
                <w:numId w:val="1"/>
              </w:numPr>
              <w:spacing w:line="360" w:lineRule="auto"/>
              <w:ind w:left="425" w:leftChars="0" w:hanging="425" w:firstLineChars="0"/>
              <w:jc w:val="left"/>
              <w:rPr>
                <w:rFonts w:hint="eastAsia" w:ascii="宋体" w:hAnsi="宋体" w:cs="宋体"/>
                <w:kern w:val="0"/>
                <w:sz w:val="21"/>
                <w:szCs w:val="21"/>
                <w:highlight w:val="none"/>
              </w:rPr>
            </w:pPr>
            <w:r>
              <w:rPr>
                <w:rFonts w:hint="eastAsia" w:ascii="宋体" w:hAnsi="宋体" w:cs="宋体"/>
                <w:kern w:val="0"/>
                <w:sz w:val="21"/>
                <w:szCs w:val="21"/>
                <w:highlight w:val="none"/>
              </w:rPr>
              <w:t>支持全院具备统一的知识库体系，不同科室、不同系统调用的相同知识逻辑的结果相同</w:t>
            </w:r>
          </w:p>
          <w:p>
            <w:pPr>
              <w:widowControl/>
              <w:numPr>
                <w:ilvl w:val="0"/>
                <w:numId w:val="1"/>
              </w:numPr>
              <w:spacing w:line="360" w:lineRule="auto"/>
              <w:ind w:left="425" w:leftChars="0" w:hanging="425" w:firstLineChars="0"/>
              <w:jc w:val="left"/>
              <w:rPr>
                <w:rFonts w:hint="eastAsia" w:ascii="宋体" w:hAnsi="宋体" w:cs="宋体"/>
                <w:kern w:val="0"/>
                <w:sz w:val="21"/>
                <w:szCs w:val="21"/>
                <w:highlight w:val="none"/>
              </w:rPr>
            </w:pPr>
            <w:r>
              <w:rPr>
                <w:rFonts w:hint="eastAsia" w:ascii="宋体" w:hAnsi="宋体" w:cs="宋体"/>
                <w:kern w:val="0"/>
                <w:sz w:val="21"/>
                <w:szCs w:val="21"/>
                <w:highlight w:val="none"/>
              </w:rPr>
              <w:t>支持手术申请单展示手术部位</w:t>
            </w:r>
          </w:p>
          <w:p>
            <w:pPr>
              <w:widowControl/>
              <w:numPr>
                <w:ilvl w:val="0"/>
                <w:numId w:val="1"/>
              </w:numPr>
              <w:spacing w:line="360" w:lineRule="auto"/>
              <w:ind w:left="425" w:leftChars="0" w:hanging="425" w:firstLineChars="0"/>
              <w:jc w:val="left"/>
              <w:rPr>
                <w:rFonts w:hint="eastAsia" w:ascii="宋体" w:hAnsi="宋体" w:cs="宋体"/>
                <w:kern w:val="0"/>
                <w:sz w:val="21"/>
                <w:szCs w:val="21"/>
                <w:highlight w:val="none"/>
              </w:rPr>
            </w:pPr>
            <w:r>
              <w:rPr>
                <w:rFonts w:hint="eastAsia" w:ascii="宋体" w:hAnsi="宋体" w:cs="宋体"/>
                <w:kern w:val="0"/>
                <w:sz w:val="21"/>
                <w:szCs w:val="21"/>
                <w:highlight w:val="none"/>
              </w:rPr>
              <w:t>支持病历质控抽取病人功能改造</w:t>
            </w:r>
          </w:p>
          <w:p>
            <w:pPr>
              <w:widowControl/>
              <w:numPr>
                <w:ilvl w:val="0"/>
                <w:numId w:val="1"/>
              </w:numPr>
              <w:spacing w:line="360" w:lineRule="auto"/>
              <w:ind w:left="425" w:leftChars="0" w:hanging="425" w:firstLineChars="0"/>
              <w:jc w:val="left"/>
              <w:rPr>
                <w:rFonts w:hint="eastAsia" w:ascii="宋体" w:hAnsi="宋体" w:cs="宋体"/>
                <w:kern w:val="0"/>
                <w:sz w:val="21"/>
                <w:szCs w:val="21"/>
                <w:highlight w:val="none"/>
              </w:rPr>
            </w:pPr>
            <w:r>
              <w:rPr>
                <w:rFonts w:hint="eastAsia" w:ascii="宋体" w:hAnsi="宋体" w:cs="宋体"/>
                <w:kern w:val="0"/>
                <w:sz w:val="21"/>
                <w:szCs w:val="21"/>
                <w:highlight w:val="none"/>
              </w:rPr>
              <w:t>支持处方点评结果查看入口</w:t>
            </w:r>
          </w:p>
          <w:p>
            <w:pPr>
              <w:widowControl/>
              <w:numPr>
                <w:ilvl w:val="0"/>
                <w:numId w:val="1"/>
              </w:numPr>
              <w:spacing w:line="360" w:lineRule="auto"/>
              <w:ind w:left="425" w:leftChars="0" w:hanging="425" w:firstLineChars="0"/>
              <w:jc w:val="left"/>
              <w:rPr>
                <w:rFonts w:hint="eastAsia" w:ascii="宋体" w:hAnsi="宋体" w:cs="宋体"/>
                <w:kern w:val="0"/>
                <w:sz w:val="21"/>
                <w:szCs w:val="21"/>
                <w:highlight w:val="none"/>
              </w:rPr>
            </w:pPr>
            <w:r>
              <w:rPr>
                <w:rFonts w:hint="eastAsia" w:ascii="宋体" w:hAnsi="宋体" w:cs="宋体"/>
                <w:kern w:val="0"/>
                <w:sz w:val="21"/>
                <w:szCs w:val="21"/>
                <w:highlight w:val="none"/>
              </w:rPr>
              <w:t>支持查看处方点评页面功能</w:t>
            </w:r>
          </w:p>
          <w:p>
            <w:pPr>
              <w:widowControl/>
              <w:numPr>
                <w:ilvl w:val="0"/>
                <w:numId w:val="1"/>
              </w:numPr>
              <w:spacing w:line="360" w:lineRule="auto"/>
              <w:ind w:left="425" w:leftChars="0" w:hanging="425" w:firstLineChars="0"/>
              <w:jc w:val="left"/>
              <w:rPr>
                <w:rFonts w:hint="eastAsia" w:ascii="宋体" w:hAnsi="宋体" w:cs="宋体"/>
                <w:kern w:val="0"/>
                <w:sz w:val="21"/>
                <w:szCs w:val="21"/>
                <w:highlight w:val="none"/>
              </w:rPr>
            </w:pPr>
            <w:r>
              <w:rPr>
                <w:rFonts w:hint="eastAsia" w:ascii="宋体" w:hAnsi="宋体" w:cs="宋体"/>
                <w:kern w:val="0"/>
                <w:sz w:val="21"/>
                <w:szCs w:val="21"/>
                <w:highlight w:val="none"/>
              </w:rPr>
              <w:t>支持双向转诊功能对接</w:t>
            </w:r>
          </w:p>
          <w:p>
            <w:pPr>
              <w:widowControl/>
              <w:numPr>
                <w:ilvl w:val="0"/>
                <w:numId w:val="1"/>
              </w:numPr>
              <w:spacing w:line="360" w:lineRule="auto"/>
              <w:ind w:left="425" w:leftChars="0" w:hanging="425" w:firstLineChars="0"/>
              <w:jc w:val="left"/>
              <w:rPr>
                <w:rFonts w:hint="eastAsia" w:ascii="宋体" w:hAnsi="宋体" w:cs="宋体"/>
                <w:kern w:val="0"/>
                <w:sz w:val="21"/>
                <w:szCs w:val="21"/>
                <w:highlight w:val="none"/>
              </w:rPr>
            </w:pPr>
            <w:r>
              <w:rPr>
                <w:rFonts w:hint="eastAsia" w:ascii="宋体" w:hAnsi="宋体" w:cs="宋体"/>
                <w:kern w:val="0"/>
                <w:sz w:val="21"/>
                <w:szCs w:val="21"/>
                <w:highlight w:val="none"/>
              </w:rPr>
              <w:t>支持危急值报表数据获取</w:t>
            </w:r>
          </w:p>
          <w:p>
            <w:pPr>
              <w:widowControl/>
              <w:numPr>
                <w:ilvl w:val="0"/>
                <w:numId w:val="1"/>
              </w:numPr>
              <w:spacing w:line="360" w:lineRule="auto"/>
              <w:ind w:left="425" w:leftChars="0" w:hanging="425" w:firstLineChars="0"/>
              <w:jc w:val="left"/>
              <w:rPr>
                <w:rFonts w:hint="eastAsia" w:ascii="宋体" w:hAnsi="宋体" w:cs="宋体"/>
                <w:kern w:val="0"/>
                <w:sz w:val="21"/>
                <w:szCs w:val="21"/>
                <w:highlight w:val="none"/>
              </w:rPr>
            </w:pPr>
            <w:r>
              <w:rPr>
                <w:rFonts w:hint="eastAsia" w:ascii="宋体" w:hAnsi="宋体" w:cs="宋体"/>
                <w:kern w:val="0"/>
                <w:sz w:val="21"/>
                <w:szCs w:val="21"/>
                <w:highlight w:val="none"/>
              </w:rPr>
              <w:t>支持病案首页超时提醒功能缺失</w:t>
            </w:r>
          </w:p>
          <w:p>
            <w:pPr>
              <w:widowControl/>
              <w:numPr>
                <w:ilvl w:val="0"/>
                <w:numId w:val="1"/>
              </w:numPr>
              <w:spacing w:line="360" w:lineRule="auto"/>
              <w:ind w:left="425" w:leftChars="0" w:hanging="425" w:firstLineChars="0"/>
              <w:jc w:val="left"/>
              <w:rPr>
                <w:rFonts w:hint="eastAsia" w:ascii="宋体" w:hAnsi="宋体" w:cs="宋体"/>
                <w:kern w:val="0"/>
                <w:sz w:val="21"/>
                <w:szCs w:val="21"/>
                <w:highlight w:val="none"/>
              </w:rPr>
            </w:pPr>
            <w:r>
              <w:rPr>
                <w:rFonts w:hint="eastAsia" w:ascii="宋体" w:hAnsi="宋体" w:cs="宋体"/>
                <w:kern w:val="0"/>
                <w:sz w:val="21"/>
                <w:szCs w:val="21"/>
                <w:highlight w:val="none"/>
              </w:rPr>
              <w:t>支持调用HIS病案首页</w:t>
            </w:r>
          </w:p>
          <w:p>
            <w:pPr>
              <w:widowControl/>
              <w:numPr>
                <w:ilvl w:val="0"/>
                <w:numId w:val="1"/>
              </w:numPr>
              <w:spacing w:line="360" w:lineRule="auto"/>
              <w:ind w:left="425" w:leftChars="0" w:hanging="425" w:firstLineChars="0"/>
              <w:jc w:val="left"/>
              <w:rPr>
                <w:rFonts w:hint="eastAsia" w:ascii="宋体" w:hAnsi="宋体" w:cs="宋体"/>
                <w:kern w:val="0"/>
                <w:sz w:val="21"/>
                <w:szCs w:val="21"/>
                <w:highlight w:val="none"/>
              </w:rPr>
            </w:pPr>
            <w:r>
              <w:rPr>
                <w:rFonts w:hint="eastAsia" w:ascii="宋体" w:hAnsi="宋体" w:cs="宋体"/>
                <w:kern w:val="0"/>
                <w:sz w:val="21"/>
                <w:szCs w:val="21"/>
                <w:highlight w:val="none"/>
              </w:rPr>
              <w:t>支持医保事前事中审核</w:t>
            </w:r>
          </w:p>
          <w:p>
            <w:pPr>
              <w:widowControl/>
              <w:numPr>
                <w:ilvl w:val="0"/>
                <w:numId w:val="1"/>
              </w:numPr>
              <w:spacing w:line="360" w:lineRule="auto"/>
              <w:ind w:left="425" w:leftChars="0" w:hanging="425" w:firstLineChars="0"/>
              <w:jc w:val="left"/>
              <w:rPr>
                <w:rFonts w:hint="eastAsia" w:ascii="宋体" w:hAnsi="宋体" w:cs="宋体"/>
                <w:kern w:val="0"/>
                <w:sz w:val="21"/>
                <w:szCs w:val="21"/>
                <w:highlight w:val="none"/>
              </w:rPr>
            </w:pPr>
            <w:r>
              <w:rPr>
                <w:rFonts w:hint="eastAsia" w:ascii="宋体" w:hAnsi="宋体" w:cs="宋体"/>
                <w:kern w:val="0"/>
                <w:sz w:val="21"/>
                <w:szCs w:val="21"/>
                <w:highlight w:val="none"/>
              </w:rPr>
              <w:t>支持住院医生在填写病历时，可将危急值处理意见引用到病历中。 危急值处理意见如何获取，接口如何改造。</w:t>
            </w:r>
          </w:p>
          <w:p>
            <w:pPr>
              <w:widowControl/>
              <w:numPr>
                <w:ilvl w:val="0"/>
                <w:numId w:val="1"/>
              </w:numPr>
              <w:spacing w:line="360" w:lineRule="auto"/>
              <w:ind w:left="425" w:leftChars="0" w:hanging="425" w:firstLineChars="0"/>
              <w:jc w:val="left"/>
              <w:rPr>
                <w:rFonts w:hint="eastAsia" w:ascii="宋体" w:hAnsi="宋体" w:cs="宋体"/>
                <w:kern w:val="0"/>
                <w:sz w:val="21"/>
                <w:szCs w:val="21"/>
                <w:highlight w:val="none"/>
              </w:rPr>
            </w:pPr>
            <w:r>
              <w:rPr>
                <w:rFonts w:hint="eastAsia" w:ascii="宋体" w:hAnsi="宋体" w:cs="宋体"/>
                <w:kern w:val="0"/>
                <w:sz w:val="21"/>
                <w:szCs w:val="21"/>
                <w:highlight w:val="none"/>
              </w:rPr>
              <w:t>支持传染病报告卡接口方案</w:t>
            </w:r>
          </w:p>
          <w:p>
            <w:pPr>
              <w:widowControl/>
              <w:numPr>
                <w:ilvl w:val="0"/>
                <w:numId w:val="1"/>
              </w:numPr>
              <w:spacing w:line="360" w:lineRule="auto"/>
              <w:ind w:left="425" w:leftChars="0" w:hanging="425" w:firstLineChars="0"/>
              <w:jc w:val="left"/>
              <w:rPr>
                <w:rFonts w:hint="eastAsia" w:ascii="宋体" w:hAnsi="宋体" w:cs="宋体"/>
                <w:kern w:val="0"/>
                <w:sz w:val="21"/>
                <w:szCs w:val="21"/>
                <w:highlight w:val="none"/>
              </w:rPr>
            </w:pPr>
            <w:r>
              <w:rPr>
                <w:rFonts w:hint="eastAsia" w:ascii="宋体" w:hAnsi="宋体" w:cs="宋体"/>
                <w:kern w:val="0"/>
                <w:sz w:val="21"/>
                <w:szCs w:val="21"/>
                <w:highlight w:val="none"/>
              </w:rPr>
              <w:t>支持检验申请生理周期值接口改造</w:t>
            </w:r>
          </w:p>
          <w:p>
            <w:pPr>
              <w:widowControl/>
              <w:numPr>
                <w:ilvl w:val="0"/>
                <w:numId w:val="1"/>
              </w:numPr>
              <w:spacing w:line="360" w:lineRule="auto"/>
              <w:ind w:left="425" w:leftChars="0" w:hanging="425" w:firstLineChars="0"/>
              <w:jc w:val="left"/>
              <w:rPr>
                <w:rFonts w:hint="eastAsia" w:ascii="宋体" w:hAnsi="宋体" w:cs="宋体"/>
                <w:kern w:val="0"/>
                <w:sz w:val="21"/>
                <w:szCs w:val="21"/>
                <w:highlight w:val="none"/>
              </w:rPr>
            </w:pPr>
            <w:r>
              <w:rPr>
                <w:rFonts w:hint="eastAsia" w:ascii="宋体" w:hAnsi="宋体" w:cs="宋体"/>
                <w:kern w:val="0"/>
                <w:sz w:val="21"/>
                <w:szCs w:val="21"/>
                <w:highlight w:val="none"/>
              </w:rPr>
              <w:t>支持长期、临时医嘱标识：医院临时、长期医嘱是以频率做为区分，下达ONCE的为临时医嘱，其他为长期医嘱；</w:t>
            </w:r>
          </w:p>
          <w:p>
            <w:pPr>
              <w:widowControl/>
              <w:numPr>
                <w:ilvl w:val="0"/>
                <w:numId w:val="1"/>
              </w:numPr>
              <w:spacing w:line="360" w:lineRule="auto"/>
              <w:ind w:left="425" w:leftChars="0" w:hanging="425" w:firstLineChars="0"/>
              <w:jc w:val="left"/>
              <w:rPr>
                <w:rFonts w:hint="eastAsia" w:ascii="宋体" w:hAnsi="宋体" w:cs="宋体"/>
                <w:kern w:val="0"/>
                <w:sz w:val="21"/>
                <w:szCs w:val="21"/>
                <w:highlight w:val="none"/>
              </w:rPr>
            </w:pPr>
            <w:r>
              <w:rPr>
                <w:rFonts w:hint="eastAsia" w:ascii="宋体" w:hAnsi="宋体" w:cs="宋体"/>
                <w:kern w:val="0"/>
                <w:sz w:val="21"/>
                <w:szCs w:val="21"/>
                <w:highlight w:val="none"/>
              </w:rPr>
              <w:t>支持出院带药增加天数填写框，HIS接收医嘱数据时要保存</w:t>
            </w:r>
          </w:p>
          <w:p>
            <w:pPr>
              <w:widowControl/>
              <w:numPr>
                <w:ilvl w:val="0"/>
                <w:numId w:val="1"/>
              </w:numPr>
              <w:spacing w:line="360" w:lineRule="auto"/>
              <w:ind w:left="425" w:leftChars="0" w:hanging="425" w:firstLineChars="0"/>
              <w:jc w:val="left"/>
              <w:rPr>
                <w:rFonts w:hint="eastAsia" w:ascii="宋体" w:hAnsi="宋体" w:cs="宋体"/>
                <w:kern w:val="0"/>
                <w:sz w:val="21"/>
                <w:szCs w:val="21"/>
                <w:highlight w:val="none"/>
              </w:rPr>
            </w:pPr>
            <w:r>
              <w:rPr>
                <w:rFonts w:hint="eastAsia" w:ascii="宋体" w:hAnsi="宋体" w:cs="宋体"/>
                <w:kern w:val="0"/>
                <w:sz w:val="21"/>
                <w:szCs w:val="21"/>
                <w:highlight w:val="none"/>
              </w:rPr>
              <w:t>支持临床实验登记相关接口</w:t>
            </w:r>
          </w:p>
          <w:p>
            <w:pPr>
              <w:widowControl/>
              <w:numPr>
                <w:ilvl w:val="0"/>
                <w:numId w:val="1"/>
              </w:numPr>
              <w:spacing w:line="360" w:lineRule="auto"/>
              <w:ind w:left="425" w:leftChars="0" w:hanging="425" w:firstLineChars="0"/>
              <w:jc w:val="left"/>
              <w:rPr>
                <w:rFonts w:hint="eastAsia" w:ascii="宋体" w:hAnsi="宋体" w:cs="宋体"/>
                <w:kern w:val="0"/>
                <w:sz w:val="21"/>
                <w:szCs w:val="21"/>
                <w:highlight w:val="none"/>
              </w:rPr>
            </w:pPr>
            <w:r>
              <w:rPr>
                <w:rFonts w:hint="eastAsia" w:ascii="宋体" w:hAnsi="宋体" w:cs="宋体"/>
                <w:kern w:val="0"/>
                <w:sz w:val="21"/>
                <w:szCs w:val="21"/>
                <w:highlight w:val="none"/>
              </w:rPr>
              <w:t>支持事前审方退回原因是否回传电子病历系统</w:t>
            </w:r>
          </w:p>
          <w:p>
            <w:pPr>
              <w:widowControl/>
              <w:numPr>
                <w:ilvl w:val="0"/>
                <w:numId w:val="1"/>
              </w:numPr>
              <w:spacing w:line="360" w:lineRule="auto"/>
              <w:ind w:left="425" w:leftChars="0" w:hanging="425" w:firstLineChars="0"/>
              <w:jc w:val="left"/>
              <w:rPr>
                <w:rFonts w:hint="eastAsia" w:ascii="宋体" w:hAnsi="宋体" w:cs="宋体"/>
                <w:kern w:val="0"/>
                <w:sz w:val="21"/>
                <w:szCs w:val="21"/>
                <w:highlight w:val="none"/>
              </w:rPr>
            </w:pPr>
            <w:r>
              <w:rPr>
                <w:rFonts w:hint="eastAsia" w:ascii="宋体" w:hAnsi="宋体" w:cs="宋体"/>
                <w:kern w:val="0"/>
                <w:sz w:val="21"/>
                <w:szCs w:val="21"/>
                <w:highlight w:val="none"/>
              </w:rPr>
              <w:t>支持输血系统回写医嘱给HIS改为给电子病历系统</w:t>
            </w:r>
          </w:p>
          <w:p>
            <w:pPr>
              <w:widowControl/>
              <w:numPr>
                <w:ilvl w:val="0"/>
                <w:numId w:val="1"/>
              </w:numPr>
              <w:spacing w:line="360" w:lineRule="auto"/>
              <w:ind w:left="425" w:leftChars="0" w:hanging="425" w:firstLineChars="0"/>
              <w:jc w:val="left"/>
              <w:rPr>
                <w:rFonts w:hint="eastAsia" w:ascii="宋体" w:hAnsi="宋体" w:cs="宋体"/>
                <w:kern w:val="0"/>
                <w:sz w:val="21"/>
                <w:szCs w:val="21"/>
                <w:highlight w:val="none"/>
              </w:rPr>
            </w:pPr>
            <w:r>
              <w:rPr>
                <w:rFonts w:hint="eastAsia" w:ascii="宋体" w:hAnsi="宋体" w:cs="宋体"/>
                <w:kern w:val="0"/>
                <w:sz w:val="21"/>
                <w:szCs w:val="21"/>
                <w:highlight w:val="none"/>
              </w:rPr>
              <w:t>支持放疗收费回写医嘱给HIS改为给电子病历系统</w:t>
            </w:r>
          </w:p>
          <w:p>
            <w:pPr>
              <w:widowControl/>
              <w:numPr>
                <w:ilvl w:val="0"/>
                <w:numId w:val="1"/>
              </w:numPr>
              <w:spacing w:line="360" w:lineRule="auto"/>
              <w:ind w:left="425" w:leftChars="0" w:hanging="425" w:firstLineChars="0"/>
              <w:jc w:val="left"/>
              <w:rPr>
                <w:rFonts w:hint="eastAsia" w:ascii="宋体" w:hAnsi="宋体" w:cs="宋体"/>
                <w:kern w:val="0"/>
                <w:sz w:val="21"/>
                <w:szCs w:val="21"/>
                <w:highlight w:val="none"/>
              </w:rPr>
            </w:pPr>
            <w:r>
              <w:rPr>
                <w:rFonts w:hint="eastAsia" w:ascii="宋体" w:hAnsi="宋体" w:cs="宋体"/>
                <w:kern w:val="0"/>
                <w:sz w:val="21"/>
                <w:szCs w:val="21"/>
                <w:highlight w:val="none"/>
              </w:rPr>
              <w:t>支持临床路径接口</w:t>
            </w:r>
          </w:p>
          <w:p>
            <w:pPr>
              <w:widowControl/>
              <w:numPr>
                <w:ilvl w:val="0"/>
                <w:numId w:val="1"/>
              </w:numPr>
              <w:spacing w:line="360" w:lineRule="auto"/>
              <w:ind w:left="425" w:leftChars="0" w:hanging="425" w:firstLineChars="0"/>
              <w:jc w:val="left"/>
              <w:rPr>
                <w:rFonts w:hint="eastAsia" w:ascii="宋体" w:hAnsi="宋体" w:cs="宋体"/>
                <w:kern w:val="0"/>
                <w:sz w:val="21"/>
                <w:szCs w:val="21"/>
                <w:highlight w:val="none"/>
              </w:rPr>
            </w:pPr>
            <w:r>
              <w:rPr>
                <w:rFonts w:hint="eastAsia" w:ascii="宋体" w:hAnsi="宋体" w:cs="宋体"/>
                <w:kern w:val="0"/>
                <w:sz w:val="21"/>
                <w:szCs w:val="21"/>
                <w:highlight w:val="none"/>
              </w:rPr>
              <w:t>支持特殊使用级抗菌药物管理流程配置</w:t>
            </w:r>
          </w:p>
          <w:p>
            <w:pPr>
              <w:widowControl/>
              <w:numPr>
                <w:ilvl w:val="0"/>
                <w:numId w:val="1"/>
              </w:numPr>
              <w:spacing w:line="360" w:lineRule="auto"/>
              <w:ind w:left="425" w:leftChars="0" w:hanging="425" w:firstLineChars="0"/>
              <w:jc w:val="left"/>
              <w:rPr>
                <w:rFonts w:hint="eastAsia" w:ascii="宋体" w:hAnsi="宋体" w:cs="宋体"/>
                <w:kern w:val="0"/>
                <w:sz w:val="21"/>
                <w:szCs w:val="21"/>
                <w:highlight w:val="none"/>
              </w:rPr>
            </w:pPr>
            <w:r>
              <w:rPr>
                <w:rFonts w:hint="eastAsia" w:ascii="宋体" w:hAnsi="宋体" w:cs="宋体"/>
                <w:kern w:val="0"/>
                <w:sz w:val="21"/>
                <w:szCs w:val="21"/>
                <w:highlight w:val="none"/>
              </w:rPr>
              <w:t>支持医生越级使用抗菌药物需填写越级原因</w:t>
            </w:r>
          </w:p>
          <w:p>
            <w:pPr>
              <w:widowControl/>
              <w:numPr>
                <w:ilvl w:val="0"/>
                <w:numId w:val="1"/>
              </w:numPr>
              <w:spacing w:line="360" w:lineRule="auto"/>
              <w:ind w:left="425" w:leftChars="0" w:hanging="425" w:firstLineChars="0"/>
              <w:jc w:val="left"/>
              <w:rPr>
                <w:rFonts w:hint="eastAsia" w:ascii="宋体" w:hAnsi="宋体" w:cs="宋体"/>
                <w:kern w:val="0"/>
                <w:sz w:val="21"/>
                <w:szCs w:val="21"/>
                <w:highlight w:val="none"/>
              </w:rPr>
            </w:pPr>
            <w:r>
              <w:rPr>
                <w:rFonts w:hint="eastAsia" w:ascii="宋体" w:hAnsi="宋体" w:cs="宋体"/>
                <w:kern w:val="0"/>
                <w:sz w:val="21"/>
                <w:szCs w:val="21"/>
                <w:highlight w:val="none"/>
              </w:rPr>
              <w:t>支持检验申请标本类型字典、接口改造方案</w:t>
            </w:r>
          </w:p>
          <w:p>
            <w:pPr>
              <w:widowControl/>
              <w:numPr>
                <w:ilvl w:val="0"/>
                <w:numId w:val="1"/>
              </w:numPr>
              <w:spacing w:line="360" w:lineRule="auto"/>
              <w:ind w:left="425" w:leftChars="0" w:hanging="425" w:firstLineChars="0"/>
              <w:jc w:val="left"/>
              <w:rPr>
                <w:rFonts w:hint="eastAsia" w:ascii="宋体" w:hAnsi="宋体" w:cs="宋体"/>
                <w:kern w:val="0"/>
                <w:sz w:val="21"/>
                <w:szCs w:val="21"/>
                <w:highlight w:val="none"/>
              </w:rPr>
            </w:pPr>
            <w:r>
              <w:rPr>
                <w:rFonts w:hint="eastAsia" w:ascii="宋体" w:hAnsi="宋体" w:cs="宋体"/>
                <w:kern w:val="0"/>
                <w:sz w:val="21"/>
                <w:szCs w:val="21"/>
                <w:highlight w:val="none"/>
              </w:rPr>
              <w:t>支持申请单线上流程改造和应用推广</w:t>
            </w:r>
          </w:p>
          <w:p>
            <w:pPr>
              <w:widowControl/>
              <w:numPr>
                <w:ilvl w:val="0"/>
                <w:numId w:val="1"/>
              </w:numPr>
              <w:spacing w:line="360" w:lineRule="auto"/>
              <w:ind w:left="425" w:leftChars="0" w:hanging="425" w:firstLineChars="0"/>
              <w:jc w:val="left"/>
              <w:rPr>
                <w:rFonts w:hint="eastAsia" w:ascii="宋体" w:hAnsi="宋体" w:cs="宋体"/>
                <w:kern w:val="0"/>
                <w:sz w:val="21"/>
                <w:szCs w:val="21"/>
                <w:highlight w:val="none"/>
              </w:rPr>
            </w:pPr>
            <w:r>
              <w:rPr>
                <w:rFonts w:hint="eastAsia" w:ascii="宋体" w:hAnsi="宋体" w:cs="宋体"/>
                <w:kern w:val="0"/>
                <w:sz w:val="21"/>
                <w:szCs w:val="21"/>
                <w:highlight w:val="none"/>
              </w:rPr>
              <w:t>支持病历质控应用率提高</w:t>
            </w:r>
          </w:p>
          <w:p>
            <w:pPr>
              <w:widowControl/>
              <w:numPr>
                <w:ilvl w:val="0"/>
                <w:numId w:val="1"/>
              </w:numPr>
              <w:spacing w:line="360" w:lineRule="auto"/>
              <w:ind w:left="425" w:leftChars="0" w:hanging="425" w:firstLineChars="0"/>
              <w:jc w:val="left"/>
              <w:rPr>
                <w:rFonts w:hint="eastAsia" w:ascii="宋体" w:hAnsi="宋体" w:cs="宋体"/>
                <w:kern w:val="0"/>
                <w:sz w:val="21"/>
                <w:szCs w:val="21"/>
                <w:highlight w:val="none"/>
              </w:rPr>
            </w:pPr>
            <w:r>
              <w:rPr>
                <w:rFonts w:hint="eastAsia" w:ascii="宋体" w:hAnsi="宋体" w:cs="宋体"/>
                <w:kern w:val="0"/>
                <w:sz w:val="21"/>
                <w:szCs w:val="21"/>
                <w:highlight w:val="none"/>
              </w:rPr>
              <w:t>支持患者自备药管理</w:t>
            </w:r>
          </w:p>
          <w:p>
            <w:pPr>
              <w:widowControl/>
              <w:numPr>
                <w:ilvl w:val="0"/>
                <w:numId w:val="1"/>
              </w:numPr>
              <w:spacing w:line="360" w:lineRule="auto"/>
              <w:ind w:left="425" w:leftChars="0" w:hanging="425" w:firstLineChars="0"/>
              <w:jc w:val="left"/>
              <w:rPr>
                <w:rFonts w:hint="eastAsia" w:ascii="宋体" w:hAnsi="宋体" w:cs="宋体"/>
                <w:kern w:val="0"/>
                <w:sz w:val="21"/>
                <w:szCs w:val="21"/>
                <w:highlight w:val="none"/>
              </w:rPr>
            </w:pPr>
            <w:r>
              <w:rPr>
                <w:rFonts w:hint="eastAsia" w:ascii="宋体" w:hAnsi="宋体" w:cs="宋体"/>
                <w:kern w:val="0"/>
                <w:sz w:val="21"/>
                <w:szCs w:val="21"/>
                <w:highlight w:val="none"/>
              </w:rPr>
              <w:t>支持质控结果能反馈给相应的病历书写医师和管理者</w:t>
            </w:r>
          </w:p>
          <w:p>
            <w:pPr>
              <w:widowControl/>
              <w:numPr>
                <w:ilvl w:val="0"/>
                <w:numId w:val="1"/>
              </w:numPr>
              <w:spacing w:line="360" w:lineRule="auto"/>
              <w:ind w:left="425" w:leftChars="0" w:hanging="425" w:firstLineChars="0"/>
              <w:jc w:val="left"/>
              <w:rPr>
                <w:rFonts w:hint="eastAsia" w:ascii="宋体" w:hAnsi="宋体"/>
                <w:b/>
                <w:bCs/>
                <w:color w:val="000000"/>
                <w:kern w:val="0"/>
                <w:sz w:val="21"/>
                <w:szCs w:val="21"/>
                <w:highlight w:val="none"/>
              </w:rPr>
            </w:pPr>
            <w:r>
              <w:rPr>
                <w:rFonts w:hint="eastAsia" w:ascii="宋体" w:hAnsi="宋体" w:cs="宋体"/>
                <w:kern w:val="0"/>
                <w:sz w:val="21"/>
                <w:szCs w:val="21"/>
                <w:highlight w:val="none"/>
              </w:rPr>
              <w:t>支持检验申请生理周期强制</w:t>
            </w:r>
            <w:r>
              <w:rPr>
                <w:rFonts w:hint="eastAsia" w:ascii="宋体" w:hAnsi="宋体" w:eastAsia="宋体" w:cs="宋体"/>
                <w:kern w:val="0"/>
                <w:sz w:val="21"/>
                <w:szCs w:val="21"/>
                <w:highlight w:val="none"/>
              </w:rPr>
              <w:t>填写</w:t>
            </w:r>
            <w:r>
              <w:rPr>
                <w:rFonts w:hint="eastAsia" w:ascii="宋体" w:hAnsi="宋体" w:cs="宋体"/>
                <w:kern w:val="0"/>
                <w:sz w:val="21"/>
                <w:szCs w:val="21"/>
                <w:highlight w:val="none"/>
              </w:rPr>
              <w:t>功能</w:t>
            </w:r>
          </w:p>
        </w:tc>
      </w:tr>
    </w:tbl>
    <w:p>
      <w:pPr>
        <w:rPr>
          <w:highlight w:val="none"/>
        </w:rPr>
      </w:pP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right="0"/>
        <w:textAlignment w:val="baseline"/>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1.3电子病历评级数据质量指标监测系统升级（五级）</w:t>
      </w:r>
      <w:r>
        <w:rPr>
          <w:rFonts w:hint="default" w:ascii="仿宋_GB2312" w:hAnsi="仿宋_GB2312" w:cs="仿宋_GB2312"/>
          <w:sz w:val="32"/>
          <w:szCs w:val="32"/>
          <w:lang w:val="en-US" w:eastAsia="zh-CN"/>
        </w:rPr>
        <w:t xml:space="preserve"> </w:t>
      </w:r>
    </w:p>
    <w:tbl>
      <w:tblPr>
        <w:tblStyle w:val="14"/>
        <w:tblW w:w="8249" w:type="dxa"/>
        <w:tblInd w:w="108" w:type="dxa"/>
        <w:tblLayout w:type="fixed"/>
        <w:tblCellMar>
          <w:top w:w="0" w:type="dxa"/>
          <w:left w:w="108" w:type="dxa"/>
          <w:bottom w:w="0" w:type="dxa"/>
          <w:right w:w="108" w:type="dxa"/>
        </w:tblCellMar>
      </w:tblPr>
      <w:tblGrid>
        <w:gridCol w:w="1054"/>
        <w:gridCol w:w="1054"/>
        <w:gridCol w:w="1056"/>
        <w:gridCol w:w="5085"/>
      </w:tblGrid>
      <w:tr>
        <w:tblPrEx>
          <w:tblCellMar>
            <w:top w:w="0" w:type="dxa"/>
            <w:left w:w="108" w:type="dxa"/>
            <w:bottom w:w="0" w:type="dxa"/>
            <w:right w:w="108" w:type="dxa"/>
          </w:tblCellMar>
        </w:tblPrEx>
        <w:trPr>
          <w:trHeight w:val="654" w:hRule="atLeast"/>
        </w:trPr>
        <w:tc>
          <w:tcPr>
            <w:tcW w:w="3164"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hint="eastAsia" w:ascii="宋体" w:hAnsi="宋体"/>
                <w:b/>
                <w:bCs/>
                <w:color w:val="000000"/>
                <w:kern w:val="0"/>
                <w:sz w:val="22"/>
                <w:highlight w:val="none"/>
              </w:rPr>
            </w:pPr>
            <w:r>
              <w:rPr>
                <w:rFonts w:hint="eastAsia" w:ascii="宋体" w:hAnsi="宋体"/>
                <w:b/>
                <w:bCs/>
                <w:color w:val="000000"/>
                <w:kern w:val="0"/>
                <w:sz w:val="22"/>
                <w:highlight w:val="none"/>
              </w:rPr>
              <w:t>技术功能模块</w:t>
            </w:r>
          </w:p>
        </w:tc>
        <w:tc>
          <w:tcPr>
            <w:tcW w:w="5085" w:type="dxa"/>
            <w:tcBorders>
              <w:top w:val="single" w:color="auto" w:sz="4" w:space="0"/>
              <w:left w:val="nil"/>
              <w:bottom w:val="single" w:color="auto" w:sz="4" w:space="0"/>
              <w:right w:val="single" w:color="auto" w:sz="4" w:space="0"/>
            </w:tcBorders>
            <w:shd w:val="clear" w:color="auto" w:fill="D9D9D9"/>
            <w:vAlign w:val="center"/>
          </w:tcPr>
          <w:p>
            <w:pPr>
              <w:widowControl/>
              <w:jc w:val="center"/>
              <w:rPr>
                <w:rFonts w:hint="eastAsia" w:ascii="宋体" w:hAnsi="宋体"/>
                <w:b/>
                <w:bCs/>
                <w:color w:val="000000"/>
                <w:kern w:val="0"/>
                <w:sz w:val="22"/>
                <w:highlight w:val="none"/>
              </w:rPr>
            </w:pPr>
            <w:r>
              <w:rPr>
                <w:rFonts w:hint="eastAsia" w:ascii="宋体" w:hAnsi="宋体"/>
                <w:b/>
                <w:bCs/>
                <w:color w:val="000000"/>
                <w:kern w:val="0"/>
                <w:sz w:val="22"/>
                <w:highlight w:val="none"/>
              </w:rPr>
              <w:t>功能要求说明</w:t>
            </w:r>
          </w:p>
        </w:tc>
      </w:tr>
      <w:tr>
        <w:tblPrEx>
          <w:tblCellMar>
            <w:top w:w="0" w:type="dxa"/>
            <w:left w:w="108" w:type="dxa"/>
            <w:bottom w:w="0" w:type="dxa"/>
            <w:right w:w="108" w:type="dxa"/>
          </w:tblCellMar>
        </w:tblPrEx>
        <w:trPr>
          <w:trHeight w:val="270" w:hRule="atLeast"/>
        </w:trPr>
        <w:tc>
          <w:tcPr>
            <w:tcW w:w="105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病房医师</w:t>
            </w:r>
          </w:p>
        </w:tc>
        <w:tc>
          <w:tcPr>
            <w:tcW w:w="105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病房医嘱处理</w:t>
            </w:r>
          </w:p>
        </w:tc>
        <w:tc>
          <w:tcPr>
            <w:tcW w:w="105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01.01.3</w:t>
            </w:r>
          </w:p>
        </w:tc>
        <w:tc>
          <w:tcPr>
            <w:tcW w:w="508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(1)唯一性：医嘱记录标识</w:t>
            </w:r>
          </w:p>
        </w:tc>
      </w:tr>
      <w:tr>
        <w:tblPrEx>
          <w:tblCellMar>
            <w:top w:w="0" w:type="dxa"/>
            <w:left w:w="108" w:type="dxa"/>
            <w:bottom w:w="0" w:type="dxa"/>
            <w:right w:w="108" w:type="dxa"/>
          </w:tblCellMar>
        </w:tblPrEx>
        <w:trPr>
          <w:trHeight w:val="27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(2)合规性：关键数据项有全院统一的字典</w:t>
            </w:r>
          </w:p>
        </w:tc>
      </w:tr>
      <w:tr>
        <w:tblPrEx>
          <w:tblCellMar>
            <w:top w:w="0" w:type="dxa"/>
            <w:left w:w="108" w:type="dxa"/>
            <w:bottom w:w="0" w:type="dxa"/>
            <w:right w:w="108" w:type="dxa"/>
          </w:tblCellMar>
        </w:tblPrEx>
        <w:trPr>
          <w:trHeight w:val="54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01.01.4</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(1)完整性：医嘱记录中须具备满足医政监管要求的重要指标</w:t>
            </w:r>
          </w:p>
        </w:tc>
      </w:tr>
      <w:tr>
        <w:tblPrEx>
          <w:tblCellMar>
            <w:top w:w="0" w:type="dxa"/>
            <w:left w:w="108" w:type="dxa"/>
            <w:bottom w:w="0" w:type="dxa"/>
            <w:right w:w="108" w:type="dxa"/>
          </w:tblCellMar>
        </w:tblPrEx>
        <w:trPr>
          <w:trHeight w:val="27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(2)合规性：医嘱记录重要指标有全院统一的字典</w:t>
            </w:r>
          </w:p>
        </w:tc>
      </w:tr>
      <w:tr>
        <w:tblPrEx>
          <w:tblCellMar>
            <w:top w:w="0" w:type="dxa"/>
            <w:left w:w="108" w:type="dxa"/>
            <w:bottom w:w="0" w:type="dxa"/>
            <w:right w:w="108" w:type="dxa"/>
          </w:tblCellMar>
        </w:tblPrEx>
        <w:trPr>
          <w:trHeight w:val="27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01.01.5</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(1)完整性：医嘱记录中全部须具备全部常用项</w:t>
            </w:r>
          </w:p>
        </w:tc>
      </w:tr>
      <w:tr>
        <w:tblPrEx>
          <w:tblCellMar>
            <w:top w:w="0" w:type="dxa"/>
            <w:left w:w="108" w:type="dxa"/>
            <w:bottom w:w="0" w:type="dxa"/>
            <w:right w:w="108" w:type="dxa"/>
          </w:tblCellMar>
        </w:tblPrEx>
        <w:trPr>
          <w:trHeight w:val="27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(2)完整性：不良事件记录、传染病记录的必填项</w:t>
            </w:r>
          </w:p>
        </w:tc>
      </w:tr>
      <w:tr>
        <w:tblPrEx>
          <w:tblCellMar>
            <w:top w:w="0" w:type="dxa"/>
            <w:left w:w="108" w:type="dxa"/>
            <w:bottom w:w="0" w:type="dxa"/>
            <w:right w:w="108" w:type="dxa"/>
          </w:tblCellMar>
        </w:tblPrEx>
        <w:trPr>
          <w:trHeight w:val="27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(3)唯一性：患者院内外标识</w:t>
            </w:r>
          </w:p>
        </w:tc>
      </w:tr>
      <w:tr>
        <w:tblPrEx>
          <w:tblCellMar>
            <w:top w:w="0" w:type="dxa"/>
            <w:left w:w="108" w:type="dxa"/>
            <w:bottom w:w="0" w:type="dxa"/>
            <w:right w:w="108" w:type="dxa"/>
          </w:tblCellMar>
        </w:tblPrEx>
        <w:trPr>
          <w:trHeight w:val="54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(4)合规性：不良事件记录、传染病记录重要指标有全院统一的字典</w:t>
            </w:r>
          </w:p>
        </w:tc>
      </w:tr>
      <w:tr>
        <w:tblPrEx>
          <w:tblCellMar>
            <w:top w:w="0" w:type="dxa"/>
            <w:left w:w="108" w:type="dxa"/>
            <w:bottom w:w="0" w:type="dxa"/>
            <w:right w:w="108" w:type="dxa"/>
          </w:tblCellMar>
        </w:tblPrEx>
        <w:trPr>
          <w:trHeight w:val="54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(5)合规性：医嘱记录、不良事件记录、传染病记录中时间类型指标必须为日期型变量</w:t>
            </w:r>
          </w:p>
        </w:tc>
      </w:tr>
      <w:tr>
        <w:tblPrEx>
          <w:tblCellMar>
            <w:top w:w="0" w:type="dxa"/>
            <w:left w:w="108" w:type="dxa"/>
            <w:bottom w:w="0" w:type="dxa"/>
            <w:right w:w="108" w:type="dxa"/>
          </w:tblCellMar>
        </w:tblPrEx>
        <w:trPr>
          <w:trHeight w:val="27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(5)同一性：药疗医嘱记录与护理执行记录可对照</w:t>
            </w:r>
          </w:p>
        </w:tc>
      </w:tr>
      <w:tr>
        <w:tblPrEx>
          <w:tblCellMar>
            <w:top w:w="0" w:type="dxa"/>
            <w:left w:w="108" w:type="dxa"/>
            <w:bottom w:w="0" w:type="dxa"/>
            <w:right w:w="108" w:type="dxa"/>
          </w:tblCellMar>
        </w:tblPrEx>
        <w:trPr>
          <w:trHeight w:val="54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(6)同一性：住院患者标识与外部医疗记录患者标识可对照</w:t>
            </w:r>
          </w:p>
        </w:tc>
      </w:tr>
      <w:tr>
        <w:tblPrEx>
          <w:tblCellMar>
            <w:top w:w="0" w:type="dxa"/>
            <w:left w:w="108" w:type="dxa"/>
            <w:bottom w:w="0" w:type="dxa"/>
            <w:right w:w="108" w:type="dxa"/>
          </w:tblCellMar>
        </w:tblPrEx>
        <w:trPr>
          <w:trHeight w:val="27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病房检验检查申请</w:t>
            </w: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01.02.3</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(1)唯一性：申请记录标识</w:t>
            </w:r>
          </w:p>
        </w:tc>
      </w:tr>
      <w:tr>
        <w:tblPrEx>
          <w:tblCellMar>
            <w:top w:w="0" w:type="dxa"/>
            <w:left w:w="108" w:type="dxa"/>
            <w:bottom w:w="0" w:type="dxa"/>
            <w:right w:w="108" w:type="dxa"/>
          </w:tblCellMar>
        </w:tblPrEx>
        <w:trPr>
          <w:trHeight w:val="27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(2)合规性：检查、检验申请项目有全院统一的字典</w:t>
            </w:r>
          </w:p>
        </w:tc>
      </w:tr>
      <w:tr>
        <w:tblPrEx>
          <w:tblCellMar>
            <w:top w:w="0" w:type="dxa"/>
            <w:left w:w="108" w:type="dxa"/>
            <w:bottom w:w="0" w:type="dxa"/>
            <w:right w:w="108" w:type="dxa"/>
          </w:tblCellMar>
        </w:tblPrEx>
        <w:trPr>
          <w:trHeight w:val="54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01.02.4</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(1)完整性：检验申请记录、检查申请记录须具备满足医政监管要求的重要指标</w:t>
            </w:r>
          </w:p>
        </w:tc>
      </w:tr>
      <w:tr>
        <w:tblPrEx>
          <w:tblCellMar>
            <w:top w:w="0" w:type="dxa"/>
            <w:left w:w="108" w:type="dxa"/>
            <w:bottom w:w="0" w:type="dxa"/>
            <w:right w:w="108" w:type="dxa"/>
          </w:tblCellMar>
        </w:tblPrEx>
        <w:trPr>
          <w:trHeight w:val="54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(2)合规性：标本项目、检查部位字典有全院统一的字典</w:t>
            </w:r>
          </w:p>
        </w:tc>
      </w:tr>
      <w:tr>
        <w:tblPrEx>
          <w:tblCellMar>
            <w:top w:w="0" w:type="dxa"/>
            <w:left w:w="108" w:type="dxa"/>
            <w:bottom w:w="0" w:type="dxa"/>
            <w:right w:w="108" w:type="dxa"/>
          </w:tblCellMar>
        </w:tblPrEx>
        <w:trPr>
          <w:trHeight w:val="54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01.02.5</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(1)完整性：检验申请记录、检查申请记录须具备全部常用项</w:t>
            </w:r>
          </w:p>
        </w:tc>
      </w:tr>
      <w:tr>
        <w:tblPrEx>
          <w:tblCellMar>
            <w:top w:w="0" w:type="dxa"/>
            <w:left w:w="108" w:type="dxa"/>
            <w:bottom w:w="0" w:type="dxa"/>
            <w:right w:w="108" w:type="dxa"/>
          </w:tblCellMar>
        </w:tblPrEx>
        <w:trPr>
          <w:trHeight w:val="54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(2)合规性：检验申请记录、检查申请记录中时间类型指标必须为日期型变量</w:t>
            </w:r>
          </w:p>
        </w:tc>
      </w:tr>
      <w:tr>
        <w:tblPrEx>
          <w:tblCellMar>
            <w:top w:w="0" w:type="dxa"/>
            <w:left w:w="108" w:type="dxa"/>
            <w:bottom w:w="0" w:type="dxa"/>
            <w:right w:w="108" w:type="dxa"/>
          </w:tblCellMar>
        </w:tblPrEx>
        <w:trPr>
          <w:trHeight w:val="54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(3)同一性：检验申请记录、检查申请记录与医嘱记录可对照</w:t>
            </w:r>
          </w:p>
        </w:tc>
      </w:tr>
      <w:tr>
        <w:tblPrEx>
          <w:tblCellMar>
            <w:top w:w="0" w:type="dxa"/>
            <w:left w:w="108" w:type="dxa"/>
            <w:bottom w:w="0" w:type="dxa"/>
            <w:right w:w="108" w:type="dxa"/>
          </w:tblCellMar>
        </w:tblPrEx>
        <w:trPr>
          <w:trHeight w:val="54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(4)同一性：检验申请记录、检查申请记录与护理执行记录可对照</w:t>
            </w:r>
          </w:p>
        </w:tc>
      </w:tr>
      <w:tr>
        <w:tblPrEx>
          <w:tblCellMar>
            <w:top w:w="0" w:type="dxa"/>
            <w:left w:w="108" w:type="dxa"/>
            <w:bottom w:w="0" w:type="dxa"/>
            <w:right w:w="108" w:type="dxa"/>
          </w:tblCellMar>
        </w:tblPrEx>
        <w:trPr>
          <w:trHeight w:val="27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病房报告浏览</w:t>
            </w: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01.03.3</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(1)唯一性：检查、检验报告结果标识</w:t>
            </w:r>
          </w:p>
        </w:tc>
      </w:tr>
      <w:tr>
        <w:tblPrEx>
          <w:tblCellMar>
            <w:top w:w="0" w:type="dxa"/>
            <w:left w:w="108" w:type="dxa"/>
            <w:bottom w:w="0" w:type="dxa"/>
            <w:right w:w="108" w:type="dxa"/>
          </w:tblCellMar>
        </w:tblPrEx>
        <w:trPr>
          <w:trHeight w:val="54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(2)合规性：检查报告分类、检验结果有全院统一的字典</w:t>
            </w:r>
          </w:p>
        </w:tc>
      </w:tr>
      <w:tr>
        <w:tblPrEx>
          <w:tblCellMar>
            <w:top w:w="0" w:type="dxa"/>
            <w:left w:w="108" w:type="dxa"/>
            <w:bottom w:w="0" w:type="dxa"/>
            <w:right w:w="108" w:type="dxa"/>
          </w:tblCellMar>
        </w:tblPrEx>
        <w:trPr>
          <w:trHeight w:val="54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01.03.4</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(1)完整性：检验、检查报告、治疗记录须具备满足医政监管要求的重要指标</w:t>
            </w:r>
          </w:p>
        </w:tc>
      </w:tr>
      <w:tr>
        <w:tblPrEx>
          <w:tblCellMar>
            <w:top w:w="0" w:type="dxa"/>
            <w:left w:w="108" w:type="dxa"/>
            <w:bottom w:w="0" w:type="dxa"/>
            <w:right w:w="108" w:type="dxa"/>
          </w:tblCellMar>
        </w:tblPrEx>
        <w:trPr>
          <w:trHeight w:val="54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(2)合规性：检查、检验、治疗科室有全院统一的字典</w:t>
            </w:r>
          </w:p>
        </w:tc>
      </w:tr>
      <w:tr>
        <w:tblPrEx>
          <w:tblCellMar>
            <w:top w:w="0" w:type="dxa"/>
            <w:left w:w="108" w:type="dxa"/>
            <w:bottom w:w="0" w:type="dxa"/>
            <w:right w:w="108" w:type="dxa"/>
          </w:tblCellMar>
        </w:tblPrEx>
        <w:trPr>
          <w:trHeight w:val="54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01.03.5</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(1)完整性：检验、检查报告、治疗记录须具备全部常用项</w:t>
            </w:r>
          </w:p>
        </w:tc>
      </w:tr>
      <w:tr>
        <w:tblPrEx>
          <w:tblCellMar>
            <w:top w:w="0" w:type="dxa"/>
            <w:left w:w="108" w:type="dxa"/>
            <w:bottom w:w="0" w:type="dxa"/>
            <w:right w:w="108" w:type="dxa"/>
          </w:tblCellMar>
        </w:tblPrEx>
        <w:trPr>
          <w:trHeight w:val="27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(2)唯一性：患者院内外标识</w:t>
            </w:r>
          </w:p>
        </w:tc>
      </w:tr>
      <w:tr>
        <w:tblPrEx>
          <w:tblCellMar>
            <w:top w:w="0" w:type="dxa"/>
            <w:left w:w="108" w:type="dxa"/>
            <w:bottom w:w="0" w:type="dxa"/>
            <w:right w:w="108" w:type="dxa"/>
          </w:tblCellMar>
        </w:tblPrEx>
        <w:trPr>
          <w:trHeight w:val="54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(3)合规性：检验、检查报告、治疗记录中时间类型指标必须为日期型变量</w:t>
            </w:r>
          </w:p>
        </w:tc>
      </w:tr>
      <w:tr>
        <w:tblPrEx>
          <w:tblCellMar>
            <w:top w:w="0" w:type="dxa"/>
            <w:left w:w="108" w:type="dxa"/>
            <w:bottom w:w="0" w:type="dxa"/>
            <w:right w:w="108" w:type="dxa"/>
          </w:tblCellMar>
        </w:tblPrEx>
        <w:trPr>
          <w:trHeight w:val="54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(4)同一性：住院患者标识与外部医疗记录患者标识可对照</w:t>
            </w:r>
          </w:p>
        </w:tc>
      </w:tr>
      <w:tr>
        <w:tblPrEx>
          <w:tblCellMar>
            <w:top w:w="0" w:type="dxa"/>
            <w:left w:w="108" w:type="dxa"/>
            <w:bottom w:w="0" w:type="dxa"/>
            <w:right w:w="108" w:type="dxa"/>
          </w:tblCellMar>
        </w:tblPrEx>
        <w:trPr>
          <w:trHeight w:val="27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(5)唯一性：危急值记录标识</w:t>
            </w:r>
          </w:p>
        </w:tc>
      </w:tr>
      <w:tr>
        <w:tblPrEx>
          <w:tblCellMar>
            <w:top w:w="0" w:type="dxa"/>
            <w:left w:w="108" w:type="dxa"/>
            <w:bottom w:w="0" w:type="dxa"/>
            <w:right w:w="108" w:type="dxa"/>
          </w:tblCellMar>
        </w:tblPrEx>
        <w:trPr>
          <w:trHeight w:val="27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(6)完整性：危急值记录须具备全部常用项</w:t>
            </w:r>
          </w:p>
        </w:tc>
      </w:tr>
      <w:tr>
        <w:tblPrEx>
          <w:tblCellMar>
            <w:top w:w="0" w:type="dxa"/>
            <w:left w:w="108" w:type="dxa"/>
            <w:bottom w:w="0" w:type="dxa"/>
            <w:right w:w="108" w:type="dxa"/>
          </w:tblCellMar>
        </w:tblPrEx>
        <w:trPr>
          <w:trHeight w:val="27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病房病历记录</w:t>
            </w: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01.04.3</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(1)唯一性：病房病历记录标识</w:t>
            </w:r>
          </w:p>
        </w:tc>
      </w:tr>
      <w:tr>
        <w:tblPrEx>
          <w:tblCellMar>
            <w:top w:w="0" w:type="dxa"/>
            <w:left w:w="108" w:type="dxa"/>
            <w:bottom w:w="0" w:type="dxa"/>
            <w:right w:w="108" w:type="dxa"/>
          </w:tblCellMar>
        </w:tblPrEx>
        <w:trPr>
          <w:trHeight w:val="54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(2)合规性：病房病历记录分类、模板有全院统一的字典</w:t>
            </w:r>
          </w:p>
        </w:tc>
      </w:tr>
      <w:tr>
        <w:tblPrEx>
          <w:tblCellMar>
            <w:top w:w="0" w:type="dxa"/>
            <w:left w:w="108" w:type="dxa"/>
            <w:bottom w:w="0" w:type="dxa"/>
            <w:right w:w="108" w:type="dxa"/>
          </w:tblCellMar>
        </w:tblPrEx>
        <w:trPr>
          <w:trHeight w:val="54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01.04.4</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(1)完整性：病房病历记录须具备满足医政监管要求的重要指标</w:t>
            </w:r>
          </w:p>
        </w:tc>
      </w:tr>
      <w:tr>
        <w:tblPrEx>
          <w:tblCellMar>
            <w:top w:w="0" w:type="dxa"/>
            <w:left w:w="108" w:type="dxa"/>
            <w:bottom w:w="0" w:type="dxa"/>
            <w:right w:w="108" w:type="dxa"/>
          </w:tblCellMar>
        </w:tblPrEx>
        <w:trPr>
          <w:trHeight w:val="27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(2)完整性：病案首页须具备全部常用项</w:t>
            </w:r>
          </w:p>
        </w:tc>
      </w:tr>
      <w:tr>
        <w:tblPrEx>
          <w:tblCellMar>
            <w:top w:w="0" w:type="dxa"/>
            <w:left w:w="108" w:type="dxa"/>
            <w:bottom w:w="0" w:type="dxa"/>
            <w:right w:w="108" w:type="dxa"/>
          </w:tblCellMar>
        </w:tblPrEx>
        <w:trPr>
          <w:trHeight w:val="54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(3)合规性：科室、诊断、手术操作有全院统一的字典</w:t>
            </w:r>
          </w:p>
        </w:tc>
      </w:tr>
      <w:tr>
        <w:tblPrEx>
          <w:tblCellMar>
            <w:top w:w="0" w:type="dxa"/>
            <w:left w:w="108" w:type="dxa"/>
            <w:bottom w:w="0" w:type="dxa"/>
            <w:right w:w="108" w:type="dxa"/>
          </w:tblCellMar>
        </w:tblPrEx>
        <w:trPr>
          <w:trHeight w:val="27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01.04.5</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(1)完整性：病房病历记录须具备全部常用项</w:t>
            </w:r>
          </w:p>
        </w:tc>
      </w:tr>
      <w:tr>
        <w:tblPrEx>
          <w:tblCellMar>
            <w:top w:w="0" w:type="dxa"/>
            <w:left w:w="108" w:type="dxa"/>
            <w:bottom w:w="0" w:type="dxa"/>
            <w:right w:w="108" w:type="dxa"/>
          </w:tblCellMar>
        </w:tblPrEx>
        <w:trPr>
          <w:trHeight w:val="54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(2)完整性：病历修改记录、病历签名记录须具备全部常用项</w:t>
            </w:r>
          </w:p>
        </w:tc>
      </w:tr>
      <w:tr>
        <w:tblPrEx>
          <w:tblCellMar>
            <w:top w:w="0" w:type="dxa"/>
            <w:left w:w="108" w:type="dxa"/>
            <w:bottom w:w="0" w:type="dxa"/>
            <w:right w:w="108" w:type="dxa"/>
          </w:tblCellMar>
        </w:tblPrEx>
        <w:trPr>
          <w:trHeight w:val="54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(3)合规性：病房病历记录、病历修改记录、病历签名记录中时间类型指标必须为日期型变量</w:t>
            </w:r>
          </w:p>
        </w:tc>
      </w:tr>
      <w:tr>
        <w:tblPrEx>
          <w:tblCellMar>
            <w:top w:w="0" w:type="dxa"/>
            <w:left w:w="108" w:type="dxa"/>
            <w:bottom w:w="0" w:type="dxa"/>
            <w:right w:w="108" w:type="dxa"/>
          </w:tblCellMar>
        </w:tblPrEx>
        <w:trPr>
          <w:trHeight w:val="27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(4)同一性：病历记录与修改记录可对照</w:t>
            </w:r>
          </w:p>
        </w:tc>
      </w:tr>
      <w:tr>
        <w:tblPrEx>
          <w:tblCellMar>
            <w:top w:w="0" w:type="dxa"/>
            <w:left w:w="108" w:type="dxa"/>
            <w:bottom w:w="0" w:type="dxa"/>
            <w:right w:w="108" w:type="dxa"/>
          </w:tblCellMar>
        </w:tblPrEx>
        <w:trPr>
          <w:trHeight w:val="270" w:hRule="atLeast"/>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(5)同一性：病历记录与质控记录可对照</w:t>
            </w:r>
          </w:p>
        </w:tc>
      </w:tr>
      <w:tr>
        <w:tblPrEx>
          <w:tblCellMar>
            <w:top w:w="0" w:type="dxa"/>
            <w:left w:w="108" w:type="dxa"/>
            <w:bottom w:w="0" w:type="dxa"/>
            <w:right w:w="108" w:type="dxa"/>
          </w:tblCellMar>
        </w:tblPrEx>
        <w:trPr>
          <w:trHeight w:val="270" w:hRule="atLeast"/>
        </w:trPr>
        <w:tc>
          <w:tcPr>
            <w:tcW w:w="105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护理管理</w:t>
            </w:r>
          </w:p>
        </w:tc>
        <w:tc>
          <w:tcPr>
            <w:tcW w:w="105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患者管理与评估</w:t>
            </w: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02.01.3</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(1)唯一性：住院患者标识</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(2)合规性：病房、分区、床位有全院统一的字典</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02.01.4</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(1)完整性：护理评估记录须具备满足医政监管要求的重要指标</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(2)合规性：护理级别、入院方式、患者神志、病情有全院统一的字典</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02.01.5</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(1)完整性：护理评估记录须具备全部常用项</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(2)完整性：修改记录、签名记录须具备全部常用项</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(3)合规性：护理评估项目有全院统一的字典</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(4)合规性：护理评估记录、修改记录、签名记录中时间类型指标必须为日期型变量</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(5)同一性：患者登记记录与护理评估记录可对照</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(6)唯一性：患者院内外标识</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(7)同一性：住院患者标识与外部医疗记录患者标识可对照</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医嘱执行</w:t>
            </w: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02.02.3</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(1)唯一性：病房医嘱记录标识</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(2)合规性：医嘱项目有全院统一的字典</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02.02.4</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(1)完整性：医嘱执行记录须具备满足医政监管要求的重要指标</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(2)合规性：医嘱用法、给药途径、给药频次、药品单位有全院统一的字典</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02.02.5</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(1)完整性：医嘱执行记录须具备全部常用项</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(2)完整性：签名记录须具备全部常用项</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(3)合规性：护理评估记录、签名记录中时间类型指标必须为日期型变量</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(4)同一性：医嘱记录与护理执行记录可对照</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(2)同一性：住院患者标识与外部医疗记录患者标识可对照</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护理记录</w:t>
            </w: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02.03.3</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(1)唯一性：护理记录标识</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(2)合规性：护理记录条目、护理记录分类有全院统一的字典</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02.03.4</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(1)完整性：护理记录须具备满足医政监管要求的重要指标</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(2)合规性：生命体征、护理操作有全院统一的字典</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02.03.5</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(1)完整性：护理记录须具备全部常用项</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(2)完整性：护理计划须具备全部常用项</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(3)合规性：护理计划项目、护理措施有全院统一的字典</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(4)合规性：护理记录、护理计划中时间类型指标必须为日期型变量</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(5)同一性：护理计划与护理记录可对照</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(6)同一性：医嘱记录与护理记录可对照</w:t>
            </w:r>
          </w:p>
        </w:tc>
      </w:tr>
      <w:tr>
        <w:tblPrEx>
          <w:tblCellMar>
            <w:top w:w="0" w:type="dxa"/>
            <w:left w:w="108" w:type="dxa"/>
            <w:bottom w:w="0" w:type="dxa"/>
            <w:right w:w="108" w:type="dxa"/>
          </w:tblCellMar>
        </w:tblPrEx>
        <w:trPr>
          <w:trHeight w:val="270" w:hRule="atLeast"/>
        </w:trPr>
        <w:tc>
          <w:tcPr>
            <w:tcW w:w="105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门急诊医师</w:t>
            </w:r>
          </w:p>
        </w:tc>
        <w:tc>
          <w:tcPr>
            <w:tcW w:w="105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处方书写</w:t>
            </w: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03.01.3</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(1)唯一性：门急诊处方标识</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(2)合规性：药品字典有全院统一的字典</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03.01.4</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(1)完整性：门急诊处方记录中满足医政监管要求的重要指标</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(2)合规性：给药途径、药品用法、使用频次有全院统一的字典</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03.01.5</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(1)完整性：医嘱记录中须具备全部常用项</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(2)完整性：不良事件记录、传染病记录的必填项</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(3)唯一性：患者院内外标识</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(4)合规性：不良事件记录、传染病记录重要指标有全院统一的字典</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(5)合规性：门急诊处方记录、不良事件记录、传染病记录中时间类型指标必须为日期型变量</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(5)同一性：门急诊记录与门诊护理执行记录可对照</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(6)同一性：门急诊患者标识与外部医疗记录患者标识可对照</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(7)同一性：门急诊患者标识与住院医疗记录患者标识可对照</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门急诊检验检查申请</w:t>
            </w: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03.02.3</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(1)唯一性：申请记录标识</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(2)合规性：检查、检验申请项目有全院统一的字典</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03.02.4</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(1)完整性：检验申请记录、检查申请记录满足医政监管要求的重要指标</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(2)合规性：标本项目、检查部位字典有全院统一的字典</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03.02.5</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(1)完整性：检验申请记录、检查申请记录须具备全部常用项</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(2)合规性：检验申请记录、检查申请记录中时间类型指标必须为日期型变量</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(3)同一性：检验申请记录、检查申请记录与医嘱记录可对照</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(4)同一性：检验申请记录、检查申请记录与护理执行记录可对照</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门急诊报告查阅</w:t>
            </w: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03.03.3</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(1)唯一性：检查、检验报告结果标识</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(2)合规性：检查报告分类、检验结果、治疗项目有全院统一的字典</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03.03.4</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(1)完整性：检验、检查报告、治疗记录须具备满足医政监管要求的重要指标</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(2)合规性：检查、检验、治疗科室有全院统一的字典</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03.03.5</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(1)完整性：检验、检查报告、治疗记录须具备全部常用项</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(2)唯一性：患者院内外标识</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(3)合规性：检验、检查报告、治疗记录中时间类型指标必须为日期型变量</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(4)同一性：住院患者标识与外部医疗记录患者标识可对照</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(1)唯一性：危急值记录标识</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(2)完整性：危急值记录须具备全部常用项</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门急诊病历记录</w:t>
            </w: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03.04.3</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(1)唯一性：病房病历记录标识</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(2)合规性：病房病历记录分类、模板有全院统一的字典</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03.04.4</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(1)完整性：门急诊病历记录须具备满足医政监管要求的重要指标</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(2)合规性：科室、诊断、手术操作有全院统一的字典</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03.04.5</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(1)完整性：病房病历记录须具备全部常用项</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(2)完整性：病历修改记录、病历签名记录、急诊抢救须具备全部常用项</w:t>
            </w:r>
          </w:p>
        </w:tc>
      </w:tr>
      <w:tr>
        <w:tblPrEx>
          <w:tblCellMar>
            <w:top w:w="0" w:type="dxa"/>
            <w:left w:w="108" w:type="dxa"/>
            <w:bottom w:w="0" w:type="dxa"/>
            <w:right w:w="108" w:type="dxa"/>
          </w:tblCellMar>
        </w:tblPrEx>
        <w:trPr>
          <w:trHeight w:val="81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(3)合规性：病房病历记录、病历修改记录、病历签名记录、急诊抢救记录中时间类型指标必须为日期型变量</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(4)同一性：病历记录与修改记录可对照</w:t>
            </w:r>
          </w:p>
        </w:tc>
      </w:tr>
      <w:tr>
        <w:tblPrEx>
          <w:tblCellMar>
            <w:top w:w="0" w:type="dxa"/>
            <w:left w:w="108" w:type="dxa"/>
            <w:bottom w:w="0" w:type="dxa"/>
            <w:right w:w="108" w:type="dxa"/>
          </w:tblCellMar>
        </w:tblPrEx>
        <w:trPr>
          <w:trHeight w:val="270" w:hRule="atLeast"/>
        </w:trPr>
        <w:tc>
          <w:tcPr>
            <w:tcW w:w="105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检查处理</w:t>
            </w:r>
          </w:p>
        </w:tc>
        <w:tc>
          <w:tcPr>
            <w:tcW w:w="105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预约管理</w:t>
            </w: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05.01.3</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(1)唯一性：检查项目申请记录标识</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(2)合规性：检查申请项目、检查科室有全院统一的字典</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05.01.4</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(1)完整性：检查项目申请记录中须具备满足医政监管要求的重要指标</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(2)合规性：检查部位有全院统一的字典</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05.01.5</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(1)完整性：检查项目申请记录中须具备全部常用项</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(2)完整性：检查预约记录、预约排班记录中须具备全部常用项</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(3)合规性：申请记录、预约记录、预约排班表中时间类型指标必须为日期型变量</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(4)合规性：检查项目、检查诊室、检查科室有全院统一的字典</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(5)同一性：检查申请记录与医嘱记录可对照</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(6)同一性：检查申请记录与预约排班记录可对照</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检查记录</w:t>
            </w: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05.02.3</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(1)唯一性：检查项目执行记录标识</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(2)合规性：检查项目、检查科室有全院统一的字典</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05.02.4</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(1)完整性：检查执行记录中须具备满足医政监管要求的重要指标</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(2)合规性：检查部位、特殊人群标识有全院统一的字典</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05.02.5</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(1)完整性：检查记录中须具备全部常用项</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(2)合规性：检查记录中时间类型指标必须为日期型变量</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(3)合规性：检查项目、检查诊室、检查科室有全院统一的字典</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(4)同一性：检查记录与检查申请记录可对照</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(5)同一性：检查记录与预约记录可对照</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检查报告</w:t>
            </w: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05.03.3</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(1)唯一性：检查报告记录标识</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(2)合规性：检查报告分类、模板、检查科室有全院统一的字典</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05.03.4</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(1)完整性：检查报告记录中须具备满足医政监管要求的重要指标</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(2)合规性：检查部位有全院统一的字典</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05.03.5</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(1)完整性：检查报告记录中须具备全部常用项</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(2)完整性：检查危急值记录中须具备全部常用项</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(3)合规性：检查记录、检查危急值记录中时间类型指标必须为日期型变量</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(4)合规性：检查项目、危急值分类有全院统一的字典</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(5)同一性：检查报告与检查危急值记录可对照</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(6)同一性：检查记录与检查报告可对照</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检查图像</w:t>
            </w: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05.04.3</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(1)唯一性：检查图像记录标识</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(2)合规性：检查图像项目、分类、检查科室有全院统一的字典</w:t>
            </w:r>
          </w:p>
        </w:tc>
      </w:tr>
      <w:tr>
        <w:tblPrEx>
          <w:tblCellMar>
            <w:top w:w="0" w:type="dxa"/>
            <w:left w:w="108" w:type="dxa"/>
            <w:bottom w:w="0" w:type="dxa"/>
            <w:right w:w="108" w:type="dxa"/>
          </w:tblCellMar>
        </w:tblPrEx>
        <w:trPr>
          <w:trHeight w:val="316"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05.04.4</w:t>
            </w:r>
          </w:p>
        </w:tc>
        <w:tc>
          <w:tcPr>
            <w:tcW w:w="508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(1)完整性：检查图像记录中须具备满足医政监管要求的重要指标</w:t>
            </w:r>
          </w:p>
        </w:tc>
      </w:tr>
      <w:tr>
        <w:tblPrEx>
          <w:tblCellMar>
            <w:top w:w="0" w:type="dxa"/>
            <w:left w:w="108" w:type="dxa"/>
            <w:bottom w:w="0" w:type="dxa"/>
            <w:right w:w="108" w:type="dxa"/>
          </w:tblCellMar>
        </w:tblPrEx>
        <w:trPr>
          <w:trHeight w:val="312"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05.04.5</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(1)完整性：检查图像记录中须具备全部常用项</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(2)同一性：检查图像记录与检查申请记录可对照</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(3)同一性：检查图像记录与检查报告记录可对照</w:t>
            </w:r>
          </w:p>
        </w:tc>
      </w:tr>
      <w:tr>
        <w:tblPrEx>
          <w:tblCellMar>
            <w:top w:w="0" w:type="dxa"/>
            <w:left w:w="108" w:type="dxa"/>
            <w:bottom w:w="0" w:type="dxa"/>
            <w:right w:w="108" w:type="dxa"/>
          </w:tblCellMar>
        </w:tblPrEx>
        <w:trPr>
          <w:trHeight w:val="270" w:hRule="atLeast"/>
        </w:trPr>
        <w:tc>
          <w:tcPr>
            <w:tcW w:w="105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检验处理</w:t>
            </w:r>
          </w:p>
        </w:tc>
        <w:tc>
          <w:tcPr>
            <w:tcW w:w="105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标本处理</w:t>
            </w: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06.01.3</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(1)唯一性：检验项目申请记录标识</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(2)合规性：检验申请项目、标本类型有全院统一的字典</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06.01.4</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(1)完整性：检验申请记录中须具备满足医政监管要求的重要指标</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(2)合规性：使用耗材有全院统一的字典</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06.01.5</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(1)完整性：检验申请记录中须具备全部常用项</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(2)完整性：POCT记录中须具备全部常用项</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(3)合规性：检验申请记录中时间类型指标必须为日期型变量</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(4)同一性：标本记录与检验申请记录可对照</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检验结果记录</w:t>
            </w: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06.02.3</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(1)唯一性：检验结果记录标识</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Cs w:val="21"/>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Cs w:val="21"/>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(2)合规性：检验结果申请项目、分类有全院统一的字典</w:t>
            </w:r>
          </w:p>
        </w:tc>
      </w:tr>
      <w:tr>
        <w:tblPrEx>
          <w:tblCellMar>
            <w:top w:w="0" w:type="dxa"/>
            <w:left w:w="108" w:type="dxa"/>
            <w:bottom w:w="0" w:type="dxa"/>
            <w:right w:w="108" w:type="dxa"/>
          </w:tblCellMar>
        </w:tblPrEx>
        <w:trPr>
          <w:trHeight w:val="51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Cs w:val="21"/>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06.02.4</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(1)完整性：检验结果记录中须具备满足医政监管要求的重要指标</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Cs w:val="21"/>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Cs w:val="21"/>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(2)合规性：检验设备、检验方法有全院统一的字典</w:t>
            </w:r>
          </w:p>
        </w:tc>
      </w:tr>
      <w:tr>
        <w:tblPrEx>
          <w:tblCellMar>
            <w:top w:w="0" w:type="dxa"/>
            <w:left w:w="108" w:type="dxa"/>
            <w:bottom w:w="0" w:type="dxa"/>
            <w:right w:w="108" w:type="dxa"/>
          </w:tblCellMar>
        </w:tblPrEx>
        <w:trPr>
          <w:trHeight w:val="51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Cs w:val="21"/>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06.02.5</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(1)完整性：检验结果记录、检验质控记录须具备全部常用项</w:t>
            </w:r>
          </w:p>
        </w:tc>
      </w:tr>
      <w:tr>
        <w:tblPrEx>
          <w:tblCellMar>
            <w:top w:w="0" w:type="dxa"/>
            <w:left w:w="108" w:type="dxa"/>
            <w:bottom w:w="0" w:type="dxa"/>
            <w:right w:w="108" w:type="dxa"/>
          </w:tblCellMar>
        </w:tblPrEx>
        <w:trPr>
          <w:trHeight w:val="51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Cs w:val="21"/>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Cs w:val="21"/>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(2)合规性：检验结果记录、检验质控记录时间类型指标必须为日期型变量</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Cs w:val="21"/>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Cs w:val="21"/>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(3)同一性：检验结果记录与检验申请记录可对照</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Cs w:val="21"/>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Cs w:val="21"/>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(4)同一性：检验申请记录与检验结果记录可对照</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报告生成</w:t>
            </w: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06.03.3</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(1)唯一性：检验报告记录标识</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(2)合规性：检验报告项目、分类有全院统一的字典</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06.03.4</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(1)完整性：检查报告记录中须具备满足医政监管要求的重要指标</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06.03.5</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(1)完整性：检验报告记录中须具备全部常用项</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(2)完整性：检验危急值记录中须具备全部常用项</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(3)合规性：检验记录、检验危急值记录中时间类型指标必须为日期型变量</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(4)合规性：检验项目、危急值分类有全院统一的字典</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(5)同一性：检验报告记录与检验申请记录可对照</w:t>
            </w:r>
          </w:p>
        </w:tc>
      </w:tr>
      <w:tr>
        <w:tblPrEx>
          <w:tblCellMar>
            <w:top w:w="0" w:type="dxa"/>
            <w:left w:w="108" w:type="dxa"/>
            <w:bottom w:w="0" w:type="dxa"/>
            <w:right w:w="108" w:type="dxa"/>
          </w:tblCellMar>
        </w:tblPrEx>
        <w:trPr>
          <w:trHeight w:val="270" w:hRule="atLeast"/>
        </w:trPr>
        <w:tc>
          <w:tcPr>
            <w:tcW w:w="105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治疗记录</w:t>
            </w:r>
          </w:p>
        </w:tc>
        <w:tc>
          <w:tcPr>
            <w:tcW w:w="105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一般治疗记录</w:t>
            </w: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07.01.3</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(1)唯一性：治疗记录标识</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(2)合规性：治疗项目、分类、治疗科室有全院统一的字典</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07.01.4</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(1)完整性：治疗记录中须具备满足医政监管要求的重要指标</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(2)合规性：治疗部位、位置有全院统一的字典</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07.01.5</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(1)完整性：治疗记录中须具备全部常用项</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(2)完整性：治疗评估记录、治疗计划记录须具备全部常用项</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(3)合规性：治疗记录、治疗评估记录、治疗计划记录中时间类型指标必须为日期型变量</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(4)同一性：治疗执行记录与治疗计划记录或治疗处方</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手术治疗记录</w:t>
            </w: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07.02.3</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(1)唯一性：手术申请记录、手术记录标识</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(2)合规性：手术名称有全院统一的字典</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07.02.4</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(1)完整性：手术申请记录、手术记录中须具备满足医政监管要求的重要指标</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(2)合规性：麻醉方式、术者有全院统一的字典</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07.02.5</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(1)完整性：手术申请记录、手术记录中须具备全部常用项</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(2)完整性：手术转运交接记录中须具备全部常用项</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(3)合规性：手术申请记录、手术记录、手术转运交接记录中时间类型指标必须为日期型变量</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(4)合规性：手术分类、手术分级有全院统一的字典</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(5)同一性：手术申请记录与麻醉记录可对照</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(6)同一性：手术记录与病案首页中的手术明细可对照</w:t>
            </w:r>
          </w:p>
        </w:tc>
      </w:tr>
      <w:tr>
        <w:tblPrEx>
          <w:tblCellMar>
            <w:top w:w="0" w:type="dxa"/>
            <w:left w:w="108" w:type="dxa"/>
            <w:bottom w:w="0" w:type="dxa"/>
            <w:right w:w="108" w:type="dxa"/>
          </w:tblCellMar>
        </w:tblPrEx>
        <w:trPr>
          <w:trHeight w:val="81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(7)同一性：手术记录与手术过程文书记录(包括：术前讨论、手术记录、麻醉记录、护理记录、术后病程)可对照</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麻醉记录</w:t>
            </w: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07.03.4</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(1)唯一性：麻醉记录标识</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(2)完整性：麻醉记录中须具备满足医政监管要求的重要指标</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(2)合规性：麻醉方式、术者、麻醉医师有全院统一的字典</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07.03.5</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(1)完整性：麻醉记录中须具备全部常用项</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(2)完整性：麻醉术前访视记录、麻醉术前访视记录中须具备全部常用项</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(3)合规性：麻醉记录、麻醉术前访视记录、麻醉术前访视中时间类型指标必须为日期型变量</w:t>
            </w:r>
          </w:p>
        </w:tc>
      </w:tr>
      <w:tr>
        <w:tblPrEx>
          <w:tblCellMar>
            <w:top w:w="0" w:type="dxa"/>
            <w:left w:w="108" w:type="dxa"/>
            <w:bottom w:w="0" w:type="dxa"/>
            <w:right w:w="108" w:type="dxa"/>
          </w:tblCellMar>
        </w:tblPrEx>
        <w:trPr>
          <w:trHeight w:val="108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(7)同一性：麻醉术前访视记录与手术记录、术后访视记录、麻醉记录、麻醉风险评估、麻醉复苏记录、麻醉恢复记录、器械清点记录、麻醉术后评估可对照</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监护数据</w:t>
            </w: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07.04.4</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(1)唯一性：监护记录标识、院感评估记录</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(2)完整性：监护记录中、院感评估记录须具备满足医政监管要求的重要指标</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(2)合规性：监护记录分类有全院统一的字典</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07.04.5</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(1)完整性：监护记录、院感评估记录、重症监护记录、抢救记录须具备全部常用项</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(2)合规性：监护记录、院感评估记录、重症监护记录、抢救记录中时间类型指标必须为日期型变量</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(3)同一性：监护记录与检验结果记录可对照</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(4)同一性：监护记录与医嘱记录可对照</w:t>
            </w:r>
          </w:p>
        </w:tc>
      </w:tr>
      <w:tr>
        <w:tblPrEx>
          <w:tblCellMar>
            <w:top w:w="0" w:type="dxa"/>
            <w:left w:w="108" w:type="dxa"/>
            <w:bottom w:w="0" w:type="dxa"/>
            <w:right w:w="108" w:type="dxa"/>
          </w:tblCellMar>
        </w:tblPrEx>
        <w:trPr>
          <w:trHeight w:val="270" w:hRule="atLeast"/>
        </w:trPr>
        <w:tc>
          <w:tcPr>
            <w:tcW w:w="105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医疗保障</w:t>
            </w:r>
          </w:p>
        </w:tc>
        <w:tc>
          <w:tcPr>
            <w:tcW w:w="105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血液管理</w:t>
            </w: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08.01.3</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(1)唯一性：配血记录、用血记录标识</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(2)合规性：血液项目、分类有全院统一的字典</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08.01.4</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(1)完整性：配血记录、用血记录中须具备满足医政监管要求的重要指标</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(2)合规性：AB0血型、RH血型、单位有全院统一的字典</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08.01.5</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(1)完整性：血液库存记录、血液记录、配血记录、用血记录须具备全部常用项</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(2)合规性：血液记录、配血记录、用血记录中时间类型指标必须为日期型变量</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(3)同一性：血液库存记录与血液使用记录可对照</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(4)同一性：配血记录与输血记录可对照</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药事管理</w:t>
            </w: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08.02.3</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1)唯一性：门诊处方记录、住院医嘱记录标识</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(2)合规性：药品项目有全院统一的字典</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08.02.4</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(1)完整性：门诊处方记录、住院医嘱记录中须具备满足医政监管要求的重要指标</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(2)合规性：给药途径、用药频次、药品类型、抗生素级别有全院统一的字典</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08.02.5</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(1)完整性：门诊配药记录、住院配药记录、药品审核记录须具备全部常用项</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(2)合规性：门诊配药记录、住院配药记录、药品审核记录中时间类型指标必须为日期型变量</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(3)同一性：药品调剂记录和门诊处方记录可对照</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(4)同一性：药房配药记录与医嘱执行记录可对照</w:t>
            </w:r>
          </w:p>
        </w:tc>
      </w:tr>
      <w:tr>
        <w:tblPrEx>
          <w:tblCellMar>
            <w:top w:w="0" w:type="dxa"/>
            <w:left w:w="108" w:type="dxa"/>
            <w:bottom w:w="0" w:type="dxa"/>
            <w:right w:w="108" w:type="dxa"/>
          </w:tblCellMar>
        </w:tblPrEx>
        <w:trPr>
          <w:trHeight w:val="270" w:hRule="atLeast"/>
        </w:trPr>
        <w:tc>
          <w:tcPr>
            <w:tcW w:w="105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病历管理</w:t>
            </w:r>
          </w:p>
        </w:tc>
        <w:tc>
          <w:tcPr>
            <w:tcW w:w="105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病历质量控制</w:t>
            </w: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09.01.3</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(1)唯一性：病历质控记录标识</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(2)合规性：病历质控项目、分类有全院统一的字典</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09.01.4</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(1)完整性：病历质控记录中须具备满足医政监管要求的重要指标</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(2)合规性：病案错误字典有全院统一的字典</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09.01.5</w:t>
            </w: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(1)完整性：病历质控记录、病历传票记录、病历修改须具备全部常用项</w:t>
            </w:r>
          </w:p>
        </w:tc>
      </w:tr>
      <w:tr>
        <w:tblPrEx>
          <w:tblCellMar>
            <w:top w:w="0" w:type="dxa"/>
            <w:left w:w="108" w:type="dxa"/>
            <w:bottom w:w="0" w:type="dxa"/>
            <w:right w:w="108" w:type="dxa"/>
          </w:tblCellMar>
        </w:tblPrEx>
        <w:trPr>
          <w:trHeight w:val="54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(2)合规性：病历质控记录、病历传票记录、病历修改中时间类型指标必须为日期型变量</w:t>
            </w:r>
          </w:p>
        </w:tc>
      </w:tr>
      <w:tr>
        <w:tblPrEx>
          <w:tblCellMar>
            <w:top w:w="0" w:type="dxa"/>
            <w:left w:w="108" w:type="dxa"/>
            <w:bottom w:w="0" w:type="dxa"/>
            <w:right w:w="108" w:type="dxa"/>
          </w:tblCellMar>
        </w:tblPrEx>
        <w:trPr>
          <w:trHeight w:val="270" w:hRule="atLeast"/>
        </w:trPr>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highlight w:val="none"/>
              </w:rPr>
            </w:pPr>
          </w:p>
        </w:tc>
        <w:tc>
          <w:tcPr>
            <w:tcW w:w="5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(3)同一性：病历质控记录与病历记录可对照</w:t>
            </w:r>
          </w:p>
        </w:tc>
      </w:tr>
    </w:tbl>
    <w:p>
      <w:pPr>
        <w:rPr>
          <w:sz w:val="28"/>
          <w:szCs w:val="28"/>
          <w:highlight w:val="none"/>
        </w:rPr>
      </w:pP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right="0"/>
        <w:textAlignment w:val="baseline"/>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1.4临床辅助决策系统</w:t>
      </w:r>
    </w:p>
    <w:tbl>
      <w:tblPr>
        <w:tblStyle w:val="14"/>
        <w:tblW w:w="80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3"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b/>
                <w:bCs/>
                <w:color w:val="000000"/>
                <w:kern w:val="0"/>
                <w:sz w:val="22"/>
                <w:highlight w:val="none"/>
              </w:rPr>
            </w:pPr>
            <w:r>
              <w:rPr>
                <w:rFonts w:hint="eastAsia" w:ascii="宋体" w:hAnsi="宋体"/>
                <w:b/>
                <w:bCs/>
                <w:color w:val="000000"/>
                <w:kern w:val="0"/>
                <w:sz w:val="22"/>
                <w:highlight w:val="none"/>
              </w:rPr>
              <w:t>技术功能模块</w:t>
            </w:r>
          </w:p>
        </w:tc>
        <w:tc>
          <w:tcPr>
            <w:tcW w:w="6232"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b/>
                <w:bCs/>
                <w:color w:val="000000"/>
                <w:kern w:val="0"/>
                <w:sz w:val="22"/>
                <w:highlight w:val="none"/>
              </w:rPr>
            </w:pPr>
            <w:r>
              <w:rPr>
                <w:rFonts w:hint="eastAsia" w:ascii="宋体" w:hAnsi="宋体"/>
                <w:b/>
                <w:bCs/>
                <w:color w:val="000000"/>
                <w:kern w:val="0"/>
                <w:sz w:val="22"/>
                <w:highlight w:val="none"/>
              </w:rPr>
              <w:t>功能要求说明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b w:val="0"/>
                <w:bCs w:val="0"/>
                <w:color w:val="000000"/>
                <w:kern w:val="0"/>
                <w:sz w:val="22"/>
                <w:highlight w:val="none"/>
                <w:lang w:val="en-US" w:eastAsia="zh-CN"/>
              </w:rPr>
            </w:pPr>
            <w:r>
              <w:rPr>
                <w:rFonts w:hint="eastAsia" w:ascii="宋体" w:hAnsi="宋体"/>
                <w:b w:val="0"/>
                <w:bCs w:val="0"/>
                <w:color w:val="000000"/>
                <w:kern w:val="0"/>
                <w:sz w:val="22"/>
                <w:highlight w:val="none"/>
                <w:lang w:val="en-US" w:eastAsia="zh-CN"/>
              </w:rPr>
              <w:t>字典管理</w:t>
            </w:r>
          </w:p>
        </w:tc>
        <w:tc>
          <w:tcPr>
            <w:tcW w:w="623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b w:val="0"/>
                <w:bCs w:val="0"/>
                <w:color w:val="000000"/>
                <w:kern w:val="0"/>
                <w:sz w:val="22"/>
                <w:highlight w:val="none"/>
                <w:lang w:val="en-US" w:eastAsia="zh-CN"/>
              </w:rPr>
            </w:pPr>
            <w:r>
              <w:rPr>
                <w:rFonts w:hint="eastAsia" w:ascii="宋体" w:hAnsi="宋体"/>
                <w:b w:val="0"/>
                <w:bCs w:val="0"/>
                <w:color w:val="000000"/>
                <w:kern w:val="0"/>
                <w:sz w:val="22"/>
                <w:highlight w:val="none"/>
                <w:lang w:val="en-US" w:eastAsia="zh-CN"/>
              </w:rPr>
              <w:t>1、字典资源：需梳理国家、行业、地方标准形成医院标准字典集，为数据归一化奠基，搜集来源包含手术操作分类代码国家临床版 3.0、疾病分类与代码国家临床版 2.0 等各类行业标准字典，并提供标准字典目录，如手术、诊断、检验申请、检查申请、药品、检验报告、检查报告字典等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b w:val="0"/>
                <w:bCs w:val="0"/>
                <w:color w:val="000000"/>
                <w:kern w:val="0"/>
                <w:sz w:val="22"/>
                <w:highlight w:val="none"/>
                <w:lang w:val="en-US" w:eastAsia="zh-CN"/>
              </w:rPr>
            </w:pPr>
          </w:p>
        </w:tc>
        <w:tc>
          <w:tcPr>
            <w:tcW w:w="623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b w:val="0"/>
                <w:bCs w:val="0"/>
                <w:color w:val="000000"/>
                <w:kern w:val="0"/>
                <w:sz w:val="22"/>
                <w:highlight w:val="none"/>
                <w:lang w:val="en-US" w:eastAsia="zh-CN"/>
              </w:rPr>
            </w:pPr>
            <w:r>
              <w:rPr>
                <w:rFonts w:hint="eastAsia" w:ascii="宋体" w:hAnsi="宋体"/>
                <w:b w:val="0"/>
                <w:bCs w:val="0"/>
                <w:color w:val="000000"/>
                <w:kern w:val="0"/>
                <w:sz w:val="22"/>
                <w:highlight w:val="none"/>
                <w:lang w:val="en-US" w:eastAsia="zh-CN"/>
              </w:rPr>
              <w:t>2、字典对照：提供字典对照功能，支持决策字典数据与院内标准字典数据对照以满足辅助决策要求，且要提供自动对照功能，实现批量字典数据自动映射以提高效率；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b w:val="0"/>
                <w:bCs w:val="0"/>
                <w:color w:val="000000"/>
                <w:kern w:val="0"/>
                <w:sz w:val="22"/>
                <w:highlight w:val="none"/>
                <w:lang w:val="en-US" w:eastAsia="zh-CN"/>
              </w:rPr>
            </w:pPr>
          </w:p>
        </w:tc>
        <w:tc>
          <w:tcPr>
            <w:tcW w:w="623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b w:val="0"/>
                <w:bCs w:val="0"/>
                <w:color w:val="000000"/>
                <w:kern w:val="0"/>
                <w:sz w:val="22"/>
                <w:highlight w:val="none"/>
                <w:lang w:val="en-US" w:eastAsia="zh-CN"/>
              </w:rPr>
            </w:pPr>
            <w:r>
              <w:rPr>
                <w:rFonts w:hint="eastAsia" w:ascii="宋体" w:hAnsi="宋体"/>
                <w:b w:val="0"/>
                <w:bCs w:val="0"/>
                <w:color w:val="000000"/>
                <w:kern w:val="0"/>
                <w:sz w:val="22"/>
                <w:highlight w:val="none"/>
                <w:lang w:val="en-US" w:eastAsia="zh-CN"/>
              </w:rPr>
              <w:t>3、字典管理：支持医院自主扩充、修改、删除已存在字典，扩充时可维护名称、编码、拼音码，还支持对标准字典筛选、导出，并提供字典门户功能，集中展示各类标准字典分类，具备快速联动功能，可轻松跳转至特定字典模块，方便医护人员维护与更新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b w:val="0"/>
                <w:bCs w:val="0"/>
                <w:color w:val="000000"/>
                <w:kern w:val="0"/>
                <w:sz w:val="22"/>
                <w:highlight w:val="none"/>
                <w:lang w:val="en-US" w:eastAsia="zh-CN"/>
              </w:rPr>
            </w:pPr>
            <w:r>
              <w:rPr>
                <w:rFonts w:hint="eastAsia" w:ascii="宋体" w:hAnsi="宋体"/>
                <w:b w:val="0"/>
                <w:bCs w:val="0"/>
                <w:color w:val="000000"/>
                <w:kern w:val="0"/>
                <w:sz w:val="22"/>
                <w:highlight w:val="none"/>
                <w:lang w:val="en-US" w:eastAsia="zh-CN"/>
              </w:rPr>
              <w:t>医疗文献知识</w:t>
            </w:r>
          </w:p>
        </w:tc>
        <w:tc>
          <w:tcPr>
            <w:tcW w:w="623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b w:val="0"/>
                <w:bCs w:val="0"/>
                <w:color w:val="000000"/>
                <w:kern w:val="0"/>
                <w:sz w:val="22"/>
                <w:highlight w:val="none"/>
                <w:lang w:val="en-US" w:eastAsia="zh-CN"/>
              </w:rPr>
            </w:pPr>
            <w:r>
              <w:rPr>
                <w:rFonts w:hint="eastAsia" w:ascii="宋体" w:hAnsi="宋体"/>
                <w:b w:val="0"/>
                <w:bCs w:val="0"/>
                <w:color w:val="000000"/>
                <w:kern w:val="0"/>
                <w:sz w:val="22"/>
                <w:highlight w:val="none"/>
                <w:lang w:val="en-US" w:eastAsia="zh-CN"/>
              </w:rPr>
              <w:t>1、知识库资源：医疗文献知识具备医疗权威性；疾病主题专论超 1100 篇，参考前沿指南、循证医学证据编写，经权威三甲医院专家审核与本地化修订，独创特色板块为临床提供实操指导；经典图书 21 本，含 9 本 Doody 评分 90 分以上的“圣经级”图书，有 15000 + 医学图像；检验检查知识 2800 +，由 TOP15 医院权威专家结合多类资料独创；诊疗流程图 200 +，源于经典图书，覆盖常见疾病及前沿领域；药品说明书 20500 +，可标识特殊人群，内容全面准确；影像图片 15000 +，涵盖 X 光片、CT 扫描、MRI 图像，为诊断提供直观依据；前沿临床研究约 1000 篇，助力临床与科研结合；此外还有 500 + 其他知识，包括文献、政策文件、诊疗指南等多类内容，为医疗专业人员和公众提供全方位支持。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b w:val="0"/>
                <w:bCs w:val="0"/>
                <w:color w:val="000000"/>
                <w:kern w:val="0"/>
                <w:sz w:val="22"/>
                <w:highlight w:val="none"/>
                <w:lang w:val="en-US" w:eastAsia="zh-CN"/>
              </w:rPr>
            </w:pPr>
          </w:p>
        </w:tc>
        <w:tc>
          <w:tcPr>
            <w:tcW w:w="623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b w:val="0"/>
                <w:bCs w:val="0"/>
                <w:color w:val="000000"/>
                <w:kern w:val="0"/>
                <w:sz w:val="22"/>
                <w:highlight w:val="none"/>
                <w:lang w:val="en-US" w:eastAsia="zh-CN"/>
              </w:rPr>
            </w:pPr>
            <w:r>
              <w:rPr>
                <w:rFonts w:hint="eastAsia" w:ascii="宋体" w:hAnsi="宋体"/>
                <w:b w:val="0"/>
                <w:bCs w:val="0"/>
                <w:color w:val="000000"/>
                <w:kern w:val="0"/>
                <w:sz w:val="22"/>
                <w:highlight w:val="none"/>
                <w:lang w:val="en-US" w:eastAsia="zh-CN"/>
              </w:rPr>
              <w:t>2、自建知识库：严格遵循《医疗机构临床决策支持系统应用管理规范（试行）》要求，提供涵盖法律法规、部门规章、规范性文件，以及国家认可的药品说明书、医疗器械注册证等丰富知识类型。系统支持按不同知识类型定义出处、来源、发布时间等关键节点信息，具备插入图表、图片功能以多样化呈现知识。同时，支持将知识关联专科、专病，为专科专病知识个性化服务筑牢基础；还支持关联临床诊疗管控规则，便于医护溯源规则出处。此外，知识库设有退出机制，能及时删除或更新不适用知识，并支持上传附件与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b w:val="0"/>
                <w:bCs w:val="0"/>
                <w:color w:val="000000"/>
                <w:kern w:val="0"/>
                <w:sz w:val="22"/>
                <w:highlight w:val="none"/>
                <w:lang w:val="en-US" w:eastAsia="zh-CN"/>
              </w:rPr>
            </w:pPr>
          </w:p>
        </w:tc>
        <w:tc>
          <w:tcPr>
            <w:tcW w:w="623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b w:val="0"/>
                <w:bCs w:val="0"/>
                <w:color w:val="000000"/>
                <w:kern w:val="0"/>
                <w:sz w:val="22"/>
                <w:highlight w:val="none"/>
                <w:lang w:val="en-US" w:eastAsia="zh-CN"/>
              </w:rPr>
            </w:pPr>
            <w:r>
              <w:rPr>
                <w:rFonts w:hint="eastAsia" w:ascii="宋体" w:hAnsi="宋体"/>
                <w:b w:val="0"/>
                <w:bCs w:val="0"/>
                <w:color w:val="000000"/>
                <w:kern w:val="0"/>
                <w:sz w:val="22"/>
                <w:highlight w:val="none"/>
                <w:lang w:val="en-US" w:eastAsia="zh-CN"/>
              </w:rPr>
              <w:t>3、知识审核管理：支持逐级审批流程，以此保障所维护知识的准确性与权威性；同时具备知识审核功能，且审核节点能够依据医院具体要求进行自定义设置，对于未通过审核的知识条目，严格限制其应用于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b w:val="0"/>
                <w:bCs w:val="0"/>
                <w:color w:val="000000"/>
                <w:kern w:val="0"/>
                <w:sz w:val="22"/>
                <w:highlight w:val="none"/>
                <w:lang w:val="en-US" w:eastAsia="zh-CN"/>
              </w:rPr>
            </w:pPr>
          </w:p>
        </w:tc>
        <w:tc>
          <w:tcPr>
            <w:tcW w:w="623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b w:val="0"/>
                <w:bCs w:val="0"/>
                <w:color w:val="000000"/>
                <w:kern w:val="0"/>
                <w:sz w:val="22"/>
                <w:highlight w:val="none"/>
                <w:lang w:val="en-US" w:eastAsia="zh-CN"/>
              </w:rPr>
            </w:pPr>
            <w:r>
              <w:rPr>
                <w:rFonts w:hint="eastAsia" w:ascii="宋体" w:hAnsi="宋体"/>
                <w:b w:val="0"/>
                <w:bCs w:val="0"/>
                <w:color w:val="000000"/>
                <w:kern w:val="0"/>
                <w:sz w:val="22"/>
                <w:highlight w:val="none"/>
                <w:lang w:val="en-US" w:eastAsia="zh-CN"/>
              </w:rPr>
              <w:t>4、知识应用管理：医院临床工作站集成权威知识平台，医护人员可便捷通过多维筛选（如名称、出处、来源、关键字）查询疾病、检验检查、评估表、药品等专业知识；支持将疾病主题知识、医学检验检查知识与医院内部诊疗项目精准对照和绑定，深度融入诊疗业务流程，使临床医护人员针对特定诊疗项目可快速一键获取关联专业知识，提升诊疗效率与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b w:val="0"/>
                <w:bCs w:val="0"/>
                <w:color w:val="000000"/>
                <w:kern w:val="0"/>
                <w:sz w:val="22"/>
                <w:highlight w:val="none"/>
                <w:lang w:val="en-US" w:eastAsia="zh-CN"/>
              </w:rPr>
            </w:pPr>
            <w:r>
              <w:rPr>
                <w:rFonts w:hint="eastAsia" w:ascii="宋体" w:hAnsi="宋体"/>
                <w:b w:val="0"/>
                <w:bCs w:val="0"/>
                <w:color w:val="000000"/>
                <w:kern w:val="0"/>
                <w:sz w:val="22"/>
                <w:highlight w:val="none"/>
                <w:lang w:val="en-US" w:eastAsia="zh-CN"/>
              </w:rPr>
              <w:t>诊疗规则管理</w:t>
            </w:r>
          </w:p>
        </w:tc>
        <w:tc>
          <w:tcPr>
            <w:tcW w:w="623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b w:val="0"/>
                <w:bCs w:val="0"/>
                <w:color w:val="000000"/>
                <w:kern w:val="0"/>
                <w:sz w:val="22"/>
                <w:highlight w:val="none"/>
                <w:lang w:val="en-US" w:eastAsia="zh-CN"/>
              </w:rPr>
            </w:pPr>
            <w:r>
              <w:rPr>
                <w:rFonts w:hint="eastAsia" w:ascii="宋体" w:hAnsi="宋体"/>
                <w:b w:val="0"/>
                <w:bCs w:val="0"/>
                <w:color w:val="000000"/>
                <w:kern w:val="0"/>
                <w:sz w:val="22"/>
                <w:highlight w:val="none"/>
                <w:lang w:val="en-US" w:eastAsia="zh-CN"/>
              </w:rPr>
              <w:t>1、规则能力管理：该规则自定义维护平台具备高度灵活性，支持自定义维护。在触发场景定制化方面，能依据医院实际管理流程和业务需求，灵活配置规则触发场景，确保在诊断下达、病历保存、医嘱保存等关键业务节点自动触发相应规则；支持定义包含多个条件组合的复杂规则；规则可针对特定患者人群定制，能设置满足与排除条件，保障应用准确性和针对性；允许指定规则应用对象，如实习医生、高年资医生，确保规则在不同用户群体中的适用性；针对医院专科和专病特点，支持定制专属规则集，满足不同科室和疾病的特殊需求；对于复杂条件规则定义，平台提供批量维护功能，允许用户一次性配置多个条件和结果，提升维护效率；此外，为满足医院对特殊人群（如高龄孕妇、重症患者）的管理需求，平台提供专项应用，支持跨业务系统数据整合和共享，确保特殊人群得到及时有效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b w:val="0"/>
                <w:bCs w:val="0"/>
                <w:color w:val="000000"/>
                <w:kern w:val="0"/>
                <w:sz w:val="22"/>
                <w:highlight w:val="none"/>
                <w:lang w:val="en-US" w:eastAsia="zh-CN"/>
              </w:rPr>
            </w:pPr>
          </w:p>
        </w:tc>
        <w:tc>
          <w:tcPr>
            <w:tcW w:w="623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b w:val="0"/>
                <w:bCs w:val="0"/>
                <w:color w:val="000000"/>
                <w:kern w:val="0"/>
                <w:sz w:val="22"/>
                <w:highlight w:val="none"/>
                <w:lang w:val="en-US" w:eastAsia="zh-CN"/>
              </w:rPr>
            </w:pPr>
            <w:r>
              <w:rPr>
                <w:rFonts w:hint="eastAsia" w:ascii="宋体" w:hAnsi="宋体"/>
                <w:b w:val="0"/>
                <w:bCs w:val="0"/>
                <w:color w:val="000000"/>
                <w:kern w:val="0"/>
                <w:sz w:val="22"/>
                <w:highlight w:val="none"/>
                <w:lang w:val="en-US" w:eastAsia="zh-CN"/>
              </w:rPr>
              <w:t>2、规则场景管理：诊断合理性规则可维护与性别、年龄、症状、诊断结果、检查/检验结果、手术记录、体征信息、生理期信息、评估信息等多元因素相关的规则；检验合理性规则同样基于多元因素，且支持维护多条件复杂场景规则，如牙龈出血患者开具粪便隐血试验时能智能提醒相关干扰；检查合理性规则与检验合理性规则类似，支持多元因素及复杂场景，如肥厚型梗阻性心肌病患者特定心率下开具心电图运动负荷试验时的智能提醒；手术合理性规则支持自定义，可设置提醒文案形式、禁忌级别、禁忌年龄区间、禁忌性别，主要条件和否定条件能进行复杂逻辑设置，并通过规则同步、生效功能实时生效，条件范围覆盖症状、体征、诊断、检验检查结果等；治疗合理性规则支持医院自定义高风险治疗（如透析、放疗）合理性规则，病房医师下达治疗医嘱时可进行合理性审核并预警提示；输血合理性规则能维护与多元因素相关的规则；其他合理性规则可维护与多元因素相关的嘱托、护理、膳食合理性规则；此外，还能设定检验检查重复开立规则，明确两次相同检验检查间的最小时间间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b w:val="0"/>
                <w:bCs w:val="0"/>
                <w:color w:val="000000"/>
                <w:kern w:val="0"/>
                <w:sz w:val="22"/>
                <w:highlight w:val="none"/>
                <w:lang w:val="en-US" w:eastAsia="zh-CN"/>
              </w:rPr>
            </w:pPr>
          </w:p>
        </w:tc>
        <w:tc>
          <w:tcPr>
            <w:tcW w:w="623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b w:val="0"/>
                <w:bCs w:val="0"/>
                <w:color w:val="000000"/>
                <w:kern w:val="0"/>
                <w:sz w:val="22"/>
                <w:highlight w:val="none"/>
                <w:lang w:val="en-US" w:eastAsia="zh-CN"/>
              </w:rPr>
            </w:pPr>
            <w:r>
              <w:rPr>
                <w:rFonts w:hint="eastAsia" w:ascii="宋体" w:hAnsi="宋体"/>
                <w:b w:val="0"/>
                <w:bCs w:val="0"/>
                <w:color w:val="000000"/>
                <w:kern w:val="0"/>
                <w:sz w:val="22"/>
                <w:highlight w:val="none"/>
                <w:lang w:val="en-US" w:eastAsia="zh-CN"/>
              </w:rPr>
              <w:t>3、规则审核管理：支持医院自定义审核流程，能依据不同规则的重要性、紧急程度等因素，设置差异化的审核路径与审核层级；提供直观的审核流程可视化工具，助力管理人员实时掌握审核进度，便于优化流程；同时，严格限制未审核或审核未通过的规则应用于临床，以保障医疗质量安全；而已审核通过的规则会受到系统保护，防止未经授权的修改，确保规则的稳定性和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b w:val="0"/>
                <w:bCs w:val="0"/>
                <w:color w:val="000000"/>
                <w:kern w:val="0"/>
                <w:sz w:val="22"/>
                <w:highlight w:val="none"/>
                <w:lang w:val="en-US" w:eastAsia="zh-CN"/>
              </w:rPr>
            </w:pPr>
          </w:p>
        </w:tc>
        <w:tc>
          <w:tcPr>
            <w:tcW w:w="623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b w:val="0"/>
                <w:bCs w:val="0"/>
                <w:color w:val="000000"/>
                <w:kern w:val="0"/>
                <w:sz w:val="22"/>
                <w:highlight w:val="none"/>
                <w:lang w:val="en-US" w:eastAsia="zh-CN"/>
              </w:rPr>
            </w:pPr>
            <w:r>
              <w:rPr>
                <w:rFonts w:hint="eastAsia" w:ascii="宋体" w:hAnsi="宋体"/>
                <w:b w:val="0"/>
                <w:bCs w:val="0"/>
                <w:color w:val="000000"/>
                <w:kern w:val="0"/>
                <w:sz w:val="22"/>
                <w:highlight w:val="none"/>
                <w:lang w:val="en-US" w:eastAsia="zh-CN"/>
              </w:rPr>
              <w:t>4、规则验证管理：提供后台规则诊断功能，可快速验证后台规则是否有效运行，有效避免无效规则出现，保障规则的正确性与有效性。在验证环节，系统具备对规则运行每个节点执行日志进行跟踪查看的能力，便于管理人员直观发现规则运行阻碍点，从而快速定位并修复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b w:val="0"/>
                <w:bCs w:val="0"/>
                <w:color w:val="000000"/>
                <w:kern w:val="0"/>
                <w:sz w:val="22"/>
                <w:highlight w:val="none"/>
                <w:lang w:val="en-US" w:eastAsia="zh-CN"/>
              </w:rPr>
            </w:pPr>
            <w:r>
              <w:rPr>
                <w:rFonts w:hint="eastAsia" w:ascii="宋体" w:hAnsi="宋体"/>
                <w:b w:val="0"/>
                <w:bCs w:val="0"/>
                <w:color w:val="000000"/>
                <w:kern w:val="0"/>
                <w:sz w:val="22"/>
                <w:highlight w:val="none"/>
                <w:lang w:val="en-US" w:eastAsia="zh-CN"/>
              </w:rPr>
              <w:t>辅助决策应用</w:t>
            </w:r>
          </w:p>
        </w:tc>
        <w:tc>
          <w:tcPr>
            <w:tcW w:w="623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b w:val="0"/>
                <w:bCs w:val="0"/>
                <w:color w:val="000000"/>
                <w:kern w:val="0"/>
                <w:sz w:val="22"/>
                <w:highlight w:val="none"/>
                <w:lang w:val="en-US" w:eastAsia="zh-CN"/>
              </w:rPr>
            </w:pPr>
            <w:r>
              <w:rPr>
                <w:rFonts w:hint="eastAsia" w:ascii="宋体" w:hAnsi="宋体"/>
                <w:b w:val="0"/>
                <w:bCs w:val="0"/>
                <w:color w:val="000000"/>
                <w:kern w:val="0"/>
                <w:sz w:val="22"/>
                <w:highlight w:val="none"/>
                <w:lang w:val="en-US" w:eastAsia="zh-CN"/>
              </w:rPr>
              <w:t>1、住院辅助决策应用：</w:t>
            </w:r>
            <w:r>
              <w:rPr>
                <w:rFonts w:hint="eastAsia" w:ascii="宋体" w:hAnsi="宋体" w:eastAsia="宋体" w:cs="宋体"/>
                <w:color w:val="auto"/>
                <w:sz w:val="24"/>
                <w:szCs w:val="24"/>
                <w:highlight w:val="none"/>
              </w:rPr>
              <w:t>支持与医院住院电子病历系统、医嘱系统进行无缝整合，实现基于临床各应用场景的智能辅决策应用，</w:t>
            </w:r>
            <w:r>
              <w:rPr>
                <w:rFonts w:hint="eastAsia" w:ascii="宋体" w:hAnsi="宋体" w:eastAsia="宋体" w:cs="宋体"/>
                <w:color w:val="auto"/>
                <w:sz w:val="24"/>
                <w:szCs w:val="24"/>
                <w:highlight w:val="none"/>
                <w:lang w:val="en-US" w:eastAsia="zh-CN"/>
              </w:rPr>
              <w:t>包括辅助诊断应用、辅助检验应用、辅助检查应用、辅助治疗应用、辅助手术应用、辅助输血应用。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b w:val="0"/>
                <w:bCs w:val="0"/>
                <w:color w:val="000000"/>
                <w:kern w:val="0"/>
                <w:sz w:val="22"/>
                <w:highlight w:val="none"/>
                <w:lang w:val="en-US" w:eastAsia="zh-CN"/>
              </w:rPr>
            </w:pPr>
          </w:p>
        </w:tc>
        <w:tc>
          <w:tcPr>
            <w:tcW w:w="623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b w:val="0"/>
                <w:bCs w:val="0"/>
                <w:color w:val="000000"/>
                <w:kern w:val="0"/>
                <w:sz w:val="22"/>
                <w:highlight w:val="none"/>
                <w:lang w:val="en-US" w:eastAsia="zh-CN"/>
              </w:rPr>
            </w:pPr>
            <w:r>
              <w:rPr>
                <w:rFonts w:hint="eastAsia" w:ascii="宋体" w:hAnsi="宋体"/>
                <w:b w:val="0"/>
                <w:bCs w:val="0"/>
                <w:color w:val="000000"/>
                <w:kern w:val="0"/>
                <w:sz w:val="22"/>
                <w:highlight w:val="none"/>
                <w:lang w:val="en-US" w:eastAsia="zh-CN"/>
              </w:rPr>
              <w:t>2、门诊辅助决策应用：</w:t>
            </w:r>
            <w:r>
              <w:rPr>
                <w:rFonts w:hint="eastAsia" w:ascii="宋体" w:hAnsi="宋体" w:eastAsia="宋体" w:cs="宋体"/>
                <w:color w:val="auto"/>
                <w:sz w:val="24"/>
                <w:szCs w:val="24"/>
                <w:highlight w:val="none"/>
              </w:rPr>
              <w:t>支持与医院门诊电子病历系统进行无缝整合，实现基于门诊各应用场景的智能辅决策应用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包括辅助诊断应用、辅助检验应用、辅助检查应用、辅助治疗应用。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b w:val="0"/>
                <w:bCs w:val="0"/>
                <w:color w:val="000000"/>
                <w:kern w:val="0"/>
                <w:sz w:val="22"/>
                <w:highlight w:val="none"/>
                <w:lang w:val="en-US" w:eastAsia="zh-CN"/>
              </w:rPr>
            </w:pPr>
          </w:p>
        </w:tc>
        <w:tc>
          <w:tcPr>
            <w:tcW w:w="623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b w:val="0"/>
                <w:bCs w:val="0"/>
                <w:color w:val="000000"/>
                <w:kern w:val="0"/>
                <w:sz w:val="22"/>
                <w:highlight w:val="none"/>
                <w:lang w:val="en-US" w:eastAsia="zh-CN"/>
              </w:rPr>
            </w:pPr>
            <w:r>
              <w:rPr>
                <w:rFonts w:hint="eastAsia" w:ascii="宋体" w:hAnsi="宋体"/>
                <w:b w:val="0"/>
                <w:bCs w:val="0"/>
                <w:color w:val="000000"/>
                <w:kern w:val="0"/>
                <w:sz w:val="22"/>
                <w:highlight w:val="none"/>
                <w:lang w:val="en-US" w:eastAsia="zh-CN"/>
              </w:rPr>
              <w:t>3、规则触发反馈管理：包括不合理规则反馈、快速处理反馈、处理结果通知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b w:val="0"/>
                <w:bCs w:val="0"/>
                <w:color w:val="000000"/>
                <w:kern w:val="0"/>
                <w:sz w:val="22"/>
                <w:highlight w:val="none"/>
                <w:lang w:val="en-US" w:eastAsia="zh-CN"/>
              </w:rPr>
            </w:pPr>
            <w:r>
              <w:rPr>
                <w:rFonts w:hint="eastAsia" w:ascii="宋体" w:hAnsi="宋体"/>
                <w:b w:val="0"/>
                <w:bCs w:val="0"/>
                <w:color w:val="000000"/>
                <w:kern w:val="0"/>
                <w:sz w:val="22"/>
                <w:highlight w:val="none"/>
                <w:lang w:val="en-US" w:eastAsia="zh-CN"/>
              </w:rPr>
              <w:t>数据监控分析</w:t>
            </w:r>
          </w:p>
        </w:tc>
        <w:tc>
          <w:tcPr>
            <w:tcW w:w="623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b w:val="0"/>
                <w:bCs w:val="0"/>
                <w:color w:val="000000"/>
                <w:kern w:val="0"/>
                <w:sz w:val="22"/>
                <w:highlight w:val="none"/>
                <w:lang w:val="en-US" w:eastAsia="zh-CN"/>
              </w:rPr>
            </w:pPr>
            <w:r>
              <w:rPr>
                <w:rFonts w:hint="eastAsia" w:ascii="宋体" w:hAnsi="宋体"/>
                <w:b w:val="0"/>
                <w:bCs w:val="0"/>
                <w:color w:val="000000"/>
                <w:kern w:val="0"/>
                <w:sz w:val="22"/>
                <w:highlight w:val="none"/>
                <w:lang w:val="en-US" w:eastAsia="zh-CN"/>
              </w:rPr>
              <w:t>1、规则应用情况分析：包括合理性校验情况统计分析、知识查询情况统计分析、第三方调用情况分析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b w:val="0"/>
                <w:bCs w:val="0"/>
                <w:color w:val="000000"/>
                <w:kern w:val="0"/>
                <w:sz w:val="22"/>
                <w:highlight w:val="none"/>
                <w:lang w:val="en-US" w:eastAsia="zh-CN"/>
              </w:rPr>
            </w:pPr>
          </w:p>
        </w:tc>
        <w:tc>
          <w:tcPr>
            <w:tcW w:w="623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b w:val="0"/>
                <w:bCs w:val="0"/>
                <w:color w:val="000000"/>
                <w:kern w:val="0"/>
                <w:sz w:val="22"/>
                <w:highlight w:val="none"/>
                <w:lang w:val="en-US" w:eastAsia="zh-CN"/>
              </w:rPr>
            </w:pPr>
            <w:r>
              <w:rPr>
                <w:rFonts w:hint="eastAsia" w:ascii="宋体" w:hAnsi="宋体"/>
                <w:b w:val="0"/>
                <w:bCs w:val="0"/>
                <w:color w:val="000000"/>
                <w:kern w:val="0"/>
                <w:sz w:val="22"/>
                <w:highlight w:val="none"/>
                <w:lang w:val="en-US" w:eastAsia="zh-CN"/>
              </w:rPr>
              <w:t>2、规则校验痕迹监控：</w:t>
            </w:r>
            <w:r>
              <w:rPr>
                <w:rFonts w:hint="eastAsia" w:ascii="宋体" w:hAnsi="宋体" w:eastAsia="宋体" w:cs="宋体"/>
                <w:color w:val="auto"/>
                <w:sz w:val="24"/>
                <w:szCs w:val="24"/>
                <w:highlight w:val="none"/>
                <w:lang w:bidi="ar"/>
              </w:rPr>
              <w:t>实时监控并记录患者在院信息</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规则</w:t>
            </w:r>
            <w:r>
              <w:rPr>
                <w:rFonts w:hint="eastAsia" w:ascii="宋体" w:hAnsi="宋体" w:eastAsia="宋体" w:cs="宋体"/>
                <w:color w:val="auto"/>
                <w:sz w:val="24"/>
                <w:szCs w:val="24"/>
                <w:highlight w:val="none"/>
                <w:lang w:bidi="ar"/>
              </w:rPr>
              <w:t>校验信息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b w:val="0"/>
                <w:bCs w:val="0"/>
                <w:color w:val="000000"/>
                <w:kern w:val="0"/>
                <w:sz w:val="22"/>
                <w:highlight w:val="none"/>
                <w:lang w:val="en-US" w:eastAsia="zh-CN"/>
              </w:rPr>
            </w:pPr>
          </w:p>
        </w:tc>
        <w:tc>
          <w:tcPr>
            <w:tcW w:w="623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b w:val="0"/>
                <w:bCs w:val="0"/>
                <w:color w:val="000000"/>
                <w:kern w:val="0"/>
                <w:sz w:val="22"/>
                <w:highlight w:val="none"/>
                <w:lang w:val="en-US" w:eastAsia="zh-CN"/>
              </w:rPr>
            </w:pPr>
            <w:r>
              <w:rPr>
                <w:rFonts w:hint="eastAsia" w:ascii="宋体" w:hAnsi="宋体"/>
                <w:b w:val="0"/>
                <w:bCs w:val="0"/>
                <w:color w:val="000000"/>
                <w:kern w:val="0"/>
                <w:sz w:val="22"/>
                <w:highlight w:val="none"/>
                <w:lang w:val="en-US" w:eastAsia="zh-CN"/>
              </w:rPr>
              <w:t>3、意见反馈情况监控：支持收集、记录、监控和管理临床医生对应用于临床诊疗的规则的意见反馈。系统应能够详细记录反馈人的信息、反馈规则、反馈时间以及具体的反馈问题，从而为管理人员提供数据支持，以便对规则进行持续优化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b w:val="0"/>
                <w:bCs w:val="0"/>
                <w:color w:val="000000"/>
                <w:kern w:val="0"/>
                <w:sz w:val="22"/>
                <w:highlight w:val="none"/>
                <w:lang w:val="en-US" w:eastAsia="zh-CN"/>
              </w:rPr>
            </w:pPr>
          </w:p>
        </w:tc>
        <w:tc>
          <w:tcPr>
            <w:tcW w:w="623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b w:val="0"/>
                <w:bCs w:val="0"/>
                <w:color w:val="000000"/>
                <w:kern w:val="0"/>
                <w:sz w:val="22"/>
                <w:highlight w:val="none"/>
                <w:lang w:val="en-US" w:eastAsia="zh-CN"/>
              </w:rPr>
            </w:pPr>
            <w:r>
              <w:rPr>
                <w:rFonts w:hint="eastAsia" w:ascii="宋体" w:hAnsi="宋体"/>
                <w:b w:val="0"/>
                <w:bCs w:val="0"/>
                <w:color w:val="000000"/>
                <w:kern w:val="0"/>
                <w:sz w:val="22"/>
                <w:highlight w:val="none"/>
                <w:lang w:val="en-US" w:eastAsia="zh-CN"/>
              </w:rPr>
              <w:t>4、规则审核情况分析：能够记录辅助决策知识管理日志，并形成分析报表。针对规则与知识的审核、发布、更新、废止操作有完整日志记录；能够对规则与知识数量进行可视化分析，包括规则类型分布、规则新增条数</w:t>
            </w:r>
          </w:p>
        </w:tc>
      </w:tr>
    </w:tbl>
    <w:p>
      <w:pPr>
        <w:rPr>
          <w:rFonts w:hint="default"/>
          <w:highlight w:val="none"/>
          <w:lang w:val="en-US" w:eastAsia="zh-CN"/>
        </w:rPr>
      </w:pP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right="0"/>
        <w:textAlignment w:val="baseline"/>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1.5系统接口建设</w:t>
      </w:r>
    </w:p>
    <w:tbl>
      <w:tblPr>
        <w:tblStyle w:val="14"/>
        <w:tblW w:w="80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3" w:type="dxa"/>
            <w:shd w:val="clear" w:color="auto" w:fill="D9D9D9"/>
            <w:vAlign w:val="center"/>
          </w:tcPr>
          <w:p>
            <w:pPr>
              <w:widowControl/>
              <w:jc w:val="center"/>
              <w:rPr>
                <w:rFonts w:hint="eastAsia" w:ascii="宋体" w:hAnsi="宋体"/>
                <w:b/>
                <w:bCs/>
                <w:color w:val="000000"/>
                <w:kern w:val="0"/>
                <w:sz w:val="22"/>
                <w:highlight w:val="none"/>
              </w:rPr>
            </w:pPr>
            <w:r>
              <w:rPr>
                <w:rFonts w:hint="eastAsia" w:ascii="宋体" w:hAnsi="宋体"/>
                <w:b/>
                <w:bCs/>
                <w:color w:val="000000"/>
                <w:kern w:val="0"/>
                <w:sz w:val="22"/>
                <w:highlight w:val="none"/>
              </w:rPr>
              <w:t>技术功能模块</w:t>
            </w:r>
          </w:p>
        </w:tc>
        <w:tc>
          <w:tcPr>
            <w:tcW w:w="6232" w:type="dxa"/>
            <w:shd w:val="clear" w:color="auto" w:fill="D9D9D9"/>
            <w:vAlign w:val="center"/>
          </w:tcPr>
          <w:p>
            <w:pPr>
              <w:widowControl/>
              <w:jc w:val="center"/>
              <w:rPr>
                <w:rFonts w:hint="eastAsia" w:ascii="宋体" w:hAnsi="宋体"/>
                <w:b/>
                <w:bCs/>
                <w:color w:val="000000"/>
                <w:kern w:val="0"/>
                <w:sz w:val="22"/>
                <w:highlight w:val="none"/>
              </w:rPr>
            </w:pPr>
            <w:r>
              <w:rPr>
                <w:rFonts w:hint="eastAsia" w:ascii="宋体" w:hAnsi="宋体"/>
                <w:b/>
                <w:bCs/>
                <w:color w:val="000000"/>
                <w:kern w:val="0"/>
                <w:sz w:val="22"/>
                <w:highlight w:val="none"/>
              </w:rPr>
              <w:t>功能要求说明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843" w:type="dxa"/>
          </w:tcPr>
          <w:p>
            <w:pPr>
              <w:spacing w:line="360" w:lineRule="auto"/>
              <w:jc w:val="center"/>
              <w:rPr>
                <w:rFonts w:hint="eastAsia" w:ascii="宋体" w:hAnsi="宋体"/>
                <w:color w:val="000000"/>
                <w:kern w:val="0"/>
                <w:szCs w:val="21"/>
                <w:highlight w:val="none"/>
              </w:rPr>
            </w:pPr>
            <w:r>
              <w:rPr>
                <w:rFonts w:hint="eastAsia"/>
                <w:highlight w:val="none"/>
              </w:rPr>
              <w:t>与输血系统、医院危急值平台对接自动生成输血、危急值病程接口</w:t>
            </w:r>
          </w:p>
        </w:tc>
        <w:tc>
          <w:tcPr>
            <w:tcW w:w="6232" w:type="dxa"/>
            <w:vAlign w:val="center"/>
          </w:tcPr>
          <w:p>
            <w:pPr>
              <w:rPr>
                <w:rFonts w:hint="eastAsia" w:ascii="宋体" w:hAnsi="宋体"/>
                <w:color w:val="000000"/>
                <w:kern w:val="0"/>
                <w:szCs w:val="21"/>
                <w:highlight w:val="none"/>
              </w:rPr>
            </w:pPr>
            <w:r>
              <w:rPr>
                <w:rFonts w:hint="eastAsia" w:ascii="宋体" w:hAnsi="宋体"/>
                <w:color w:val="000000"/>
                <w:kern w:val="0"/>
                <w:szCs w:val="21"/>
                <w:highlight w:val="none"/>
              </w:rPr>
              <w:t>按照接口规范完成与输血系统、医院危急值平台对接自动生成输血、危急值病程接口建设，使软件能够在约定格式下完成对应的入参和出参内容交换。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43" w:type="dxa"/>
          </w:tcPr>
          <w:p>
            <w:pPr>
              <w:spacing w:line="360" w:lineRule="auto"/>
              <w:jc w:val="center"/>
              <w:rPr>
                <w:rFonts w:hint="eastAsia" w:ascii="宋体" w:hAnsi="宋体"/>
                <w:color w:val="000000"/>
                <w:kern w:val="0"/>
                <w:szCs w:val="21"/>
                <w:highlight w:val="none"/>
              </w:rPr>
            </w:pPr>
            <w:r>
              <w:rPr>
                <w:rFonts w:hint="eastAsia" w:ascii="宋体" w:hAnsi="宋体"/>
                <w:color w:val="000000"/>
                <w:kern w:val="0"/>
                <w:szCs w:val="21"/>
                <w:highlight w:val="none"/>
              </w:rPr>
              <w:t>门诊、住院对接医院危急值平台</w:t>
            </w:r>
          </w:p>
        </w:tc>
        <w:tc>
          <w:tcPr>
            <w:tcW w:w="6232" w:type="dxa"/>
            <w:vAlign w:val="center"/>
          </w:tcPr>
          <w:p>
            <w:pPr>
              <w:rPr>
                <w:rFonts w:hint="eastAsia" w:ascii="宋体" w:hAnsi="宋体"/>
                <w:color w:val="000000"/>
                <w:kern w:val="0"/>
                <w:szCs w:val="21"/>
                <w:highlight w:val="none"/>
              </w:rPr>
            </w:pPr>
            <w:r>
              <w:rPr>
                <w:rFonts w:hint="eastAsia" w:ascii="宋体" w:hAnsi="宋体"/>
                <w:color w:val="000000"/>
                <w:kern w:val="0"/>
                <w:szCs w:val="21"/>
                <w:highlight w:val="none"/>
              </w:rPr>
              <w:t>按照接口规范完成门诊、住院对接医院危急值平台接口建设，使软件能够在约定格式下完成对应的入参和出参内容交换。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43" w:type="dxa"/>
          </w:tcPr>
          <w:p>
            <w:pPr>
              <w:spacing w:line="360" w:lineRule="auto"/>
              <w:rPr>
                <w:rFonts w:hint="eastAsia" w:ascii="宋体" w:hAnsi="宋体"/>
                <w:color w:val="000000"/>
                <w:kern w:val="0"/>
                <w:szCs w:val="21"/>
                <w:highlight w:val="none"/>
              </w:rPr>
            </w:pPr>
            <w:r>
              <w:rPr>
                <w:rFonts w:hint="eastAsia"/>
                <w:highlight w:val="none"/>
              </w:rPr>
              <w:t>与单病种接口对接病历信息数据接口</w:t>
            </w:r>
          </w:p>
        </w:tc>
        <w:tc>
          <w:tcPr>
            <w:tcW w:w="6232" w:type="dxa"/>
            <w:vAlign w:val="center"/>
          </w:tcPr>
          <w:p>
            <w:pPr>
              <w:rPr>
                <w:rFonts w:hint="eastAsia" w:ascii="宋体" w:hAnsi="宋体"/>
                <w:color w:val="000000"/>
                <w:kern w:val="0"/>
                <w:szCs w:val="21"/>
                <w:highlight w:val="none"/>
              </w:rPr>
            </w:pPr>
            <w:r>
              <w:rPr>
                <w:rFonts w:hint="eastAsia" w:ascii="宋体" w:hAnsi="宋体"/>
                <w:color w:val="000000"/>
                <w:kern w:val="0"/>
                <w:szCs w:val="21"/>
                <w:highlight w:val="none"/>
              </w:rPr>
              <w:t>按照接口规范完成与单病种接口对接病历信息数据接口建设，使软件能够在约定格式下完成对应的入参和出参内容交换。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43" w:type="dxa"/>
          </w:tcPr>
          <w:p>
            <w:pPr>
              <w:spacing w:line="360" w:lineRule="auto"/>
              <w:rPr>
                <w:rFonts w:hint="eastAsia" w:ascii="宋体" w:hAnsi="宋体"/>
                <w:color w:val="000000"/>
                <w:kern w:val="0"/>
                <w:szCs w:val="21"/>
                <w:highlight w:val="none"/>
              </w:rPr>
            </w:pPr>
            <w:r>
              <w:rPr>
                <w:rFonts w:hint="eastAsia"/>
                <w:highlight w:val="none"/>
              </w:rPr>
              <w:t>与医院报告中台重新对接检验、检查报告数据</w:t>
            </w:r>
          </w:p>
        </w:tc>
        <w:tc>
          <w:tcPr>
            <w:tcW w:w="6232" w:type="dxa"/>
            <w:vAlign w:val="center"/>
          </w:tcPr>
          <w:p>
            <w:pPr>
              <w:rPr>
                <w:rFonts w:hint="eastAsia" w:ascii="宋体" w:hAnsi="宋体"/>
                <w:color w:val="000000"/>
                <w:kern w:val="0"/>
                <w:szCs w:val="21"/>
                <w:highlight w:val="none"/>
              </w:rPr>
            </w:pPr>
            <w:r>
              <w:rPr>
                <w:rFonts w:hint="eastAsia" w:ascii="宋体" w:hAnsi="宋体"/>
                <w:color w:val="000000"/>
                <w:kern w:val="0"/>
                <w:szCs w:val="21"/>
                <w:highlight w:val="none"/>
              </w:rPr>
              <w:t>按照接口规范完成与医院报告中台重新对接检验、检查报告数据中间表建设，使软件能够在约定格式下完成对应的入参和出参内容交换。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43" w:type="dxa"/>
          </w:tcPr>
          <w:p>
            <w:pPr>
              <w:spacing w:line="360" w:lineRule="auto"/>
              <w:rPr>
                <w:rFonts w:hint="eastAsia" w:ascii="宋体" w:hAnsi="宋体"/>
                <w:color w:val="000000"/>
                <w:kern w:val="0"/>
                <w:szCs w:val="21"/>
                <w:highlight w:val="none"/>
              </w:rPr>
            </w:pPr>
            <w:r>
              <w:rPr>
                <w:rFonts w:hint="eastAsia"/>
                <w:highlight w:val="none"/>
              </w:rPr>
              <w:t>与HIS医嘱系统对接癌痛诊断插入接口</w:t>
            </w:r>
          </w:p>
        </w:tc>
        <w:tc>
          <w:tcPr>
            <w:tcW w:w="6232" w:type="dxa"/>
            <w:vAlign w:val="center"/>
          </w:tcPr>
          <w:p>
            <w:pPr>
              <w:rPr>
                <w:rFonts w:hint="eastAsia" w:ascii="宋体" w:hAnsi="宋体"/>
                <w:color w:val="000000"/>
                <w:kern w:val="0"/>
                <w:szCs w:val="21"/>
                <w:highlight w:val="none"/>
              </w:rPr>
            </w:pPr>
            <w:r>
              <w:rPr>
                <w:rFonts w:hint="eastAsia" w:ascii="宋体" w:hAnsi="宋体"/>
                <w:color w:val="000000"/>
                <w:kern w:val="0"/>
                <w:szCs w:val="21"/>
                <w:highlight w:val="none"/>
              </w:rPr>
              <w:t>按照接口规范完成与HIS医嘱系统对接癌痛诊断插入接口建设，使软件能够在约定格式下完成对应的入参和出参内容交换。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43" w:type="dxa"/>
          </w:tcPr>
          <w:p>
            <w:pPr>
              <w:spacing w:line="360" w:lineRule="auto"/>
              <w:rPr>
                <w:rFonts w:hint="eastAsia" w:ascii="宋体" w:hAnsi="宋体"/>
                <w:color w:val="000000"/>
                <w:kern w:val="0"/>
                <w:szCs w:val="21"/>
                <w:highlight w:val="none"/>
              </w:rPr>
            </w:pPr>
            <w:r>
              <w:rPr>
                <w:rFonts w:hint="eastAsia"/>
                <w:highlight w:val="none"/>
              </w:rPr>
              <w:t>患者签接口</w:t>
            </w:r>
          </w:p>
        </w:tc>
        <w:tc>
          <w:tcPr>
            <w:tcW w:w="6232" w:type="dxa"/>
            <w:vAlign w:val="center"/>
          </w:tcPr>
          <w:p>
            <w:pPr>
              <w:rPr>
                <w:rFonts w:hint="eastAsia" w:ascii="宋体" w:hAnsi="宋体"/>
                <w:color w:val="000000"/>
                <w:kern w:val="0"/>
                <w:szCs w:val="21"/>
                <w:highlight w:val="none"/>
              </w:rPr>
            </w:pPr>
            <w:r>
              <w:rPr>
                <w:rFonts w:hint="eastAsia" w:ascii="宋体" w:hAnsi="宋体"/>
                <w:color w:val="000000"/>
                <w:kern w:val="0"/>
                <w:szCs w:val="21"/>
                <w:highlight w:val="none"/>
              </w:rPr>
              <w:t>按照接口规范完成患者签接口建设，使软件能够在约定格式下完成对应的入参和出参内容交换。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43" w:type="dxa"/>
          </w:tcPr>
          <w:p>
            <w:pPr>
              <w:spacing w:line="360" w:lineRule="auto"/>
              <w:rPr>
                <w:rFonts w:hint="eastAsia" w:ascii="宋体" w:hAnsi="宋体"/>
                <w:color w:val="000000"/>
                <w:kern w:val="0"/>
                <w:szCs w:val="21"/>
                <w:highlight w:val="none"/>
              </w:rPr>
            </w:pPr>
            <w:r>
              <w:rPr>
                <w:rFonts w:hint="eastAsia"/>
                <w:highlight w:val="none"/>
              </w:rPr>
              <w:t>住院诊断保存对接his过程</w:t>
            </w:r>
          </w:p>
        </w:tc>
        <w:tc>
          <w:tcPr>
            <w:tcW w:w="6232" w:type="dxa"/>
            <w:vAlign w:val="center"/>
          </w:tcPr>
          <w:p>
            <w:pPr>
              <w:rPr>
                <w:rFonts w:hint="eastAsia" w:ascii="宋体" w:hAnsi="宋体"/>
                <w:color w:val="000000"/>
                <w:kern w:val="0"/>
                <w:szCs w:val="21"/>
                <w:highlight w:val="none"/>
              </w:rPr>
            </w:pPr>
            <w:r>
              <w:rPr>
                <w:rFonts w:hint="eastAsia" w:ascii="宋体" w:hAnsi="宋体"/>
                <w:color w:val="000000"/>
                <w:kern w:val="0"/>
                <w:szCs w:val="21"/>
                <w:highlight w:val="none"/>
              </w:rPr>
              <w:t>按照接口规范完成住院诊断保存对接HIS建设，使软件能够在约定格式下完成对应的入参和出参内容交换。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43" w:type="dxa"/>
          </w:tcPr>
          <w:p>
            <w:pPr>
              <w:spacing w:line="360" w:lineRule="auto"/>
              <w:rPr>
                <w:rFonts w:hint="eastAsia" w:ascii="宋体" w:hAnsi="宋体"/>
                <w:color w:val="000000"/>
                <w:kern w:val="0"/>
                <w:szCs w:val="21"/>
                <w:highlight w:val="none"/>
              </w:rPr>
            </w:pPr>
            <w:r>
              <w:rPr>
                <w:rFonts w:hint="eastAsia"/>
                <w:highlight w:val="none"/>
              </w:rPr>
              <w:t>提供医院抗肿瘤上报数据接口</w:t>
            </w:r>
          </w:p>
        </w:tc>
        <w:tc>
          <w:tcPr>
            <w:tcW w:w="6232" w:type="dxa"/>
            <w:vAlign w:val="center"/>
          </w:tcPr>
          <w:p>
            <w:pPr>
              <w:rPr>
                <w:rFonts w:hint="eastAsia" w:ascii="宋体" w:hAnsi="宋体"/>
                <w:color w:val="000000"/>
                <w:kern w:val="0"/>
                <w:szCs w:val="21"/>
                <w:highlight w:val="none"/>
              </w:rPr>
            </w:pPr>
            <w:r>
              <w:rPr>
                <w:rFonts w:hint="eastAsia" w:ascii="宋体" w:hAnsi="宋体"/>
                <w:color w:val="000000"/>
                <w:kern w:val="0"/>
                <w:szCs w:val="21"/>
                <w:highlight w:val="none"/>
              </w:rPr>
              <w:t>按照接口规范完成与医院抗肿瘤上报数据接口建设，使软件能够在约定格式下完成对应的入参和出参内容交换。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43" w:type="dxa"/>
          </w:tcPr>
          <w:p>
            <w:pPr>
              <w:spacing w:line="360" w:lineRule="auto"/>
              <w:rPr>
                <w:rFonts w:hint="eastAsia" w:ascii="宋体" w:hAnsi="宋体"/>
                <w:color w:val="000000"/>
                <w:kern w:val="0"/>
                <w:szCs w:val="21"/>
                <w:highlight w:val="none"/>
              </w:rPr>
            </w:pPr>
            <w:r>
              <w:rPr>
                <w:rFonts w:hint="eastAsia"/>
                <w:highlight w:val="none"/>
              </w:rPr>
              <w:t>提供医院儿童肿瘤上报数据接口</w:t>
            </w:r>
          </w:p>
        </w:tc>
        <w:tc>
          <w:tcPr>
            <w:tcW w:w="6232" w:type="dxa"/>
            <w:vAlign w:val="center"/>
          </w:tcPr>
          <w:p>
            <w:pPr>
              <w:rPr>
                <w:rFonts w:hint="eastAsia" w:ascii="宋体" w:hAnsi="宋体"/>
                <w:color w:val="000000"/>
                <w:kern w:val="0"/>
                <w:szCs w:val="21"/>
                <w:highlight w:val="none"/>
              </w:rPr>
            </w:pPr>
            <w:r>
              <w:rPr>
                <w:rFonts w:hint="eastAsia" w:ascii="宋体" w:hAnsi="宋体"/>
                <w:color w:val="000000"/>
                <w:kern w:val="0"/>
                <w:szCs w:val="21"/>
                <w:highlight w:val="none"/>
              </w:rPr>
              <w:t>按照接口规范完成与医院儿童肿瘤上报数据接口建设，使软件能够在约定格式下完成对应的入参和出参内容交换。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43" w:type="dxa"/>
          </w:tcPr>
          <w:p>
            <w:pPr>
              <w:spacing w:line="360" w:lineRule="auto"/>
              <w:rPr>
                <w:rFonts w:hint="eastAsia" w:ascii="宋体" w:hAnsi="宋体"/>
                <w:color w:val="000000"/>
                <w:kern w:val="0"/>
                <w:szCs w:val="21"/>
                <w:highlight w:val="none"/>
              </w:rPr>
            </w:pPr>
            <w:r>
              <w:rPr>
                <w:rFonts w:hint="eastAsia"/>
                <w:highlight w:val="none"/>
              </w:rPr>
              <w:t>对接医院信息发送平台</w:t>
            </w:r>
          </w:p>
        </w:tc>
        <w:tc>
          <w:tcPr>
            <w:tcW w:w="6232" w:type="dxa"/>
            <w:vAlign w:val="center"/>
          </w:tcPr>
          <w:p>
            <w:pPr>
              <w:rPr>
                <w:rFonts w:hint="eastAsia" w:ascii="宋体" w:hAnsi="宋体"/>
                <w:color w:val="000000"/>
                <w:kern w:val="0"/>
                <w:szCs w:val="21"/>
                <w:highlight w:val="none"/>
              </w:rPr>
            </w:pPr>
            <w:r>
              <w:rPr>
                <w:rFonts w:hint="eastAsia" w:ascii="宋体" w:hAnsi="宋体"/>
                <w:color w:val="000000"/>
                <w:kern w:val="0"/>
                <w:szCs w:val="21"/>
                <w:highlight w:val="none"/>
              </w:rPr>
              <w:t>按照接口规范完成对接医院信息发送平台建设，使软件能够在约定格式下完成对应的入参和出参内容交换。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43" w:type="dxa"/>
          </w:tcPr>
          <w:p>
            <w:pPr>
              <w:spacing w:line="360" w:lineRule="auto"/>
              <w:rPr>
                <w:rFonts w:hint="eastAsia" w:ascii="宋体" w:hAnsi="宋体"/>
                <w:color w:val="000000"/>
                <w:kern w:val="0"/>
                <w:szCs w:val="21"/>
                <w:highlight w:val="none"/>
              </w:rPr>
            </w:pPr>
            <w:r>
              <w:rPr>
                <w:rFonts w:hint="eastAsia"/>
                <w:highlight w:val="none"/>
              </w:rPr>
              <w:t>门诊住院传染病接口</w:t>
            </w:r>
          </w:p>
        </w:tc>
        <w:tc>
          <w:tcPr>
            <w:tcW w:w="6232" w:type="dxa"/>
            <w:vAlign w:val="center"/>
          </w:tcPr>
          <w:p>
            <w:pPr>
              <w:rPr>
                <w:rFonts w:hint="eastAsia" w:ascii="宋体" w:hAnsi="宋体"/>
                <w:color w:val="000000"/>
                <w:kern w:val="0"/>
                <w:szCs w:val="21"/>
                <w:highlight w:val="none"/>
              </w:rPr>
            </w:pPr>
            <w:r>
              <w:rPr>
                <w:rFonts w:hint="eastAsia" w:ascii="宋体" w:hAnsi="宋体"/>
                <w:color w:val="000000"/>
                <w:kern w:val="0"/>
                <w:szCs w:val="21"/>
                <w:highlight w:val="none"/>
              </w:rPr>
              <w:t>按照接口规范完成门诊住院传染病接口建设，使软件能够在约定格式下完成对应的入参和出参内容交换。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43" w:type="dxa"/>
          </w:tcPr>
          <w:p>
            <w:pPr>
              <w:spacing w:line="360" w:lineRule="auto"/>
              <w:rPr>
                <w:rFonts w:hint="eastAsia" w:ascii="宋体" w:hAnsi="宋体"/>
                <w:color w:val="000000"/>
                <w:kern w:val="0"/>
                <w:szCs w:val="21"/>
                <w:highlight w:val="none"/>
              </w:rPr>
            </w:pPr>
            <w:r>
              <w:rPr>
                <w:rFonts w:hint="eastAsia"/>
                <w:highlight w:val="none"/>
              </w:rPr>
              <w:t>介入科统计(国家综合介入质控中心 哨点医院数据上报)</w:t>
            </w:r>
          </w:p>
        </w:tc>
        <w:tc>
          <w:tcPr>
            <w:tcW w:w="6232" w:type="dxa"/>
            <w:vAlign w:val="center"/>
          </w:tcPr>
          <w:p>
            <w:pPr>
              <w:rPr>
                <w:rFonts w:hint="eastAsia" w:ascii="宋体" w:hAnsi="宋体"/>
                <w:color w:val="000000"/>
                <w:kern w:val="0"/>
                <w:szCs w:val="21"/>
                <w:highlight w:val="none"/>
              </w:rPr>
            </w:pPr>
            <w:r>
              <w:rPr>
                <w:rFonts w:hint="eastAsia" w:ascii="宋体" w:hAnsi="宋体"/>
                <w:color w:val="000000"/>
                <w:kern w:val="0"/>
                <w:szCs w:val="21"/>
                <w:highlight w:val="none"/>
              </w:rPr>
              <w:t>按照接口规范完成介入科统计数据对接建设，使软件能够在约定格式下完成对应的入参和出参内容交换。</w:t>
            </w:r>
          </w:p>
        </w:tc>
      </w:tr>
    </w:tbl>
    <w:p>
      <w:pPr>
        <w:rPr>
          <w:highlight w:val="none"/>
        </w:rPr>
      </w:pPr>
    </w:p>
    <w:p>
      <w:pPr>
        <w:pStyle w:val="2"/>
        <w:widowControl w:val="0"/>
        <w:numPr>
          <w:ilvl w:val="0"/>
          <w:numId w:val="2"/>
        </w:numPr>
        <w:wordWrap/>
        <w:overflowPunct w:val="0"/>
        <w:autoSpaceDE w:val="0"/>
        <w:autoSpaceDN w:val="0"/>
        <w:adjustRightInd w:val="0"/>
        <w:spacing w:before="0" w:after="0" w:line="360" w:lineRule="auto"/>
        <w:ind w:left="0" w:leftChars="0" w:right="0" w:firstLine="0" w:firstLineChars="0"/>
        <w:jc w:val="both"/>
        <w:textAlignment w:val="baseline"/>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其他要求</w:t>
      </w: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left="0" w:leftChars="0" w:right="0" w:firstLine="640" w:firstLineChars="200"/>
        <w:textAlignment w:val="baseline"/>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1.采用的技术路线和主要技术必须是目前主流技术，所采用的标准须满足实现目前和将来可能出现的国家或行业标准。</w:t>
      </w: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left="0" w:leftChars="0" w:right="0" w:firstLine="640" w:firstLineChars="200"/>
        <w:textAlignment w:val="baseline"/>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2.所投软件产品系统成熟、稳定和高效，具有自主知识产权，功能模块齐全，符合应用规范，满足业务需求。</w:t>
      </w: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left="0" w:leftChars="0" w:right="0" w:firstLine="640" w:firstLineChars="200"/>
        <w:textAlignment w:val="baseline"/>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3.本次项目改造内容应满足电子病历评级5级数据质量和功能要求。</w:t>
      </w: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left="0" w:leftChars="0" w:right="0" w:firstLine="640" w:firstLineChars="200"/>
        <w:textAlignment w:val="baseline"/>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4.★本次项目改造基于院内现有系统，不得以改造为由进行系统更换。</w:t>
      </w: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left="0" w:leftChars="0" w:right="0" w:firstLine="640" w:firstLineChars="200"/>
        <w:textAlignment w:val="baseline"/>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5.投标人必须免费安装此次招标系统所涉及的软件程序，并协助安装服务器存储系统等运行环境相关系统。</w:t>
      </w: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left="0" w:leftChars="0" w:right="0" w:firstLine="640" w:firstLineChars="200"/>
        <w:textAlignment w:val="baseline"/>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6.投标方需提供项目详尽的实施方案和进度表。</w:t>
      </w: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left="0" w:leftChars="0" w:right="0" w:firstLine="640" w:firstLineChars="200"/>
        <w:textAlignment w:val="baseline"/>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7.投标人应在系统实施方案中描述具体的实施团队的组成、工作的内容、投入人员、项目进程表及采购人的配合等内容。在所有工作开展之前，公司的实施人员应制定一套完整科学可行的实施方案，作为工程实施的总体计划和步骤。实施方案内容大致包括：</w:t>
      </w: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left="0" w:leftChars="0" w:right="0" w:firstLine="640" w:firstLineChars="200"/>
        <w:textAlignment w:val="baseline"/>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①组织保障安排：成立领导小组，领导小组中的责任分工</w:t>
      </w: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left="0" w:leftChars="0" w:right="0" w:firstLine="640" w:firstLineChars="200"/>
        <w:textAlignment w:val="baseline"/>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②制定具体的实施流程、实施内容。</w:t>
      </w: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left="0" w:leftChars="0" w:right="0" w:firstLine="640" w:firstLineChars="200"/>
        <w:textAlignment w:val="baseline"/>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8.实施期间，投标方必须派遣具有多年大型项目经验的,参与过同类项目的专业工程师进行项目实施工作。</w:t>
      </w: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left="0" w:leftChars="0" w:right="0" w:firstLine="640" w:firstLineChars="200"/>
        <w:textAlignment w:val="baseline"/>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9.系统运行前完成医院基础数据的收集整理、校对录入和测试，做好数据初始化工作。</w:t>
      </w: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left="0" w:leftChars="0" w:right="0" w:firstLine="640" w:firstLineChars="200"/>
        <w:textAlignment w:val="baseline"/>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10.</w:t>
      </w:r>
      <w:r>
        <w:rPr>
          <w:rFonts w:hint="default" w:ascii="仿宋_GB2312" w:hAnsi="仿宋_GB2312" w:eastAsia="仿宋_GB2312" w:cs="仿宋_GB2312"/>
          <w:color w:val="000000"/>
          <w:sz w:val="32"/>
          <w:szCs w:val="32"/>
          <w:lang w:val="en-US" w:eastAsia="zh-CN"/>
        </w:rPr>
        <w:t>在申报、迎检的过程中安排不少于6人的驻点人员提供辅助支持</w:t>
      </w:r>
      <w:r>
        <w:rPr>
          <w:rFonts w:hint="eastAsia" w:ascii="仿宋_GB2312" w:hAnsi="仿宋_GB2312" w:cs="仿宋_GB2312"/>
          <w:color w:val="000000"/>
          <w:sz w:val="32"/>
          <w:szCs w:val="32"/>
          <w:lang w:val="en-US" w:eastAsia="zh-CN"/>
        </w:rPr>
        <w:t>。</w:t>
      </w:r>
      <w:bookmarkStart w:id="2" w:name="_GoBack"/>
      <w:bookmarkEnd w:id="2"/>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left="0" w:leftChars="0" w:right="0" w:firstLine="640" w:firstLineChars="200"/>
        <w:textAlignment w:val="baseline"/>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11.从合同签订开始，中标人相关技术人员对所有科室操作进行分期、分批的各种技术培训。根据不同专业、不同管理要求对科室负责人及所有上岗操作使用人员进行系统主要功能、系统操作使用方法、系统工作流程培训。通过培训，使他们较好的掌握应用软件的使用方法，熟悉系统工作流程，达到熟练操作的要求。</w:t>
      </w: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left="0" w:leftChars="0" w:right="0" w:firstLine="640" w:firstLineChars="200"/>
        <w:textAlignment w:val="baseline"/>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12.应制定详细人员培训方案，包括培训目的、形式、培训时间安排、人数、次数、培训课程（包括课程介绍）、培训师资情况、培训组织方式等。</w:t>
      </w: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left="0" w:leftChars="0" w:right="0" w:firstLine="640" w:firstLineChars="200"/>
        <w:textAlignment w:val="baseline"/>
        <w:rPr>
          <w:rFonts w:hint="eastAsia" w:ascii="仿宋_GB2312" w:hAnsi="仿宋_GB2312" w:cs="仿宋_GB2312"/>
          <w:sz w:val="32"/>
          <w:szCs w:val="32"/>
          <w:lang w:val="en-US" w:eastAsia="zh-CN"/>
        </w:rPr>
      </w:pP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left="0" w:leftChars="0" w:right="0" w:firstLine="640" w:firstLineChars="200"/>
        <w:textAlignment w:val="baseline"/>
        <w:rPr>
          <w:rFonts w:hint="eastAsia" w:ascii="仿宋_GB2312" w:hAnsi="仿宋_GB2312" w:cs="仿宋_GB2312"/>
          <w:sz w:val="32"/>
          <w:szCs w:val="32"/>
          <w:lang w:val="en-US" w:eastAsia="zh-CN"/>
        </w:rPr>
      </w:pPr>
    </w:p>
    <w:p>
      <w:pPr>
        <w:pStyle w:val="2"/>
        <w:rPr>
          <w:highlight w:val="none"/>
        </w:rPr>
      </w:pPr>
    </w:p>
    <w:p>
      <w:pPr>
        <w:pStyle w:val="2"/>
        <w:widowControl w:val="0"/>
        <w:numPr>
          <w:ilvl w:val="0"/>
          <w:numId w:val="2"/>
        </w:numPr>
        <w:wordWrap/>
        <w:overflowPunct w:val="0"/>
        <w:autoSpaceDE w:val="0"/>
        <w:autoSpaceDN w:val="0"/>
        <w:adjustRightInd w:val="0"/>
        <w:spacing w:before="0" w:after="0" w:line="360" w:lineRule="auto"/>
        <w:ind w:left="0" w:leftChars="0" w:right="0" w:firstLine="0" w:firstLineChars="0"/>
        <w:jc w:val="both"/>
        <w:textAlignment w:val="baseline"/>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调研说明</w:t>
      </w: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left="0" w:leftChars="0" w:right="0" w:firstLine="640" w:firstLineChars="200"/>
        <w:textAlignment w:val="baseline"/>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报名参加本次调研的供应商、厂家需提供如下相关资料。</w:t>
      </w: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left="0" w:leftChars="0" w:right="0" w:firstLine="640" w:firstLineChars="200"/>
        <w:textAlignment w:val="baseline"/>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1、报名时请携带加盖公章的项目文件回执单、营业执照复印件、公司简介（可含提供设备彩页等）。</w:t>
      </w: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left="0" w:leftChars="0" w:right="0" w:firstLine="640" w:firstLineChars="200"/>
        <w:textAlignment w:val="baseline"/>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2、参与项目调研供应商代表的个人授权函（需加盖供应商公章）和身份证复印件。</w:t>
      </w: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left="0" w:leftChars="0" w:right="0" w:firstLine="640" w:firstLineChars="200"/>
        <w:textAlignment w:val="baseline"/>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3、分别提供“信用中国”网站（www.creditchina.gov.cn）、“中国政府采购网”网站（http://www.ccgp.gov.cn/search/cr/）信用记录查询截图，无不良记录并加盖公章（截图查询日期必须在该公告日期内）。</w:t>
      </w: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left="0" w:leftChars="0" w:right="0" w:firstLine="640" w:firstLineChars="200"/>
        <w:textAlignment w:val="baseline"/>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4、提供同类业绩案例。</w:t>
      </w: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left="0" w:leftChars="0" w:right="0" w:firstLine="640" w:firstLineChars="200"/>
        <w:textAlignment w:val="baseline"/>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5、本调研会的报价仅做为本项目公开招标的预算限价；不做参与投标的限制条件；</w:t>
      </w: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left="0" w:leftChars="0" w:right="0" w:firstLine="640" w:firstLineChars="200"/>
        <w:textAlignment w:val="baseline"/>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6、上述各参数将做为本项目招标的主要参数，不代表本项目公开招标的最终参数；</w:t>
      </w: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left="0" w:leftChars="0" w:right="0" w:firstLine="640" w:firstLineChars="200"/>
        <w:textAlignment w:val="baseline"/>
        <w:rPr>
          <w:rFonts w:hint="eastAsia" w:ascii="仿宋_GB2312" w:hAnsi="仿宋_GB2312" w:eastAsia="仿宋_GB2312" w:cs="仿宋_GB2312"/>
          <w:b w:val="0"/>
          <w:bCs/>
          <w:color w:val="000000"/>
          <w:kern w:val="0"/>
          <w:sz w:val="32"/>
          <w:szCs w:val="32"/>
          <w:highlight w:val="none"/>
          <w:shd w:val="clear" w:color="auto" w:fill="FFFFFF"/>
          <w:lang w:val="en-US" w:eastAsia="zh-CN"/>
        </w:rPr>
      </w:pPr>
      <w:r>
        <w:rPr>
          <w:rFonts w:hint="eastAsia" w:ascii="仿宋_GB2312" w:hAnsi="仿宋_GB2312" w:cs="仿宋_GB2312"/>
          <w:sz w:val="32"/>
          <w:szCs w:val="32"/>
          <w:lang w:val="en-US" w:eastAsia="zh-CN"/>
        </w:rPr>
        <w:t>7、参加调研会的公司应准备PPT材料（含方案介绍、服务及系统建设、应用案例、报价等）、技术参数等材料，每公司讲解时间30分钟（含答疑10分钟）；同时上述材料须交予院方留档（发送邮件到wlb@fjzlhospital.com，并提供U盘留档）。</w:t>
      </w:r>
    </w:p>
    <w:p>
      <w:pPr>
        <w:rPr>
          <w:rFonts w:hint="eastAsia"/>
          <w:highlight w:val="none"/>
        </w:rPr>
      </w:pPr>
    </w:p>
    <w:p>
      <w:pPr>
        <w:pStyle w:val="2"/>
        <w:wordWrap/>
        <w:spacing w:before="0" w:after="0" w:line="360" w:lineRule="auto"/>
        <w:ind w:left="0" w:leftChars="0" w:right="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项目文件回执单</w:t>
      </w:r>
    </w:p>
    <w:p>
      <w:pPr>
        <w:pStyle w:val="2"/>
        <w:keepNext w:val="0"/>
        <w:keepLines w:val="0"/>
        <w:pageBreakBefore w:val="0"/>
        <w:widowControl w:val="0"/>
        <w:kinsoku/>
        <w:wordWrap/>
        <w:overflowPunct w:val="0"/>
        <w:topLinePunct w:val="0"/>
        <w:autoSpaceDE w:val="0"/>
        <w:autoSpaceDN w:val="0"/>
        <w:bidi w:val="0"/>
        <w:adjustRightInd w:val="0"/>
        <w:snapToGrid/>
        <w:spacing w:before="0" w:after="0" w:line="360" w:lineRule="auto"/>
        <w:ind w:left="0" w:leftChars="0" w:right="0" w:firstLine="640" w:firstLineChars="200"/>
        <w:textAlignment w:val="baseline"/>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请有意向参与的公司在项目公示期内携带回执单至福建省肿瘤医院网络技术中心报名。</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2382"/>
        <w:gridCol w:w="2427"/>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 w:type="dxa"/>
          </w:tcPr>
          <w:p>
            <w:pPr>
              <w:pStyle w:val="2"/>
              <w:wordWrap/>
              <w:spacing w:before="0" w:after="0" w:line="360" w:lineRule="auto"/>
              <w:ind w:left="0" w:leftChars="0" w:right="0"/>
              <w:jc w:val="cente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序号</w:t>
            </w:r>
          </w:p>
        </w:tc>
        <w:tc>
          <w:tcPr>
            <w:tcW w:w="2382" w:type="dxa"/>
          </w:tcPr>
          <w:p>
            <w:pPr>
              <w:pStyle w:val="2"/>
              <w:wordWrap/>
              <w:spacing w:before="0" w:after="0" w:line="360" w:lineRule="auto"/>
              <w:ind w:left="0" w:leftChars="0" w:right="0"/>
              <w:jc w:val="center"/>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项目名称</w:t>
            </w:r>
          </w:p>
        </w:tc>
        <w:tc>
          <w:tcPr>
            <w:tcW w:w="2427" w:type="dxa"/>
          </w:tcPr>
          <w:p>
            <w:pPr>
              <w:pStyle w:val="2"/>
              <w:wordWrap/>
              <w:spacing w:before="0" w:after="0" w:line="360" w:lineRule="auto"/>
              <w:ind w:left="0" w:leftChars="0" w:right="0"/>
              <w:jc w:val="cente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数量</w:t>
            </w:r>
          </w:p>
        </w:tc>
        <w:tc>
          <w:tcPr>
            <w:tcW w:w="2891" w:type="dxa"/>
          </w:tcPr>
          <w:p>
            <w:pPr>
              <w:pStyle w:val="2"/>
              <w:wordWrap/>
              <w:spacing w:before="0" w:after="0" w:line="360" w:lineRule="auto"/>
              <w:ind w:left="0" w:leftChars="0" w:right="0"/>
              <w:jc w:val="center"/>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品牌及型号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 w:type="dxa"/>
          </w:tcPr>
          <w:p>
            <w:pPr>
              <w:pStyle w:val="2"/>
              <w:wordWrap/>
              <w:spacing w:before="0" w:after="0" w:line="360" w:lineRule="auto"/>
              <w:ind w:left="0" w:leftChars="0" w:right="0"/>
              <w:jc w:val="cente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w:t>
            </w:r>
          </w:p>
        </w:tc>
        <w:tc>
          <w:tcPr>
            <w:tcW w:w="2382" w:type="dxa"/>
          </w:tcPr>
          <w:p>
            <w:pPr>
              <w:pStyle w:val="2"/>
              <w:wordWrap/>
              <w:spacing w:before="0" w:after="0" w:line="360" w:lineRule="auto"/>
              <w:ind w:left="0" w:leftChars="0" w:right="0"/>
              <w:jc w:val="center"/>
              <w:rPr>
                <w:rFonts w:hint="eastAsia" w:ascii="仿宋_GB2312" w:hAnsi="仿宋_GB2312" w:cs="仿宋_GB2312"/>
                <w:sz w:val="32"/>
                <w:szCs w:val="32"/>
                <w:lang w:val="en-US" w:eastAsia="zh-CN"/>
              </w:rPr>
            </w:pPr>
          </w:p>
        </w:tc>
        <w:tc>
          <w:tcPr>
            <w:tcW w:w="2427" w:type="dxa"/>
          </w:tcPr>
          <w:p>
            <w:pPr>
              <w:pStyle w:val="2"/>
              <w:wordWrap/>
              <w:spacing w:before="0" w:after="0" w:line="360" w:lineRule="auto"/>
              <w:ind w:left="0" w:leftChars="0" w:right="0"/>
              <w:jc w:val="center"/>
              <w:rPr>
                <w:rFonts w:hint="eastAsia" w:ascii="仿宋_GB2312" w:hAnsi="仿宋_GB2312" w:cs="仿宋_GB2312"/>
                <w:sz w:val="32"/>
                <w:szCs w:val="32"/>
                <w:lang w:val="en-US" w:eastAsia="zh-CN"/>
              </w:rPr>
            </w:pPr>
          </w:p>
        </w:tc>
        <w:tc>
          <w:tcPr>
            <w:tcW w:w="2891" w:type="dxa"/>
          </w:tcPr>
          <w:p>
            <w:pPr>
              <w:pStyle w:val="2"/>
              <w:wordWrap/>
              <w:spacing w:before="0" w:after="0" w:line="360" w:lineRule="auto"/>
              <w:ind w:left="0" w:leftChars="0" w:right="0"/>
              <w:jc w:val="center"/>
              <w:rPr>
                <w:rFonts w:hint="eastAsia" w:ascii="仿宋_GB2312" w:hAnsi="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 w:type="dxa"/>
          </w:tcPr>
          <w:p>
            <w:pPr>
              <w:pStyle w:val="2"/>
              <w:wordWrap/>
              <w:spacing w:before="0" w:after="0" w:line="360" w:lineRule="auto"/>
              <w:ind w:left="0" w:leftChars="0" w:right="0"/>
              <w:jc w:val="cente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w:t>
            </w:r>
          </w:p>
        </w:tc>
        <w:tc>
          <w:tcPr>
            <w:tcW w:w="2382" w:type="dxa"/>
          </w:tcPr>
          <w:p>
            <w:pPr>
              <w:pStyle w:val="2"/>
              <w:wordWrap/>
              <w:spacing w:before="0" w:after="0" w:line="360" w:lineRule="auto"/>
              <w:ind w:left="0" w:leftChars="0" w:right="0"/>
              <w:jc w:val="center"/>
              <w:rPr>
                <w:rFonts w:hint="eastAsia" w:ascii="仿宋_GB2312" w:hAnsi="仿宋_GB2312" w:cs="仿宋_GB2312"/>
                <w:sz w:val="32"/>
                <w:szCs w:val="32"/>
                <w:lang w:val="en-US" w:eastAsia="zh-CN"/>
              </w:rPr>
            </w:pPr>
          </w:p>
        </w:tc>
        <w:tc>
          <w:tcPr>
            <w:tcW w:w="2427" w:type="dxa"/>
          </w:tcPr>
          <w:p>
            <w:pPr>
              <w:pStyle w:val="2"/>
              <w:wordWrap/>
              <w:spacing w:before="0" w:after="0" w:line="360" w:lineRule="auto"/>
              <w:ind w:left="0" w:leftChars="0" w:right="0"/>
              <w:jc w:val="center"/>
              <w:rPr>
                <w:rFonts w:hint="eastAsia" w:ascii="仿宋_GB2312" w:hAnsi="仿宋_GB2312" w:cs="仿宋_GB2312"/>
                <w:sz w:val="32"/>
                <w:szCs w:val="32"/>
                <w:lang w:val="en-US" w:eastAsia="zh-CN"/>
              </w:rPr>
            </w:pPr>
          </w:p>
        </w:tc>
        <w:tc>
          <w:tcPr>
            <w:tcW w:w="2891" w:type="dxa"/>
          </w:tcPr>
          <w:p>
            <w:pPr>
              <w:pStyle w:val="2"/>
              <w:wordWrap/>
              <w:spacing w:before="0" w:after="0" w:line="360" w:lineRule="auto"/>
              <w:ind w:left="0" w:leftChars="0" w:right="0"/>
              <w:jc w:val="center"/>
              <w:rPr>
                <w:rFonts w:hint="eastAsia" w:ascii="仿宋_GB2312" w:hAnsi="仿宋_GB2312" w:cs="仿宋_GB2312"/>
                <w:sz w:val="32"/>
                <w:szCs w:val="32"/>
                <w:lang w:val="en-US" w:eastAsia="zh-CN"/>
              </w:rPr>
            </w:pPr>
          </w:p>
        </w:tc>
      </w:tr>
    </w:tbl>
    <w:p>
      <w:pPr>
        <w:pStyle w:val="2"/>
        <w:wordWrap/>
        <w:spacing w:before="0" w:after="0" w:line="360" w:lineRule="auto"/>
        <w:ind w:left="0" w:leftChars="0" w:right="0"/>
        <w:rPr>
          <w:rFonts w:hint="eastAsia" w:ascii="仿宋_GB2312" w:hAnsi="仿宋_GB2312" w:cs="仿宋_GB2312"/>
          <w:sz w:val="32"/>
          <w:szCs w:val="32"/>
          <w:lang w:val="en-US" w:eastAsia="zh-CN"/>
        </w:rPr>
      </w:pPr>
    </w:p>
    <w:p>
      <w:pPr>
        <w:pStyle w:val="2"/>
        <w:wordWrap/>
        <w:spacing w:before="0" w:after="0" w:line="360" w:lineRule="auto"/>
        <w:ind w:left="0" w:leftChars="0" w:right="0"/>
        <w:rPr>
          <w:rFonts w:hint="eastAsia" w:ascii="仿宋_GB2312" w:hAnsi="仿宋_GB2312" w:cs="仿宋_GB2312"/>
          <w:sz w:val="32"/>
          <w:szCs w:val="32"/>
          <w:lang w:val="en-US" w:eastAsia="zh-CN"/>
        </w:rPr>
      </w:pPr>
    </w:p>
    <w:p>
      <w:pPr>
        <w:pStyle w:val="2"/>
        <w:wordWrap/>
        <w:spacing w:before="0" w:after="0" w:line="360" w:lineRule="auto"/>
        <w:ind w:left="0" w:leftChars="0" w:right="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公司名称：</w:t>
      </w:r>
    </w:p>
    <w:p>
      <w:pPr>
        <w:pStyle w:val="2"/>
        <w:wordWrap/>
        <w:spacing w:before="0" w:after="0" w:line="360" w:lineRule="auto"/>
        <w:ind w:left="0" w:leftChars="0" w:right="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联系人：</w:t>
      </w:r>
    </w:p>
    <w:p>
      <w:pPr>
        <w:pStyle w:val="2"/>
        <w:wordWrap/>
        <w:spacing w:before="0" w:after="0" w:line="360" w:lineRule="auto"/>
        <w:ind w:left="0" w:leftChars="0" w:right="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联系电话：</w:t>
      </w:r>
    </w:p>
    <w:p>
      <w:pPr>
        <w:pStyle w:val="2"/>
        <w:wordWrap/>
        <w:spacing w:before="0" w:after="0" w:line="360" w:lineRule="auto"/>
        <w:ind w:left="0" w:leftChars="0" w:right="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公司盖章：</w:t>
      </w:r>
    </w:p>
    <w:p>
      <w:pPr>
        <w:pStyle w:val="2"/>
        <w:wordWrap/>
        <w:spacing w:before="0" w:after="0" w:line="360" w:lineRule="auto"/>
        <w:ind w:left="0" w:leftChars="0" w:right="0"/>
        <w:rPr>
          <w:rFonts w:hint="eastAsia" w:ascii="仿宋_GB2312" w:hAnsi="仿宋_GB2312" w:cs="仿宋_GB2312"/>
          <w:sz w:val="32"/>
          <w:szCs w:val="32"/>
          <w:lang w:val="en-US" w:eastAsia="zh-CN"/>
        </w:rPr>
      </w:pPr>
    </w:p>
    <w:p>
      <w:pPr>
        <w:pStyle w:val="2"/>
        <w:wordWrap/>
        <w:spacing w:before="0" w:after="0" w:line="360" w:lineRule="auto"/>
        <w:ind w:left="0" w:leftChars="0" w:right="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w:t>
      </w:r>
    </w:p>
    <w:p>
      <w:pPr>
        <w:pStyle w:val="2"/>
        <w:wordWrap/>
        <w:spacing w:before="0" w:after="0" w:line="360" w:lineRule="auto"/>
        <w:ind w:left="0" w:leftChars="0" w:right="0"/>
        <w:rPr>
          <w:rFonts w:hint="eastAsia" w:ascii="仿宋_GB2312" w:hAnsi="仿宋_GB2312" w:cs="仿宋_GB2312"/>
          <w:sz w:val="32"/>
          <w:szCs w:val="32"/>
          <w:lang w:val="en-US" w:eastAsia="zh-CN"/>
        </w:rPr>
      </w:pPr>
    </w:p>
    <w:p>
      <w:pPr>
        <w:pStyle w:val="2"/>
        <w:wordWrap/>
        <w:spacing w:before="0" w:after="0" w:line="360" w:lineRule="auto"/>
        <w:ind w:left="0" w:leftChars="0" w:right="0"/>
        <w:rPr>
          <w:rFonts w:hint="eastAsia" w:ascii="仿宋_GB2312" w:hAnsi="仿宋_GB2312" w:eastAsia="仿宋_GB2312" w:cs="仿宋_GB2312"/>
          <w:b w:val="0"/>
          <w:bCs/>
          <w:color w:val="000000"/>
          <w:kern w:val="0"/>
          <w:sz w:val="32"/>
          <w:szCs w:val="32"/>
          <w:highlight w:val="none"/>
          <w:shd w:val="clear" w:color="auto" w:fill="FFFFFF"/>
          <w:lang w:val="en-US" w:eastAsia="zh-CN"/>
        </w:rPr>
      </w:pPr>
      <w:r>
        <w:rPr>
          <w:rFonts w:hint="eastAsia" w:ascii="仿宋_GB2312" w:hAnsi="仿宋_GB2312" w:cs="仿宋_GB2312"/>
          <w:sz w:val="32"/>
          <w:szCs w:val="32"/>
          <w:lang w:val="en-US" w:eastAsia="zh-CN"/>
        </w:rPr>
        <w:t xml:space="preserve"> </w:t>
      </w:r>
    </w:p>
    <w:p>
      <w:pPr>
        <w:pStyle w:val="2"/>
        <w:wordWrap/>
        <w:spacing w:before="0" w:after="0" w:line="360" w:lineRule="auto"/>
        <w:ind w:left="0" w:leftChars="0" w:right="0"/>
        <w:rPr>
          <w:rFonts w:hint="eastAsia" w:ascii="仿宋_GB2312" w:hAnsi="仿宋_GB2312" w:cs="仿宋_GB2312"/>
          <w:sz w:val="32"/>
          <w:szCs w:val="32"/>
          <w:lang w:val="en-US" w:eastAsia="zh-CN"/>
        </w:rPr>
      </w:pPr>
      <w:r>
        <w:rPr>
          <w:rFonts w:hint="eastAsia" w:ascii="仿宋_GB2312" w:hAnsi="仿宋_GB2312" w:eastAsia="仿宋_GB2312" w:cs="仿宋_GB2312"/>
          <w:b w:val="0"/>
          <w:bCs/>
          <w:color w:val="000000"/>
          <w:kern w:val="0"/>
          <w:sz w:val="32"/>
          <w:szCs w:val="32"/>
          <w:highlight w:val="none"/>
          <w:shd w:val="clear" w:color="auto" w:fill="FFFFFF"/>
          <w:lang w:val="en-US" w:eastAsia="zh-CN"/>
        </w:rPr>
        <w:t xml:space="preserve">                                      </w:t>
      </w:r>
      <w:r>
        <w:rPr>
          <w:rFonts w:hint="eastAsia" w:ascii="仿宋_GB2312" w:hAnsi="仿宋_GB2312" w:cs="仿宋_GB2312"/>
          <w:sz w:val="32"/>
          <w:szCs w:val="32"/>
          <w:lang w:val="en-US" w:eastAsia="zh-CN"/>
        </w:rPr>
        <w:t>福建省肿瘤医院</w:t>
      </w:r>
    </w:p>
    <w:p>
      <w:pPr>
        <w:pStyle w:val="2"/>
        <w:wordWrap/>
        <w:spacing w:before="0" w:after="0" w:line="360" w:lineRule="auto"/>
        <w:ind w:left="0" w:leftChars="0" w:right="0"/>
        <w:rPr>
          <w:rFonts w:hint="eastAsia" w:ascii="仿宋_GB2312" w:hAnsi="仿宋_GB2312" w:cs="仿宋_GB2312"/>
          <w:sz w:val="32"/>
          <w:szCs w:val="32"/>
          <w:lang w:val="en-US" w:eastAsia="zh-CN"/>
        </w:rPr>
      </w:pPr>
    </w:p>
    <w:p>
      <w:pPr>
        <w:pStyle w:val="2"/>
        <w:wordWrap/>
        <w:spacing w:before="0" w:after="0" w:line="360" w:lineRule="auto"/>
        <w:ind w:left="0" w:leftChars="0" w:right="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年  月  日</w:t>
      </w:r>
      <w:bookmarkEnd w:id="0"/>
    </w:p>
    <w:sectPr>
      <w:pgSz w:w="12240" w:h="15840"/>
      <w:pgMar w:top="1134" w:right="1587" w:bottom="1134"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6D40D8E2-65CA-458B-92C6-D5907E862539}"/>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016D27"/>
    <w:multiLevelType w:val="singleLevel"/>
    <w:tmpl w:val="17016D27"/>
    <w:lvl w:ilvl="0" w:tentative="0">
      <w:start w:val="1"/>
      <w:numFmt w:val="decimal"/>
      <w:lvlText w:val="%1."/>
      <w:lvlJc w:val="left"/>
      <w:pPr>
        <w:ind w:left="425" w:hanging="425"/>
      </w:pPr>
      <w:rPr>
        <w:rFonts w:hint="default"/>
      </w:rPr>
    </w:lvl>
  </w:abstractNum>
  <w:abstractNum w:abstractNumId="1">
    <w:nsid w:val="53551602"/>
    <w:multiLevelType w:val="singleLevel"/>
    <w:tmpl w:val="5355160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NotTrackMoves/>
  <w:documentProtection w:enforcement="0"/>
  <w:defaultTabStop w:val="420"/>
  <w:drawingGridHorizontalSpacing w:val="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NzZiNjE1N2NiNDY1MjdjNTllOWUxMWU4Y2ZiZGQifQ=="/>
  </w:docVars>
  <w:rsids>
    <w:rsidRoot w:val="00924C0E"/>
    <w:rsid w:val="000607C6"/>
    <w:rsid w:val="000A002F"/>
    <w:rsid w:val="000E44E2"/>
    <w:rsid w:val="001D0683"/>
    <w:rsid w:val="001D46B7"/>
    <w:rsid w:val="001F2EDE"/>
    <w:rsid w:val="00251FC1"/>
    <w:rsid w:val="0025346E"/>
    <w:rsid w:val="002A56CA"/>
    <w:rsid w:val="002D62D3"/>
    <w:rsid w:val="002E6861"/>
    <w:rsid w:val="003376A5"/>
    <w:rsid w:val="003A074C"/>
    <w:rsid w:val="003A561C"/>
    <w:rsid w:val="00423F47"/>
    <w:rsid w:val="00495A22"/>
    <w:rsid w:val="004D4AEB"/>
    <w:rsid w:val="0051401E"/>
    <w:rsid w:val="005403BB"/>
    <w:rsid w:val="005C4D2E"/>
    <w:rsid w:val="005C5755"/>
    <w:rsid w:val="006252DE"/>
    <w:rsid w:val="00646D4A"/>
    <w:rsid w:val="006704F7"/>
    <w:rsid w:val="006835D7"/>
    <w:rsid w:val="006C5E89"/>
    <w:rsid w:val="0079257D"/>
    <w:rsid w:val="0082352B"/>
    <w:rsid w:val="00893596"/>
    <w:rsid w:val="008B354A"/>
    <w:rsid w:val="008C1A7C"/>
    <w:rsid w:val="008F19AD"/>
    <w:rsid w:val="00924C0E"/>
    <w:rsid w:val="009B0111"/>
    <w:rsid w:val="00A2031E"/>
    <w:rsid w:val="00A60E92"/>
    <w:rsid w:val="00AE48E6"/>
    <w:rsid w:val="00B66D76"/>
    <w:rsid w:val="00B729F9"/>
    <w:rsid w:val="00B9498E"/>
    <w:rsid w:val="00BD4BA4"/>
    <w:rsid w:val="00BF1819"/>
    <w:rsid w:val="00C5393C"/>
    <w:rsid w:val="00CB0928"/>
    <w:rsid w:val="00DC1290"/>
    <w:rsid w:val="00DD7A95"/>
    <w:rsid w:val="00F56D1C"/>
    <w:rsid w:val="01BB2059"/>
    <w:rsid w:val="02182ED7"/>
    <w:rsid w:val="027B2371"/>
    <w:rsid w:val="02AD7AC3"/>
    <w:rsid w:val="03215DBB"/>
    <w:rsid w:val="05573D16"/>
    <w:rsid w:val="05822C11"/>
    <w:rsid w:val="059B00A7"/>
    <w:rsid w:val="05B11678"/>
    <w:rsid w:val="05B178CA"/>
    <w:rsid w:val="05CF7D50"/>
    <w:rsid w:val="0616597F"/>
    <w:rsid w:val="06344057"/>
    <w:rsid w:val="068648B3"/>
    <w:rsid w:val="06E31D05"/>
    <w:rsid w:val="06F37A6F"/>
    <w:rsid w:val="081E5E8C"/>
    <w:rsid w:val="08387E2F"/>
    <w:rsid w:val="08713341"/>
    <w:rsid w:val="08850B9A"/>
    <w:rsid w:val="08E6156B"/>
    <w:rsid w:val="08F10DED"/>
    <w:rsid w:val="09B96D4E"/>
    <w:rsid w:val="0A4C1970"/>
    <w:rsid w:val="0AC72CD7"/>
    <w:rsid w:val="0B512FB6"/>
    <w:rsid w:val="0BAA1044"/>
    <w:rsid w:val="0C7B29E0"/>
    <w:rsid w:val="0CAC0DEC"/>
    <w:rsid w:val="0D8D4779"/>
    <w:rsid w:val="0D984ECC"/>
    <w:rsid w:val="0DB22432"/>
    <w:rsid w:val="0DD759F4"/>
    <w:rsid w:val="0E686F94"/>
    <w:rsid w:val="0EDB7766"/>
    <w:rsid w:val="0F056591"/>
    <w:rsid w:val="0F582B65"/>
    <w:rsid w:val="0FFB1A7E"/>
    <w:rsid w:val="10AC13BA"/>
    <w:rsid w:val="114F61E9"/>
    <w:rsid w:val="11BF6ECB"/>
    <w:rsid w:val="11D34725"/>
    <w:rsid w:val="11EE155E"/>
    <w:rsid w:val="12BA4BDF"/>
    <w:rsid w:val="12E806A4"/>
    <w:rsid w:val="12E82452"/>
    <w:rsid w:val="12F473A6"/>
    <w:rsid w:val="13A91BE1"/>
    <w:rsid w:val="13E64BE3"/>
    <w:rsid w:val="141F1EA3"/>
    <w:rsid w:val="14447B5C"/>
    <w:rsid w:val="144D4C62"/>
    <w:rsid w:val="154216B5"/>
    <w:rsid w:val="15724254"/>
    <w:rsid w:val="157955E3"/>
    <w:rsid w:val="15E3035A"/>
    <w:rsid w:val="16297009"/>
    <w:rsid w:val="172F4AF3"/>
    <w:rsid w:val="18A137CE"/>
    <w:rsid w:val="18F02060"/>
    <w:rsid w:val="18F338FE"/>
    <w:rsid w:val="19094ED0"/>
    <w:rsid w:val="19153875"/>
    <w:rsid w:val="195720DF"/>
    <w:rsid w:val="19FB0CBC"/>
    <w:rsid w:val="1A7B1DFD"/>
    <w:rsid w:val="1AAD645B"/>
    <w:rsid w:val="1B2D30F7"/>
    <w:rsid w:val="1B8847D2"/>
    <w:rsid w:val="1C314E69"/>
    <w:rsid w:val="1C4E1577"/>
    <w:rsid w:val="1CAE64BA"/>
    <w:rsid w:val="1DB47B00"/>
    <w:rsid w:val="1DB95116"/>
    <w:rsid w:val="1DE303E5"/>
    <w:rsid w:val="1E417B2A"/>
    <w:rsid w:val="1F027BBC"/>
    <w:rsid w:val="1F69491A"/>
    <w:rsid w:val="1FBC2C9C"/>
    <w:rsid w:val="205C7FDB"/>
    <w:rsid w:val="20A21E92"/>
    <w:rsid w:val="21B04A82"/>
    <w:rsid w:val="22D87DED"/>
    <w:rsid w:val="22F10EAE"/>
    <w:rsid w:val="23847F75"/>
    <w:rsid w:val="239B00EF"/>
    <w:rsid w:val="24324B16"/>
    <w:rsid w:val="24381B3F"/>
    <w:rsid w:val="24577437"/>
    <w:rsid w:val="24C50845"/>
    <w:rsid w:val="24C83E91"/>
    <w:rsid w:val="25052E0F"/>
    <w:rsid w:val="25B00875"/>
    <w:rsid w:val="270F5DA7"/>
    <w:rsid w:val="277773B2"/>
    <w:rsid w:val="27B84691"/>
    <w:rsid w:val="27CB6172"/>
    <w:rsid w:val="28302479"/>
    <w:rsid w:val="290D6316"/>
    <w:rsid w:val="291458F7"/>
    <w:rsid w:val="2916166F"/>
    <w:rsid w:val="29363ABF"/>
    <w:rsid w:val="29387837"/>
    <w:rsid w:val="29EB48A9"/>
    <w:rsid w:val="2A4B359A"/>
    <w:rsid w:val="2A5A1A2F"/>
    <w:rsid w:val="2A97058D"/>
    <w:rsid w:val="2AB4113F"/>
    <w:rsid w:val="2B391645"/>
    <w:rsid w:val="2B736BF1"/>
    <w:rsid w:val="2C2C73FB"/>
    <w:rsid w:val="2CCA2E9C"/>
    <w:rsid w:val="2DA07759"/>
    <w:rsid w:val="2DE142E5"/>
    <w:rsid w:val="2E344345"/>
    <w:rsid w:val="2E586286"/>
    <w:rsid w:val="2F397E65"/>
    <w:rsid w:val="2FE73D65"/>
    <w:rsid w:val="304836C1"/>
    <w:rsid w:val="308446EB"/>
    <w:rsid w:val="30A92DC8"/>
    <w:rsid w:val="313E5C07"/>
    <w:rsid w:val="315E1E05"/>
    <w:rsid w:val="322F37A1"/>
    <w:rsid w:val="335F00B6"/>
    <w:rsid w:val="33923FE8"/>
    <w:rsid w:val="34853B4C"/>
    <w:rsid w:val="34B63D06"/>
    <w:rsid w:val="35262C3A"/>
    <w:rsid w:val="353D61D5"/>
    <w:rsid w:val="357A2F85"/>
    <w:rsid w:val="35E6686D"/>
    <w:rsid w:val="36257395"/>
    <w:rsid w:val="362A49AB"/>
    <w:rsid w:val="37085D08"/>
    <w:rsid w:val="370A4EA2"/>
    <w:rsid w:val="37490E61"/>
    <w:rsid w:val="376A110E"/>
    <w:rsid w:val="378D51F2"/>
    <w:rsid w:val="379876F3"/>
    <w:rsid w:val="379F6CD3"/>
    <w:rsid w:val="37B426A3"/>
    <w:rsid w:val="37F60FE9"/>
    <w:rsid w:val="382D42DF"/>
    <w:rsid w:val="38E54D64"/>
    <w:rsid w:val="3951662C"/>
    <w:rsid w:val="39657AA9"/>
    <w:rsid w:val="398E6FFF"/>
    <w:rsid w:val="39B07817"/>
    <w:rsid w:val="39B8407C"/>
    <w:rsid w:val="39BD78E5"/>
    <w:rsid w:val="39DF3CFF"/>
    <w:rsid w:val="3A190FBF"/>
    <w:rsid w:val="3A39340F"/>
    <w:rsid w:val="3A793A57"/>
    <w:rsid w:val="3B726358"/>
    <w:rsid w:val="3B9823B7"/>
    <w:rsid w:val="3CDE038F"/>
    <w:rsid w:val="3D622C7D"/>
    <w:rsid w:val="3DD516A1"/>
    <w:rsid w:val="3E8132F2"/>
    <w:rsid w:val="3ED951C1"/>
    <w:rsid w:val="3F450160"/>
    <w:rsid w:val="3F512FA9"/>
    <w:rsid w:val="40117B73"/>
    <w:rsid w:val="40355564"/>
    <w:rsid w:val="40616D57"/>
    <w:rsid w:val="407A652F"/>
    <w:rsid w:val="4191768D"/>
    <w:rsid w:val="41DE664A"/>
    <w:rsid w:val="42073DF3"/>
    <w:rsid w:val="426D00FA"/>
    <w:rsid w:val="42B749AD"/>
    <w:rsid w:val="42DC527F"/>
    <w:rsid w:val="42E03AD9"/>
    <w:rsid w:val="42EA174A"/>
    <w:rsid w:val="433E1A96"/>
    <w:rsid w:val="43DD305D"/>
    <w:rsid w:val="43F108B7"/>
    <w:rsid w:val="446A45CF"/>
    <w:rsid w:val="44FF0DB1"/>
    <w:rsid w:val="45C06792"/>
    <w:rsid w:val="45D205B4"/>
    <w:rsid w:val="46B67B95"/>
    <w:rsid w:val="47356D0C"/>
    <w:rsid w:val="4741387D"/>
    <w:rsid w:val="475F73B4"/>
    <w:rsid w:val="48194880"/>
    <w:rsid w:val="4856518C"/>
    <w:rsid w:val="486B1941"/>
    <w:rsid w:val="48A759E8"/>
    <w:rsid w:val="491164F6"/>
    <w:rsid w:val="49583186"/>
    <w:rsid w:val="496F29A9"/>
    <w:rsid w:val="49A53B9C"/>
    <w:rsid w:val="49D61A36"/>
    <w:rsid w:val="49EE703D"/>
    <w:rsid w:val="4ADA6548"/>
    <w:rsid w:val="4B5160DF"/>
    <w:rsid w:val="4B7D6ED4"/>
    <w:rsid w:val="4C83676C"/>
    <w:rsid w:val="4CBE1552"/>
    <w:rsid w:val="4E0D453F"/>
    <w:rsid w:val="4ECD1F20"/>
    <w:rsid w:val="4EE2777A"/>
    <w:rsid w:val="4F18319B"/>
    <w:rsid w:val="4F2E6E63"/>
    <w:rsid w:val="4F380341"/>
    <w:rsid w:val="4F9F38BD"/>
    <w:rsid w:val="4FCE5F50"/>
    <w:rsid w:val="4FF100B9"/>
    <w:rsid w:val="4FF4152A"/>
    <w:rsid w:val="5147420C"/>
    <w:rsid w:val="517F5754"/>
    <w:rsid w:val="52E2243E"/>
    <w:rsid w:val="531620E8"/>
    <w:rsid w:val="5367649F"/>
    <w:rsid w:val="53784B50"/>
    <w:rsid w:val="544113E6"/>
    <w:rsid w:val="54857525"/>
    <w:rsid w:val="549F7EBB"/>
    <w:rsid w:val="54FE72D7"/>
    <w:rsid w:val="5516017D"/>
    <w:rsid w:val="57996E43"/>
    <w:rsid w:val="58511B64"/>
    <w:rsid w:val="589D0BB5"/>
    <w:rsid w:val="59084281"/>
    <w:rsid w:val="59777658"/>
    <w:rsid w:val="59A10231"/>
    <w:rsid w:val="5A04713E"/>
    <w:rsid w:val="5AB346C0"/>
    <w:rsid w:val="5B3C70FF"/>
    <w:rsid w:val="5B3F5F54"/>
    <w:rsid w:val="5B400993"/>
    <w:rsid w:val="5B661732"/>
    <w:rsid w:val="5B785C5A"/>
    <w:rsid w:val="5BC052E6"/>
    <w:rsid w:val="5BF605B4"/>
    <w:rsid w:val="5C142F3C"/>
    <w:rsid w:val="5C186ED1"/>
    <w:rsid w:val="5C1D44E7"/>
    <w:rsid w:val="5CD227A7"/>
    <w:rsid w:val="5D03088A"/>
    <w:rsid w:val="5D3A654F"/>
    <w:rsid w:val="5D3F5111"/>
    <w:rsid w:val="5D5C103F"/>
    <w:rsid w:val="5D6121B1"/>
    <w:rsid w:val="5D665A1A"/>
    <w:rsid w:val="5DAD189A"/>
    <w:rsid w:val="5FA01F9D"/>
    <w:rsid w:val="60065292"/>
    <w:rsid w:val="603B2139"/>
    <w:rsid w:val="60936B26"/>
    <w:rsid w:val="60BD3BA3"/>
    <w:rsid w:val="61265BEC"/>
    <w:rsid w:val="6131633F"/>
    <w:rsid w:val="613926B5"/>
    <w:rsid w:val="61DC274E"/>
    <w:rsid w:val="6220263B"/>
    <w:rsid w:val="62A96AD4"/>
    <w:rsid w:val="631321A0"/>
    <w:rsid w:val="63F905F2"/>
    <w:rsid w:val="642301C1"/>
    <w:rsid w:val="64283A29"/>
    <w:rsid w:val="645E4756"/>
    <w:rsid w:val="648570CD"/>
    <w:rsid w:val="648E1206"/>
    <w:rsid w:val="65102E3B"/>
    <w:rsid w:val="656B62C3"/>
    <w:rsid w:val="65982E30"/>
    <w:rsid w:val="65AE7F5E"/>
    <w:rsid w:val="66BC66AA"/>
    <w:rsid w:val="67424E02"/>
    <w:rsid w:val="676B2150"/>
    <w:rsid w:val="67C95523"/>
    <w:rsid w:val="68A23436"/>
    <w:rsid w:val="68BB30BE"/>
    <w:rsid w:val="69116A62"/>
    <w:rsid w:val="69653029"/>
    <w:rsid w:val="69780835"/>
    <w:rsid w:val="69B83AA1"/>
    <w:rsid w:val="69B8584F"/>
    <w:rsid w:val="6A1F142A"/>
    <w:rsid w:val="6AC00E5F"/>
    <w:rsid w:val="6B581098"/>
    <w:rsid w:val="6C515AE7"/>
    <w:rsid w:val="6C81017A"/>
    <w:rsid w:val="6D1A4FAB"/>
    <w:rsid w:val="6E881C94"/>
    <w:rsid w:val="6EE36ECA"/>
    <w:rsid w:val="6EF415C9"/>
    <w:rsid w:val="6F410095"/>
    <w:rsid w:val="6FA7439C"/>
    <w:rsid w:val="6FAB550E"/>
    <w:rsid w:val="6FAF3250"/>
    <w:rsid w:val="701D640C"/>
    <w:rsid w:val="70E37655"/>
    <w:rsid w:val="713420C5"/>
    <w:rsid w:val="716A38D3"/>
    <w:rsid w:val="71A42C2D"/>
    <w:rsid w:val="73155EB6"/>
    <w:rsid w:val="733028FA"/>
    <w:rsid w:val="734E2D80"/>
    <w:rsid w:val="738A200A"/>
    <w:rsid w:val="73962B79"/>
    <w:rsid w:val="73E060CE"/>
    <w:rsid w:val="74335F8F"/>
    <w:rsid w:val="74793E2D"/>
    <w:rsid w:val="751002ED"/>
    <w:rsid w:val="755C1784"/>
    <w:rsid w:val="75DC0B17"/>
    <w:rsid w:val="76500BBD"/>
    <w:rsid w:val="76872831"/>
    <w:rsid w:val="76BF021D"/>
    <w:rsid w:val="774021A8"/>
    <w:rsid w:val="77627FDE"/>
    <w:rsid w:val="777D6E2F"/>
    <w:rsid w:val="77D31AA6"/>
    <w:rsid w:val="78874D6A"/>
    <w:rsid w:val="793547C6"/>
    <w:rsid w:val="79584959"/>
    <w:rsid w:val="797F1EE5"/>
    <w:rsid w:val="7BB3231A"/>
    <w:rsid w:val="7BE349AD"/>
    <w:rsid w:val="7C484810"/>
    <w:rsid w:val="7CE704CD"/>
    <w:rsid w:val="7D63031F"/>
    <w:rsid w:val="7E4A06B1"/>
    <w:rsid w:val="7EE3087C"/>
    <w:rsid w:val="7F172C90"/>
    <w:rsid w:val="7F5F07EF"/>
    <w:rsid w:val="7FD4460D"/>
    <w:rsid w:val="7FE67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link w:val="27"/>
    <w:qFormat/>
    <w:uiPriority w:val="0"/>
    <w:pPr>
      <w:keepNext/>
      <w:keepLines/>
      <w:spacing w:before="260" w:after="260" w:line="416" w:lineRule="auto"/>
      <w:outlineLvl w:val="1"/>
    </w:pPr>
    <w:rPr>
      <w:rFonts w:ascii="Calibri Light" w:hAnsi="Calibri Light"/>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styleId="5">
    <w:name w:val="Normal Indent"/>
    <w:basedOn w:val="1"/>
    <w:link w:val="28"/>
    <w:qFormat/>
    <w:uiPriority w:val="0"/>
    <w:pPr>
      <w:ind w:firstLine="420" w:firstLineChars="200"/>
    </w:pPr>
  </w:style>
  <w:style w:type="paragraph" w:styleId="6">
    <w:name w:val="annotation text"/>
    <w:basedOn w:val="1"/>
    <w:link w:val="30"/>
    <w:semiHidden/>
    <w:unhideWhenUsed/>
    <w:qFormat/>
    <w:uiPriority w:val="0"/>
    <w:pPr>
      <w:jc w:val="left"/>
    </w:pPr>
  </w:style>
  <w:style w:type="paragraph" w:styleId="7">
    <w:name w:val="Body Text"/>
    <w:basedOn w:val="1"/>
    <w:semiHidden/>
    <w:unhideWhenUsed/>
    <w:qFormat/>
    <w:uiPriority w:val="99"/>
    <w:pPr>
      <w:spacing w:after="120"/>
    </w:pPr>
  </w:style>
  <w:style w:type="paragraph" w:styleId="8">
    <w:name w:val="footer"/>
    <w:basedOn w:val="1"/>
    <w:link w:val="25"/>
    <w:qFormat/>
    <w:uiPriority w:val="99"/>
    <w:pPr>
      <w:tabs>
        <w:tab w:val="center" w:pos="4153"/>
        <w:tab w:val="right" w:pos="8306"/>
      </w:tabs>
      <w:snapToGrid w:val="0"/>
      <w:jc w:val="left"/>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line="336" w:lineRule="auto"/>
      <w:jc w:val="left"/>
    </w:pPr>
    <w:rPr>
      <w:rFonts w:ascii="宋体" w:hAnsi="宋体"/>
      <w:kern w:val="0"/>
      <w:sz w:val="24"/>
    </w:rPr>
  </w:style>
  <w:style w:type="paragraph" w:styleId="11">
    <w:name w:val="Title"/>
    <w:basedOn w:val="1"/>
    <w:next w:val="1"/>
    <w:qFormat/>
    <w:uiPriority w:val="10"/>
    <w:pPr>
      <w:spacing w:before="240" w:after="60"/>
      <w:jc w:val="center"/>
      <w:outlineLvl w:val="0"/>
    </w:pPr>
    <w:rPr>
      <w:rFonts w:ascii="Calibri Light" w:hAnsi="Calibri Light" w:cs="宋体"/>
      <w:b/>
      <w:bCs/>
      <w:sz w:val="32"/>
      <w:szCs w:val="32"/>
    </w:rPr>
  </w:style>
  <w:style w:type="paragraph" w:styleId="12">
    <w:name w:val="annotation subject"/>
    <w:basedOn w:val="6"/>
    <w:next w:val="6"/>
    <w:link w:val="31"/>
    <w:semiHidden/>
    <w:unhideWhenUsed/>
    <w:qFormat/>
    <w:uiPriority w:val="0"/>
    <w:rPr>
      <w:b/>
      <w:bCs/>
    </w:rPr>
  </w:style>
  <w:style w:type="paragraph" w:styleId="13">
    <w:name w:val="Body Text First Indent"/>
    <w:basedOn w:val="7"/>
    <w:unhideWhenUsed/>
    <w:qFormat/>
    <w:uiPriority w:val="99"/>
    <w:pPr>
      <w:ind w:firstLine="420" w:firstLineChars="100"/>
    </w:p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rPr>
  </w:style>
  <w:style w:type="character" w:styleId="18">
    <w:name w:val="FollowedHyperlink"/>
    <w:semiHidden/>
    <w:unhideWhenUsed/>
    <w:qFormat/>
    <w:uiPriority w:val="99"/>
    <w:rPr>
      <w:color w:val="800080"/>
      <w:u w:val="single"/>
    </w:rPr>
  </w:style>
  <w:style w:type="character" w:styleId="19">
    <w:name w:val="Emphasis"/>
    <w:basedOn w:val="16"/>
    <w:qFormat/>
    <w:uiPriority w:val="0"/>
    <w:rPr>
      <w:i/>
    </w:rPr>
  </w:style>
  <w:style w:type="character" w:styleId="20">
    <w:name w:val="Hyperlink"/>
    <w:semiHidden/>
    <w:unhideWhenUsed/>
    <w:qFormat/>
    <w:uiPriority w:val="99"/>
    <w:rPr>
      <w:color w:val="0000FF"/>
      <w:u w:val="single"/>
    </w:rPr>
  </w:style>
  <w:style w:type="character" w:styleId="21">
    <w:name w:val="annotation reference"/>
    <w:semiHidden/>
    <w:unhideWhenUsed/>
    <w:qFormat/>
    <w:uiPriority w:val="0"/>
    <w:rPr>
      <w:sz w:val="21"/>
      <w:szCs w:val="21"/>
    </w:rPr>
  </w:style>
  <w:style w:type="paragraph" w:customStyle="1" w:styleId="22">
    <w:name w:val="列出段落1"/>
    <w:basedOn w:val="1"/>
    <w:unhideWhenUsed/>
    <w:qFormat/>
    <w:uiPriority w:val="99"/>
    <w:pPr>
      <w:ind w:firstLine="420" w:firstLineChars="200"/>
    </w:pPr>
  </w:style>
  <w:style w:type="paragraph" w:customStyle="1" w:styleId="23">
    <w:name w:val="列表段落1"/>
    <w:basedOn w:val="1"/>
    <w:link w:val="26"/>
    <w:qFormat/>
    <w:uiPriority w:val="34"/>
    <w:pPr>
      <w:widowControl/>
      <w:spacing w:before="100" w:beforeAutospacing="1" w:after="100" w:afterAutospacing="1" w:line="360" w:lineRule="auto"/>
      <w:ind w:firstLine="420" w:firstLineChars="200"/>
      <w:jc w:val="left"/>
    </w:pPr>
    <w:rPr>
      <w:szCs w:val="22"/>
    </w:rPr>
  </w:style>
  <w:style w:type="character" w:customStyle="1" w:styleId="24">
    <w:name w:val="页眉 字符"/>
    <w:link w:val="9"/>
    <w:qFormat/>
    <w:uiPriority w:val="0"/>
    <w:rPr>
      <w:rFonts w:ascii="Calibri" w:hAnsi="Calibri" w:eastAsia="宋体"/>
      <w:kern w:val="2"/>
      <w:sz w:val="18"/>
      <w:szCs w:val="18"/>
    </w:rPr>
  </w:style>
  <w:style w:type="character" w:customStyle="1" w:styleId="25">
    <w:name w:val="页脚 字符"/>
    <w:link w:val="8"/>
    <w:qFormat/>
    <w:uiPriority w:val="99"/>
    <w:rPr>
      <w:rFonts w:ascii="Calibri" w:hAnsi="Calibri" w:eastAsia="宋体"/>
      <w:kern w:val="2"/>
      <w:sz w:val="18"/>
      <w:szCs w:val="18"/>
    </w:rPr>
  </w:style>
  <w:style w:type="character" w:customStyle="1" w:styleId="26">
    <w:name w:val="列表段落 字符"/>
    <w:link w:val="23"/>
    <w:qFormat/>
    <w:uiPriority w:val="34"/>
    <w:rPr>
      <w:rFonts w:ascii="Calibri" w:hAnsi="Calibri" w:eastAsia="宋体"/>
      <w:kern w:val="2"/>
      <w:sz w:val="21"/>
      <w:szCs w:val="22"/>
    </w:rPr>
  </w:style>
  <w:style w:type="character" w:customStyle="1" w:styleId="27">
    <w:name w:val="标题 2 字符"/>
    <w:link w:val="4"/>
    <w:qFormat/>
    <w:uiPriority w:val="0"/>
    <w:rPr>
      <w:rFonts w:ascii="Calibri Light" w:hAnsi="Calibri Light" w:cs="Times New Roman"/>
      <w:b/>
      <w:bCs/>
      <w:kern w:val="2"/>
      <w:sz w:val="32"/>
      <w:szCs w:val="32"/>
    </w:rPr>
  </w:style>
  <w:style w:type="character" w:customStyle="1" w:styleId="28">
    <w:name w:val="正文缩进 字符"/>
    <w:link w:val="5"/>
    <w:qFormat/>
    <w:uiPriority w:val="0"/>
    <w:rPr>
      <w:rFonts w:cs="Times New Roman"/>
      <w:kern w:val="2"/>
      <w:sz w:val="21"/>
      <w:szCs w:val="24"/>
    </w:rPr>
  </w:style>
  <w:style w:type="character" w:customStyle="1" w:styleId="29">
    <w:name w:val="列出段落 Char"/>
    <w:qFormat/>
    <w:uiPriority w:val="34"/>
    <w:rPr>
      <w:rFonts w:cs="宋体"/>
      <w:kern w:val="2"/>
      <w:sz w:val="21"/>
      <w:szCs w:val="22"/>
    </w:rPr>
  </w:style>
  <w:style w:type="character" w:customStyle="1" w:styleId="30">
    <w:name w:val="批注文字 字符"/>
    <w:link w:val="6"/>
    <w:semiHidden/>
    <w:qFormat/>
    <w:uiPriority w:val="0"/>
    <w:rPr>
      <w:rFonts w:cs="Times New Roman"/>
      <w:kern w:val="2"/>
      <w:sz w:val="21"/>
      <w:szCs w:val="24"/>
    </w:rPr>
  </w:style>
  <w:style w:type="character" w:customStyle="1" w:styleId="31">
    <w:name w:val="批注主题 字符"/>
    <w:link w:val="12"/>
    <w:semiHidden/>
    <w:qFormat/>
    <w:uiPriority w:val="0"/>
    <w:rPr>
      <w:rFonts w:cs="Times New Roman"/>
      <w:b/>
      <w:bCs/>
      <w:kern w:val="2"/>
      <w:sz w:val="21"/>
      <w:szCs w:val="24"/>
    </w:rPr>
  </w:style>
  <w:style w:type="paragraph" w:customStyle="1" w:styleId="3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font5"/>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4">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35">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3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Cs w:val="21"/>
    </w:rPr>
  </w:style>
  <w:style w:type="paragraph" w:customStyle="1" w:styleId="3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12336</Words>
  <Characters>13461</Characters>
  <Lines>90</Lines>
  <Paragraphs>25</Paragraphs>
  <TotalTime>0</TotalTime>
  <ScaleCrop>false</ScaleCrop>
  <LinksUpToDate>false</LinksUpToDate>
  <CharactersWithSpaces>13614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2021-10-21T06:00:00Z</dcterms:created>
  <dc:creator>user</dc:creator>
  <cp:lastModifiedBy>蓝风</cp:lastModifiedBy>
  <cp:lastPrinted>2021-06-16T01:18:00Z</cp:lastPrinted>
  <dcterms:modified xsi:type="dcterms:W3CDTF">2025-07-14T04:05:04Z</dcterms:modified>
  <dc:title>关于网络及安全设备的采购、更新报告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2F72AD067FB2456994EB2C83BC506C87_12</vt:lpwstr>
  </property>
  <property fmtid="{D5CDD505-2E9C-101B-9397-08002B2CF9AE}" pid="4" name="KSOTemplateDocerSaveRecord">
    <vt:lpwstr>eyJoZGlkIjoiOTE0MzBhYmE0ODYxMThkYzAwOTFlNzRhODc2MTNhOWMiLCJ1c2VySWQiOiIxMjc2ODk0NDg1In0=</vt:lpwstr>
  </property>
</Properties>
</file>