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福建省肿瘤医院网超品牌论证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Style w:val="8"/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：数据安全监管设备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before="0" w:after="0" w:line="360" w:lineRule="auto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钱 工</w:t>
      </w:r>
    </w:p>
    <w:p>
      <w:pPr>
        <w:pStyle w:val="12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Style w:val="8"/>
        <w:tblpPr w:leftFromText="180" w:rightFromText="180" w:vertAnchor="text" w:horzAnchor="page" w:tblpX="1562" w:tblpY="283"/>
        <w:tblOverlap w:val="never"/>
        <w:tblW w:w="9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178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317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spacing w:before="0" w:after="0" w:line="360" w:lineRule="auto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数据安全监管系统</w:t>
            </w:r>
          </w:p>
        </w:tc>
        <w:tc>
          <w:tcPr>
            <w:tcW w:w="1590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1台</w:t>
            </w:r>
          </w:p>
        </w:tc>
        <w:tc>
          <w:tcPr>
            <w:tcW w:w="1894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/>
        <w:widowControl/>
        <w:numPr>
          <w:ilvl w:val="0"/>
          <w:numId w:val="0"/>
        </w:numPr>
        <w:shd w:val="clear" w:color="auto" w:fill="FFFFFF"/>
        <w:wordWrap/>
        <w:autoSpaceDE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2"/>
        <w:numPr>
          <w:ilvl w:val="0"/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78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  <w:vAlign w:val="center"/>
          </w:tcPr>
          <w:p>
            <w:pPr>
              <w:wordWrap/>
              <w:spacing w:before="0" w:after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ordWrap/>
              <w:spacing w:before="0" w:after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375" w:type="dxa"/>
            <w:shd w:val="clear" w:color="auto" w:fill="auto"/>
            <w:vAlign w:val="center"/>
          </w:tcPr>
          <w:p>
            <w:pPr>
              <w:wordWrap/>
              <w:spacing w:before="0" w:after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wordWrap/>
              <w:spacing w:before="0" w:after="0" w:line="36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wordWrap/>
              <w:spacing w:before="0" w:after="0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数据安全监管系统</w:t>
            </w:r>
          </w:p>
        </w:tc>
        <w:tc>
          <w:tcPr>
            <w:tcW w:w="637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1、满足机架式部署要求；具备满足SQL审计处理能力峰值600Mbps及32000条语句/秒、日志在线存储128亿条的性能指标；具有足够的网络接口、扩展能力和存储容量以满足项目需求。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支持旁路部署方式，无需改造既有网络、无需在服务器上安装插件，确保业务连续不中断。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支持在目标数据库安装Agent引流，解决云环境、虚拟化环境等内部流量无法镜像场景下的数据库审计。支持通过Agent对流量进行过滤，端口、IP地址等关键内容均能按需定义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提供详细的功能说明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技术承诺书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支持Oracle、SQL Server、Mysql、DB2、PostgreSQL、Sybase、Hive、MongoDB、Informix、DM、Kingbase、LibrA、GaussDB、GBase、Highgo（瀚高）、Oscar（神通）等数据库的审计，且支持多种不同的数据库同时审计（提供详细的功能说明或技术承诺书）。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支持后关系型数据库Caché的审计，可以审计到操作记录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支持后关系型数据库IRIS的审计，可以审计到操作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支持主流业务协议操作的审计，如：Samba、NFS、Portal、Http、Https、pop3、ssh、SMTP、Telnet、FTP协议审计。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应支持多层过滤功能，支持网络流量驱动级IP过滤，根据过滤的条件（如源地址IP/目的地址IP）定义规则，对网络流量进行扫描，对无需审计的信息从网络层进行过滤；根据系统语句（SQL语句）和白名单（条件为IP/MAC/应用账户/数据库账户/审计对象/操作语句）定义规则进行应用层过滤，将客户关注的信息进行保留，避免无用信息的堆砌造成磁盘空间的浪费和性能的耗损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支持数据库绑定变量审计、函数审计(sum求和函数等）。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在无需重启被审计数据库的情况下，支持对SQL Server加密协议的审计，可正常审计到数据库账号、操作系统用户名、操作系统主机名等身份信息。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支持数据库SSL加密流量的审计，包括TLS1.1、TLS1.2等。（提供详细的功能说明或技术承诺书）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支持B/S、C/S应用系统三层架构http应用审计，可提取包括应用系统的人员工号（账号）在内的“六元组”身份信息，精确定位到人，并可获取XML返回结果。（提供详细的功能说明或技术承诺书）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支持带COM、COM+、DCOM组件的三层架构应用审计，可提取包括应用层工号（账号）之内的“六元组”身份信息，精确定位到人。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基于大数据全文检索技术，检索效率高达亿条数据秒级响应，快速定位相关的审计内容。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支持对可疑监控对象的操作语句进行会话级的事件回放，回放时间可达前后60分钟，方便风险及违规操作的追溯。（提供详细的功能说明或技术承诺书）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16、具备强大的防统方能力，能够有效识别和预警未经授权的批量数据查询、导出等高风险操作行为，支持适应主流医院信息系统（HIS）环境。（提供过往在大型医疗机构成功实施防统方审计的案例）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统方确认，点击查看某条审计记录，能够进行统方确认，更新其处置状态，并纳入统方报表进行行为趋势分析，同时支持生成统方报告，并存档以留存记录，供后续事件追溯使用。（提供详细的功能说明或技术承诺书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支持对疑似统方行为的进行人工处置，支持对同类型、同规则的行为进行批量处置或一键处置。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支持特定时间区间内抗菌药，药剂及耗材的种类，型号，规格，用量，价值的排名统计，并生成报表。（提供详细的功能说明或技术承诺书）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具备自动构建数据库操作行为基线的能力，可自动识别超出行为基线之外的陌生IP、陌生工具访问行为，并进行告警。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支持立即、按周、按月生成报表，生成的报表支持通过邮件自动发送。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翻译功能：支持在审计时自动将审计结果翻译成自然语言，支持系统定义和用户自定义翻译，便于审计人员方便、简单的获得并了解数据库审计的结果。（提供详细的功能说明或技术承诺书）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支持对访问工具、IP地址、客户端MAC、操作系统主机名、操作系统用户名、应用账户名、规则生效时间、数据库对象、操作类型、存储过程与触发器进行集合配置，在审计规则中进行引用。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支持对SQL注入、跨站脚本攻击等web攻击的识别与告警。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系统应具备防范非法IP地址、防范暴力破解登录等异常行为检测。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系统通过审计规则的设置，对于统方和破坏数据库的危险行为如：拖库、删表、EXP备份导表等行为自动识别和告警。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旁路阻断功能，支持根据访问IP、账号、客户端工具名、时间、客户端MAC、主机名、操作回复信息等指定规则进行阻断；不改变被审计对象的网络结构、不在数据库操作系统中安装插件，审计系统设备异常不影响网络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提供系统CPU、内存使用率异常告警、网络和网卡异常、引擎状态异常、磁盘存储容量不足等情况时的自动报警提醒。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登录用户密码、设置访问黑白名单等安全功能。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配套服务：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29、资产梳理服务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季度梳理服务:提供一年四次的上门IP资产的自动梳理服务，摸清IP资产全网软、硬件资产统计(能够提供联网终端状态及设备名、设备类型、主机名、IP地址统计、MAC地址、系统类型、网卡厂商、接入网段、所连接的交换机端口。)，协助排查IP/MAC冲突，输出相关资产情况报告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日常服务:投标方需承诺无需额外费用，自带工具入场提供7*24小时一年365天，指定重要区域范围，IP资产的接入及变动情况。识别接入内网的所有设备，自动监控网络边界、收集网络资产，对网络中活动的设备进行归类统计。对IP冲突、异常接入进行告警。自带工具的所有权归投标方所有，服务结束，自带工具需删除用户现场数据方可收回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30、数据库风险评估服务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按照《中华人民共和国数据安全法》、《中华人民共和国个人信息保护法》要求，提供一次数据库漏扫服务并输出《数据库漏洞扫描报告》。通过服务工具的扫描，能快速发现数据库中存在的各种漏洞，如DBMS漏洞、配置缺陷、敏感数据、补丁、危险代码、审计、程序后门、缺省口令等数据库风险检测，从数据库的不同维度去进行漏洞检测与分析，并提供有效的安全分析和修补建议。（漏扫对象：接入数据安全监管系统的数据库）</w:t>
            </w:r>
          </w:p>
        </w:tc>
      </w:tr>
    </w:tbl>
    <w:p>
      <w:pPr>
        <w:numPr>
          <w:ilvl w:val="0"/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pStyle w:val="15"/>
        <w:numPr>
          <w:ilvl w:val="0"/>
          <w:numId w:val="0"/>
        </w:numPr>
        <w:wordWrap/>
        <w:spacing w:before="0" w:beforeAutospacing="0" w:after="0" w:afterAutospacing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本项目为交钥匙工程，主要工作为：各设备上架调试、系统集成等软硬件安装工作，同时必须结合医院现有设备及应用情况，实施现有及本项目规划、等保安全、系统集成、数据迁移、协助完成医院评审工作包括但不限于三级等保评审、电子病历评审、互联互通评审等各项工作；</w:t>
      </w:r>
    </w:p>
    <w:p>
      <w:pPr>
        <w:pStyle w:val="15"/>
        <w:numPr>
          <w:ilvl w:val="0"/>
          <w:numId w:val="0"/>
        </w:numPr>
        <w:wordWrap/>
        <w:spacing w:before="0" w:beforeAutospacing="0" w:after="0" w:afterAutospacing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2、本预算价应包含设备价格、实施费用（含相关光纤辅材，机柜整理及设备接地服务）、集成费用及3年保修期内（扩容设备随主机保修）的维修及服务费用等，本预算价为含税开票价格。</w:t>
      </w:r>
    </w:p>
    <w:p>
      <w:pPr>
        <w:pStyle w:val="15"/>
        <w:numPr>
          <w:ilvl w:val="0"/>
          <w:numId w:val="0"/>
        </w:numPr>
        <w:wordWrap/>
        <w:spacing w:before="0" w:beforeAutospacing="0" w:after="0" w:afterAutospacing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3、本项目系统安装调试并经验收合格后，应对采购方的相关人员提供关于系统应用时技术和操作方面的培训。相关培训费用应包含在投标总价中。</w:t>
      </w:r>
    </w:p>
    <w:p>
      <w:pPr>
        <w:pStyle w:val="12"/>
        <w:widowControl w:val="0"/>
        <w:numPr>
          <w:ilvl w:val="0"/>
          <w:numId w:val="1"/>
        </w:numPr>
        <w:wordWrap/>
        <w:overflowPunct w:val="0"/>
        <w:autoSpaceDE w:val="0"/>
        <w:autoSpaceDN w:val="0"/>
        <w:adjustRightInd w:val="0"/>
        <w:spacing w:before="0" w:after="0"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2"/>
        </w:numPr>
        <w:wordWrap/>
        <w:snapToGrid/>
        <w:spacing w:before="0" w:after="0" w:line="360" w:lineRule="auto"/>
        <w:ind w:left="0" w:leftChars="0" w:right="0" w:firstLine="72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可含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。</w:t>
      </w:r>
    </w:p>
    <w:p>
      <w:pPr>
        <w:pStyle w:val="12"/>
        <w:numPr>
          <w:ilvl w:val="0"/>
          <w:numId w:val="0"/>
        </w:numPr>
        <w:wordWrap/>
        <w:spacing w:before="0" w:after="0" w:line="360" w:lineRule="auto"/>
        <w:ind w:left="0" w:leftChars="0" w:right="0"/>
        <w:rPr>
          <w:rFonts w:hint="eastAsia"/>
          <w:lang w:eastAsia="zh-CN"/>
        </w:rPr>
      </w:pP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2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2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2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2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Style w:val="8"/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2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2"/>
        <w:wordWrap/>
        <w:spacing w:before="0" w:after="0" w:line="360" w:lineRule="auto"/>
        <w:ind w:left="0" w:leftChars="0" w:right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2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sectPr>
      <w:footerReference r:id="rId3" w:type="default"/>
      <w:pgSz w:w="12240" w:h="15840"/>
      <w:pgMar w:top="1417" w:right="1587" w:bottom="1417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025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FpMj9EAAAADAQAADwAAAAAAAAABACAAAAAiAAAAZHJzL2Rvd25yZXYueG1sUEsBAhQAFAAA&#10;AAgAh07iQDzBcNu9AQAAkA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51602"/>
    <w:multiLevelType w:val="singleLevel"/>
    <w:tmpl w:val="535516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B4397F"/>
    <w:multiLevelType w:val="singleLevel"/>
    <w:tmpl w:val="67B439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zZiNjE1N2NiNDY1MjdjNTllOWUxMWU4Y2ZiZGQifQ=="/>
  </w:docVars>
  <w:rsids>
    <w:rsidRoot w:val="00000000"/>
    <w:rsid w:val="01545A05"/>
    <w:rsid w:val="01AD5116"/>
    <w:rsid w:val="01F3521E"/>
    <w:rsid w:val="030E7E36"/>
    <w:rsid w:val="051554AC"/>
    <w:rsid w:val="0667562A"/>
    <w:rsid w:val="06DF3FC3"/>
    <w:rsid w:val="0EAF4BC3"/>
    <w:rsid w:val="10D601E5"/>
    <w:rsid w:val="1193257A"/>
    <w:rsid w:val="14F25809"/>
    <w:rsid w:val="150D619F"/>
    <w:rsid w:val="1B6603B7"/>
    <w:rsid w:val="1CB3762C"/>
    <w:rsid w:val="1FBA6F24"/>
    <w:rsid w:val="20A06EA1"/>
    <w:rsid w:val="227B299A"/>
    <w:rsid w:val="24B44E06"/>
    <w:rsid w:val="25315EDA"/>
    <w:rsid w:val="25B032A3"/>
    <w:rsid w:val="285A5748"/>
    <w:rsid w:val="2B624616"/>
    <w:rsid w:val="2D786D08"/>
    <w:rsid w:val="2D964B2C"/>
    <w:rsid w:val="33D97E69"/>
    <w:rsid w:val="3A1A0893"/>
    <w:rsid w:val="3CAA4150"/>
    <w:rsid w:val="3FFA53EF"/>
    <w:rsid w:val="41583ECA"/>
    <w:rsid w:val="41BB0BAE"/>
    <w:rsid w:val="41E15A2F"/>
    <w:rsid w:val="42187DAE"/>
    <w:rsid w:val="43264C5B"/>
    <w:rsid w:val="4453323E"/>
    <w:rsid w:val="44CB1108"/>
    <w:rsid w:val="459C0CF6"/>
    <w:rsid w:val="496C5862"/>
    <w:rsid w:val="49C60F7D"/>
    <w:rsid w:val="4D1473C4"/>
    <w:rsid w:val="4F42290E"/>
    <w:rsid w:val="53B55B42"/>
    <w:rsid w:val="550D3076"/>
    <w:rsid w:val="551C55B1"/>
    <w:rsid w:val="5CDE0AA0"/>
    <w:rsid w:val="5D714B60"/>
    <w:rsid w:val="5E3B0C54"/>
    <w:rsid w:val="69DB153D"/>
    <w:rsid w:val="6B0B0547"/>
    <w:rsid w:val="6FE32EFA"/>
    <w:rsid w:val="70FE623D"/>
    <w:rsid w:val="730833A3"/>
    <w:rsid w:val="760F2C9B"/>
    <w:rsid w:val="76357407"/>
    <w:rsid w:val="7AE91D0C"/>
    <w:rsid w:val="7B5A2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paragraph" w:customStyle="1" w:styleId="1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3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3357</Words>
  <Characters>3765</Characters>
  <Lines>0</Lines>
  <Paragraphs>0</Paragraphs>
  <TotalTime>17</TotalTime>
  <ScaleCrop>false</ScaleCrop>
  <LinksUpToDate>false</LinksUpToDate>
  <CharactersWithSpaces>3893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蓝风</cp:lastModifiedBy>
  <cp:lastPrinted>2023-06-20T07:45:00Z</cp:lastPrinted>
  <dcterms:modified xsi:type="dcterms:W3CDTF">2025-07-21T05:12:26Z</dcterms:modified>
  <dc:title>设备科：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A6BBC9D9B4434CFE9CB4E1CA2A97A089_13</vt:lpwstr>
  </property>
</Properties>
</file>