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0"/>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项目名称：抗肿瘤药物相关肝损伤数据平台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lang w:val="en-US" w:eastAsia="zh-CN"/>
              </w:rPr>
              <w:t>07</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23</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07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29</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0(北京时间）</w:t>
            </w:r>
          </w:p>
          <w:p>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07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31</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郑</w:t>
      </w:r>
      <w:bookmarkStart w:id="0" w:name="_GoBack"/>
      <w:bookmarkEnd w:id="0"/>
      <w:r>
        <w:rPr>
          <w:rFonts w:hint="eastAsia" w:ascii="仿宋_GB2312" w:hAnsi="仿宋_GB2312" w:eastAsia="仿宋_GB2312" w:cs="仿宋_GB2312"/>
          <w:bCs/>
          <w:color w:val="000000"/>
          <w:kern w:val="0"/>
          <w:sz w:val="32"/>
          <w:szCs w:val="32"/>
          <w:shd w:val="clear" w:color="auto" w:fill="FFFFFF"/>
        </w:rPr>
        <w:t xml:space="preserve"> 工</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10"/>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exact"/>
        </w:trPr>
        <w:tc>
          <w:tcPr>
            <w:tcW w:w="2697" w:type="dxa"/>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178" w:type="dxa"/>
            <w:vAlign w:val="center"/>
          </w:tcPr>
          <w:p>
            <w:pPr>
              <w:widowControl/>
              <w:spacing w:line="360" w:lineRule="auto"/>
              <w:jc w:val="center"/>
              <w:rPr>
                <w:rFonts w:hint="eastAsia"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抗肿瘤药物相关肝损伤数据平台</w:t>
            </w:r>
          </w:p>
        </w:tc>
        <w:tc>
          <w:tcPr>
            <w:tcW w:w="1590" w:type="dxa"/>
            <w:vAlign w:val="center"/>
          </w:tcPr>
          <w:p>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w:t>
            </w:r>
          </w:p>
        </w:tc>
        <w:tc>
          <w:tcPr>
            <w:tcW w:w="1894" w:type="dxa"/>
            <w:vAlign w:val="center"/>
          </w:tcPr>
          <w:p>
            <w:pPr>
              <w:autoSpaceDN w:val="0"/>
              <w:spacing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35</w:t>
            </w:r>
          </w:p>
        </w:tc>
      </w:tr>
    </w:tbl>
    <w:p/>
    <w:p>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11"/>
        <w:tblW w:w="9437"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465"/>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序号</w:t>
            </w:r>
          </w:p>
        </w:tc>
        <w:tc>
          <w:tcPr>
            <w:tcW w:w="1465"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项目</w:t>
            </w:r>
          </w:p>
        </w:tc>
        <w:tc>
          <w:tcPr>
            <w:tcW w:w="6835"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5" w:type="dxa"/>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药物性肝损伤专病数据集</w:t>
            </w:r>
          </w:p>
        </w:tc>
        <w:tc>
          <w:tcPr>
            <w:tcW w:w="6835" w:type="dxa"/>
          </w:tcPr>
          <w:p>
            <w:pPr>
              <w:pStyle w:val="2"/>
              <w:numPr>
                <w:ilvl w:val="0"/>
                <w:numId w:val="1"/>
              </w:numPr>
              <w:rPr>
                <w:rFonts w:hint="eastAsia" w:ascii="仿宋_GB2312" w:hAnsi="仿宋_GB2312" w:cs="仿宋_GB2312"/>
                <w:sz w:val="32"/>
                <w:szCs w:val="32"/>
              </w:rPr>
            </w:pPr>
            <w:r>
              <w:rPr>
                <w:rFonts w:hint="eastAsia" w:ascii="仿宋_GB2312" w:hAnsi="仿宋_GB2312" w:cs="仿宋_GB2312"/>
                <w:sz w:val="28"/>
                <w:szCs w:val="28"/>
              </w:rPr>
              <w:t>支持多源数据整合，包括人口信息、就诊信息、检验信息、影像检查信息、医嘱信息、随访信息肝功生化检验、凝血检验、腹部影像检查、肝穿病理、抗肿瘤治疗（免疫治疗、靶向治疗、化疗）等子集，数据字段需全面和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auto"/>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5" w:type="dxa"/>
            <w:shd w:val="clear" w:color="auto" w:fill="auto"/>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智能检索模块</w:t>
            </w:r>
          </w:p>
        </w:tc>
        <w:tc>
          <w:tcPr>
            <w:tcW w:w="6835" w:type="dxa"/>
            <w:shd w:val="clear" w:color="auto" w:fill="auto"/>
          </w:tcPr>
          <w:p>
            <w:pPr>
              <w:pStyle w:val="2"/>
              <w:numPr>
                <w:ilvl w:val="0"/>
                <w:numId w:val="2"/>
              </w:numPr>
              <w:rPr>
                <w:rFonts w:ascii="仿宋_GB2312" w:hAnsi="仿宋_GB2312" w:cs="仿宋_GB2312"/>
                <w:sz w:val="28"/>
                <w:szCs w:val="28"/>
              </w:rPr>
            </w:pPr>
            <w:r>
              <w:rPr>
                <w:rFonts w:hint="eastAsia" w:ascii="仿宋_GB2312" w:hAnsi="仿宋_GB2312" w:cs="仿宋_GB2312"/>
                <w:sz w:val="28"/>
                <w:szCs w:val="28"/>
              </w:rPr>
              <w:t>支持对人口信息、诊断、手术、医嘱等条件自由添加、删除，实现自定义检索条件的设置，支持查询时间范围不限、全院病人范围不限，支持中文、拼音首字母模糊检索，并支持自主设置逻辑与、或关系。</w:t>
            </w:r>
          </w:p>
          <w:p>
            <w:pPr>
              <w:pStyle w:val="2"/>
              <w:numPr>
                <w:ilvl w:val="0"/>
                <w:numId w:val="2"/>
              </w:numPr>
              <w:rPr>
                <w:rFonts w:hint="eastAsia" w:ascii="仿宋_GB2312" w:hAnsi="仿宋_GB2312" w:cs="仿宋_GB2312"/>
                <w:sz w:val="28"/>
                <w:szCs w:val="28"/>
              </w:rPr>
            </w:pPr>
            <w:r>
              <w:rPr>
                <w:rFonts w:hint="eastAsia" w:ascii="仿宋_GB2312" w:hAnsi="仿宋_GB2312" w:cs="仿宋_GB2312"/>
                <w:sz w:val="28"/>
                <w:szCs w:val="28"/>
              </w:rPr>
              <w:t>支持全文检索、全文检索、短语检索、模糊检索、正则表达式检索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65"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药物性肝损伤诊断模型</w:t>
            </w:r>
          </w:p>
        </w:tc>
        <w:tc>
          <w:tcPr>
            <w:tcW w:w="6835" w:type="dxa"/>
          </w:tcPr>
          <w:p>
            <w:pPr>
              <w:pStyle w:val="2"/>
              <w:numPr>
                <w:ilvl w:val="0"/>
                <w:numId w:val="1"/>
              </w:numPr>
              <w:rPr>
                <w:rFonts w:ascii="仿宋_GB2312" w:hAnsi="仿宋_GB2312" w:cs="仿宋_GB2312"/>
                <w:sz w:val="28"/>
                <w:szCs w:val="28"/>
              </w:rPr>
            </w:pPr>
            <w:r>
              <w:rPr>
                <w:rFonts w:hint="eastAsia" w:ascii="仿宋_GB2312" w:hAnsi="仿宋_GB2312" w:cs="仿宋_GB2312"/>
                <w:sz w:val="28"/>
                <w:szCs w:val="28"/>
              </w:rPr>
              <w:t>支持根据临床医疗团队根据循证医学的指南、规范等设计抗肿瘤药物性肝损伤AI辅助诊断工具模型。</w:t>
            </w:r>
          </w:p>
          <w:p>
            <w:pPr>
              <w:pStyle w:val="2"/>
              <w:numPr>
                <w:ilvl w:val="0"/>
                <w:numId w:val="1"/>
              </w:numPr>
              <w:rPr>
                <w:rFonts w:hint="eastAsia" w:ascii="仿宋_GB2312" w:hAnsi="仿宋_GB2312" w:cs="仿宋_GB2312"/>
                <w:kern w:val="2"/>
                <w:sz w:val="28"/>
                <w:szCs w:val="28"/>
              </w:rPr>
            </w:pPr>
            <w:r>
              <w:rPr>
                <w:rFonts w:hint="eastAsia" w:ascii="仿宋_GB2312" w:hAnsi="仿宋_GB2312" w:cs="仿宋_GB2312"/>
                <w:kern w:val="2"/>
                <w:sz w:val="28"/>
                <w:szCs w:val="28"/>
              </w:rPr>
              <w:t>支持通过循证医学的指南、规范等重新定义抗肿瘤药物肝损伤诊断辅助模型的关键因子，建立抗肿瘤药物肝损伤诊断辅助模型；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465"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数据展示模块</w:t>
            </w:r>
          </w:p>
        </w:tc>
        <w:tc>
          <w:tcPr>
            <w:tcW w:w="6835" w:type="dxa"/>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1.利用大数据技术和可视化工具，将专病数据转化为易于理解和分析的形式。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65"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科研队列管理模块</w:t>
            </w:r>
          </w:p>
        </w:tc>
        <w:tc>
          <w:tcPr>
            <w:tcW w:w="6835" w:type="dxa"/>
          </w:tcPr>
          <w:p>
            <w:pPr>
              <w:pStyle w:val="19"/>
              <w:numPr>
                <w:ilvl w:val="0"/>
                <w:numId w:val="3"/>
              </w:numPr>
              <w:spacing w:line="360" w:lineRule="auto"/>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支持快速创建自定义科研队列，如按瘤种、治疗方式、肝损伤程度等条件筛选患者。</w:t>
            </w:r>
          </w:p>
          <w:p>
            <w:pPr>
              <w:pStyle w:val="19"/>
              <w:numPr>
                <w:ilvl w:val="0"/>
                <w:numId w:val="3"/>
              </w:numPr>
              <w:spacing w:line="360" w:lineRule="auto"/>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支持对所有创建的队列详情进行查看，支持队列患者基础信息预览、队列患者复发状态预览。</w:t>
            </w:r>
          </w:p>
          <w:p>
            <w:pPr>
              <w:pStyle w:val="19"/>
              <w:numPr>
                <w:ilvl w:val="0"/>
                <w:numId w:val="3"/>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支持队列数据导出功能，可指定数据导出范围、格式等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465"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E-CRF模板管理模块</w:t>
            </w:r>
          </w:p>
        </w:tc>
        <w:tc>
          <w:tcPr>
            <w:tcW w:w="6835" w:type="dxa"/>
          </w:tcPr>
          <w:p>
            <w:pPr>
              <w:pStyle w:val="19"/>
              <w:numPr>
                <w:ilvl w:val="0"/>
                <w:numId w:val="4"/>
              </w:numPr>
              <w:spacing w:line="360" w:lineRule="auto"/>
              <w:ind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支持提供标准化E-CRF模板库；支持自定义模板设计与字段扩展。                                                  </w:t>
            </w:r>
          </w:p>
          <w:p>
            <w:pPr>
              <w:pStyle w:val="19"/>
              <w:numPr>
                <w:ilvl w:val="0"/>
                <w:numId w:val="4"/>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支持根据药物性肝损伤数据集预置专病E-CRF队列模板。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465" w:type="dxa"/>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患者全息视图</w:t>
            </w:r>
          </w:p>
        </w:tc>
        <w:tc>
          <w:tcPr>
            <w:tcW w:w="6835" w:type="dxa"/>
          </w:tcPr>
          <w:p>
            <w:pPr>
              <w:pStyle w:val="19"/>
              <w:numPr>
                <w:ilvl w:val="0"/>
                <w:numId w:val="5"/>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支持根据住院编号进行搜索（仅支持中文、英文、数字输入），查看患者的每一次住院信息（包含人口、诊断、检验、检查、病理信息等专病数据集信息）。</w:t>
            </w:r>
          </w:p>
        </w:tc>
      </w:tr>
    </w:tbl>
    <w:p>
      <w:pPr>
        <w:spacing w:line="360" w:lineRule="auto"/>
        <w:rPr>
          <w:rFonts w:hint="eastAsia" w:ascii="仿宋_GB2312" w:hAnsi="仿宋_GB2312" w:eastAsia="仿宋_GB2312" w:cs="仿宋_GB2312"/>
          <w:b/>
          <w:bCs/>
          <w:sz w:val="32"/>
          <w:szCs w:val="32"/>
        </w:rPr>
      </w:pPr>
    </w:p>
    <w:p>
      <w:pPr>
        <w:numPr>
          <w:ilvl w:val="0"/>
          <w:numId w:val="6"/>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本项目需符合国产化要求，必须配备正版的国产化操作系统、数据库、中间件及前端国产化工作站。同时本项目验收前须提供福建省信息技术应用创新适配中心开展的信息技术应用创新符合性测试，并提供相关的证明。</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根据国家《医院信息系统功能规范》第十二条以及国家信息化建设审计要求，必须提供完整的总体设计报告、需求分析说明书、上线测试报告、操作使用手册、系统维护手册等。</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同时，数据库管理员用户名、密码及相关用户权限信息须如实提供给甲方，不得隐瞒。</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7"/>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6"/>
        <w:spacing w:before="0" w:beforeAutospacing="0" w:after="0" w:afterAutospacing="0" w:line="360" w:lineRule="auto"/>
        <w:jc w:val="both"/>
        <w:rPr>
          <w:rFonts w:hint="eastAsia" w:ascii="仿宋_GB2312" w:hAnsi="仿宋_GB2312" w:eastAsia="仿宋_GB2312" w:cs="仿宋_GB2312"/>
          <w:sz w:val="32"/>
          <w:szCs w:val="32"/>
        </w:rPr>
      </w:pPr>
    </w:p>
    <w:p>
      <w:pPr>
        <w:pStyle w:val="2"/>
        <w:numPr>
          <w:ilvl w:val="0"/>
          <w:numId w:val="6"/>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8"/>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pStyle w:val="2"/>
        <w:spacing w:line="360" w:lineRule="auto"/>
      </w:pP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0"/>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pStyle w:val="2"/>
        <w:spacing w:line="360" w:lineRule="auto"/>
        <w:rPr>
          <w:rFonts w:hint="eastAsia" w:ascii="仿宋_GB2312" w:hAnsi="仿宋_GB2312" w:cs="仿宋_GB2312"/>
          <w:bCs/>
          <w:sz w:val="32"/>
          <w:szCs w:val="32"/>
          <w:shd w:val="clear" w:color="auto" w:fill="FFFFFF"/>
        </w:rPr>
      </w:pP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A7B53"/>
    <w:multiLevelType w:val="multilevel"/>
    <w:tmpl w:val="0F1A7B5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20372AE"/>
    <w:multiLevelType w:val="multilevel"/>
    <w:tmpl w:val="220372A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E55CD5"/>
    <w:multiLevelType w:val="multilevel"/>
    <w:tmpl w:val="40E55CD5"/>
    <w:lvl w:ilvl="0" w:tentative="0">
      <w:start w:val="1"/>
      <w:numFmt w:val="decimal"/>
      <w:lvlText w:val="%1."/>
      <w:lvlJc w:val="left"/>
      <w:pPr>
        <w:ind w:left="360" w:hanging="360"/>
      </w:pPr>
      <w:rPr>
        <w:rFonts w:hint="default"/>
        <w:b w:val="0"/>
        <w:bCs w:val="0"/>
        <w:sz w:val="28"/>
        <w:szCs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3551602"/>
    <w:multiLevelType w:val="singleLevel"/>
    <w:tmpl w:val="53551602"/>
    <w:lvl w:ilvl="0" w:tentative="0">
      <w:start w:val="3"/>
      <w:numFmt w:val="chineseCounting"/>
      <w:suff w:val="nothing"/>
      <w:lvlText w:val="%1、"/>
      <w:lvlJc w:val="left"/>
      <w:rPr>
        <w:rFonts w:hint="eastAsia"/>
      </w:rPr>
    </w:lvl>
  </w:abstractNum>
  <w:abstractNum w:abstractNumId="4">
    <w:nsid w:val="63D77165"/>
    <w:multiLevelType w:val="singleLevel"/>
    <w:tmpl w:val="63D77165"/>
    <w:lvl w:ilvl="0" w:tentative="0">
      <w:start w:val="2"/>
      <w:numFmt w:val="decimal"/>
      <w:suff w:val="nothing"/>
      <w:lvlText w:val="%1、"/>
      <w:lvlJc w:val="left"/>
    </w:lvl>
  </w:abstractNum>
  <w:abstractNum w:abstractNumId="5">
    <w:nsid w:val="654A1039"/>
    <w:multiLevelType w:val="multilevel"/>
    <w:tmpl w:val="654A103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7B4397F"/>
    <w:multiLevelType w:val="singleLevel"/>
    <w:tmpl w:val="67B4397F"/>
    <w:lvl w:ilvl="0" w:tentative="0">
      <w:start w:val="1"/>
      <w:numFmt w:val="decimal"/>
      <w:suff w:val="nothing"/>
      <w:lvlText w:val="%1、"/>
      <w:lvlJc w:val="left"/>
    </w:lvl>
  </w:abstractNum>
  <w:abstractNum w:abstractNumId="7">
    <w:nsid w:val="7E2113D7"/>
    <w:multiLevelType w:val="multilevel"/>
    <w:tmpl w:val="7E2113D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9076C7"/>
    <w:rsid w:val="00225C5B"/>
    <w:rsid w:val="002341A9"/>
    <w:rsid w:val="002C4EF2"/>
    <w:rsid w:val="0037055B"/>
    <w:rsid w:val="003B227B"/>
    <w:rsid w:val="004E5C97"/>
    <w:rsid w:val="007C7830"/>
    <w:rsid w:val="00893D9C"/>
    <w:rsid w:val="009076C7"/>
    <w:rsid w:val="01347A95"/>
    <w:rsid w:val="25CB0C51"/>
    <w:rsid w:val="298E4C93"/>
    <w:rsid w:val="30AD2D57"/>
    <w:rsid w:val="38E66F85"/>
    <w:rsid w:val="3C10781A"/>
    <w:rsid w:val="41680F02"/>
    <w:rsid w:val="790B7B8F"/>
    <w:rsid w:val="7D3F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12"/>
    <w:link w:val="8"/>
    <w:qFormat/>
    <w:uiPriority w:val="0"/>
    <w:rPr>
      <w:rFonts w:ascii="Calibri" w:hAnsi="Calibri" w:cs="黑体"/>
      <w:kern w:val="2"/>
      <w:sz w:val="18"/>
      <w:szCs w:val="18"/>
    </w:rPr>
  </w:style>
  <w:style w:type="character" w:customStyle="1" w:styleId="18">
    <w:name w:val="列表段落 字符"/>
    <w:link w:val="19"/>
    <w:qFormat/>
    <w:uiPriority w:val="34"/>
    <w:rPr>
      <w:kern w:val="2"/>
      <w:sz w:val="21"/>
      <w:szCs w:val="24"/>
    </w:rPr>
  </w:style>
  <w:style w:type="paragraph" w:styleId="19">
    <w:name w:val="List Paragraph"/>
    <w:basedOn w:val="1"/>
    <w:link w:val="18"/>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3025</Words>
  <Characters>3241</Characters>
  <Lines>24</Lines>
  <Paragraphs>7</Paragraphs>
  <TotalTime>2</TotalTime>
  <ScaleCrop>false</ScaleCrop>
  <LinksUpToDate>false</LinksUpToDate>
  <CharactersWithSpaces>3417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2025-05-19T08:47:00Z</dcterms:created>
  <dc:creator>Admin</dc:creator>
  <cp:lastModifiedBy>蓝风</cp:lastModifiedBy>
  <cp:lastPrinted>2023-06-20T07:45:00Z</cp:lastPrinted>
  <dcterms:modified xsi:type="dcterms:W3CDTF">2025-07-23T08:04:23Z</dcterms:modified>
  <dc:title>设备科：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E1FF826B12874C84A1A0D0D31F79585A_13</vt:lpwstr>
  </property>
  <property fmtid="{D5CDD505-2E9C-101B-9397-08002B2CF9AE}" pid="4" name="KSOTemplateDocerSaveRecord">
    <vt:lpwstr>eyJoZGlkIjoiZmE4NTIzYzgwYzJhMDBiN2I1N2RhYzc3ZDdjNThhZWQiLCJ1c2VySWQiOiIzMTI1OTA1OTIifQ==</vt:lpwstr>
  </property>
</Properties>
</file>