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仿宋_GB2312" w:hAnsi="仿宋_GB2312" w:eastAsia="方正小标宋简体" w:cs="仿宋_GB2312"/>
          <w:b w:val="0"/>
          <w:kern w:val="2"/>
          <w:sz w:val="32"/>
          <w:szCs w:val="32"/>
        </w:rPr>
      </w:pPr>
      <w:r>
        <w:rPr>
          <w:rFonts w:hint="eastAsia" w:ascii="方正小标宋简体" w:hAnsi="方正小标宋简体" w:eastAsia="方正小标宋简体" w:cs="方正小标宋简体"/>
          <w:b w:val="0"/>
          <w:kern w:val="2"/>
          <w:szCs w:val="44"/>
        </w:rPr>
        <w:t>福建省肿瘤医院采购调研公告</w:t>
      </w:r>
    </w:p>
    <w:p>
      <w:pPr>
        <w:widowControl/>
        <w:shd w:val="clear" w:color="auto" w:fill="FFFFFF"/>
        <w:adjustRightInd w:val="0"/>
        <w:snapToGrid w:val="0"/>
        <w:spacing w:before="158" w:beforeLines="50" w:line="590" w:lineRule="exac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9"/>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8"/>
              <w:widowControl/>
              <w:spacing w:line="360"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项目名称： 病理数据磁盘阵列存储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2042"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2025 年</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25</w:t>
            </w:r>
            <w:r>
              <w:rPr>
                <w:rFonts w:hint="eastAsia" w:ascii="仿宋_GB2312" w:hAnsi="仿宋_GB2312" w:eastAsia="仿宋_GB2312" w:cs="仿宋_GB2312"/>
                <w:color w:val="000000"/>
                <w:kern w:val="0"/>
                <w:sz w:val="32"/>
                <w:szCs w:val="32"/>
              </w:rPr>
              <w:t xml:space="preserve">日至 </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31</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0-17：30(北京时间）</w:t>
            </w:r>
          </w:p>
          <w:p>
            <w:pPr>
              <w:widowControl/>
              <w:spacing w:line="315" w:lineRule="atLeas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lang w:val="en-US" w:eastAsia="zh-CN"/>
              </w:rPr>
              <w:t>8</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199"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spacing w:line="240" w:lineRule="auto"/>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keepNext w:val="0"/>
        <w:keepLines w:val="0"/>
        <w:pageBreakBefore w:val="0"/>
        <w:widowControl/>
        <w:shd w:val="clear" w:color="auto" w:fill="FFFFFF"/>
        <w:kinsoku/>
        <w:wordWrap/>
        <w:overflowPunct/>
        <w:topLinePunct w:val="0"/>
        <w:autoSpaceDE/>
        <w:autoSpaceDN/>
        <w:bidi w:val="0"/>
        <w:adjustRightInd/>
        <w:snapToGrid/>
        <w:spacing w:after="0" w:line="336" w:lineRule="auto"/>
        <w:textAlignment w:val="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keepNext w:val="0"/>
        <w:keepLines w:val="0"/>
        <w:pageBreakBefore w:val="0"/>
        <w:widowControl/>
        <w:shd w:val="clear" w:color="auto" w:fill="FFFFFF"/>
        <w:kinsoku/>
        <w:wordWrap/>
        <w:overflowPunct/>
        <w:topLinePunct w:val="0"/>
        <w:autoSpaceDE/>
        <w:autoSpaceDN/>
        <w:bidi w:val="0"/>
        <w:adjustRightInd/>
        <w:snapToGrid/>
        <w:spacing w:after="0" w:line="336" w:lineRule="auto"/>
        <w:textAlignment w:val="auto"/>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联系人： </w:t>
      </w:r>
      <w:r>
        <w:rPr>
          <w:rFonts w:hint="eastAsia" w:ascii="仿宋_GB2312" w:hAnsi="仿宋_GB2312" w:eastAsia="仿宋_GB2312" w:cs="仿宋_GB2312"/>
          <w:bCs/>
          <w:color w:val="000000"/>
          <w:kern w:val="0"/>
          <w:sz w:val="32"/>
          <w:szCs w:val="32"/>
          <w:shd w:val="clear" w:color="auto" w:fill="FFFFFF"/>
          <w:lang w:val="en-US" w:eastAsia="zh-CN"/>
        </w:rPr>
        <w:t>杜工、郑</w:t>
      </w:r>
      <w:r>
        <w:rPr>
          <w:rFonts w:hint="eastAsia" w:ascii="仿宋_GB2312" w:hAnsi="仿宋_GB2312" w:eastAsia="仿宋_GB2312" w:cs="仿宋_GB2312"/>
          <w:bCs/>
          <w:color w:val="000000"/>
          <w:kern w:val="0"/>
          <w:sz w:val="32"/>
          <w:szCs w:val="32"/>
          <w:shd w:val="clear" w:color="auto" w:fill="FFFFFF"/>
        </w:rPr>
        <w:t>工</w:t>
      </w:r>
    </w:p>
    <w:p>
      <w:pPr>
        <w:pStyle w:val="12"/>
        <w:rPr>
          <w:rFonts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spacing w:line="240" w:lineRule="auto"/>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440" w:lineRule="atLeast"/>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Style w:val="9"/>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3685"/>
        <w:gridCol w:w="2225"/>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55" w:type="dxa"/>
            <w:vAlign w:val="center"/>
          </w:tcPr>
          <w:p>
            <w:pPr>
              <w:widowControl/>
              <w:spacing w:after="0"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color w:val="000000"/>
                <w:kern w:val="0"/>
                <w:sz w:val="24"/>
              </w:rPr>
              <w:t>合同包</w:t>
            </w:r>
          </w:p>
        </w:tc>
        <w:tc>
          <w:tcPr>
            <w:tcW w:w="3685" w:type="dxa"/>
            <w:vAlign w:val="center"/>
          </w:tcPr>
          <w:p>
            <w:pPr>
              <w:widowControl/>
              <w:spacing w:after="0"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color w:val="000000"/>
                <w:kern w:val="0"/>
                <w:sz w:val="24"/>
              </w:rPr>
              <w:t>名 称</w:t>
            </w:r>
          </w:p>
        </w:tc>
        <w:tc>
          <w:tcPr>
            <w:tcW w:w="2225" w:type="dxa"/>
            <w:vAlign w:val="center"/>
          </w:tcPr>
          <w:p>
            <w:pPr>
              <w:widowControl/>
              <w:spacing w:after="0"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color w:val="000000"/>
                <w:kern w:val="0"/>
                <w:sz w:val="24"/>
              </w:rPr>
              <w:t>数量</w:t>
            </w:r>
          </w:p>
        </w:tc>
        <w:tc>
          <w:tcPr>
            <w:tcW w:w="1894" w:type="dxa"/>
            <w:vAlign w:val="center"/>
          </w:tcPr>
          <w:p>
            <w:pPr>
              <w:widowControl/>
              <w:spacing w:after="0"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color w:val="000000"/>
                <w:kern w:val="0"/>
                <w:sz w:val="24"/>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55" w:type="dxa"/>
            <w:vAlign w:val="center"/>
          </w:tcPr>
          <w:p>
            <w:pPr>
              <w:widowControl/>
              <w:spacing w:after="0"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color w:val="000000"/>
                <w:kern w:val="0"/>
                <w:sz w:val="24"/>
              </w:rPr>
              <w:t>（一）</w:t>
            </w:r>
          </w:p>
        </w:tc>
        <w:tc>
          <w:tcPr>
            <w:tcW w:w="3685" w:type="dxa"/>
            <w:vAlign w:val="center"/>
          </w:tcPr>
          <w:p>
            <w:pPr>
              <w:spacing w:after="0" w:line="360" w:lineRule="auto"/>
              <w:jc w:val="center"/>
              <w:rPr>
                <w:rFonts w:cs="仿宋_GB2312" w:asciiTheme="minorEastAsia" w:hAnsiTheme="minorEastAsia" w:eastAsiaTheme="minorEastAsia"/>
                <w:kern w:val="0"/>
                <w:sz w:val="24"/>
              </w:rPr>
            </w:pPr>
            <w:r>
              <w:rPr>
                <w:rFonts w:hint="eastAsia" w:asciiTheme="minorEastAsia" w:hAnsiTheme="minorEastAsia" w:eastAsiaTheme="minorEastAsia"/>
                <w:sz w:val="24"/>
              </w:rPr>
              <w:t>病理数据磁盘阵列存储</w:t>
            </w:r>
          </w:p>
        </w:tc>
        <w:tc>
          <w:tcPr>
            <w:tcW w:w="2225" w:type="dxa"/>
            <w:vAlign w:val="center"/>
          </w:tcPr>
          <w:p>
            <w:pPr>
              <w:autoSpaceDN w:val="0"/>
              <w:spacing w:after="0" w:line="360" w:lineRule="auto"/>
              <w:jc w:val="center"/>
              <w:textAlignment w:val="center"/>
              <w:rPr>
                <w:rFonts w:cs="仿宋_GB2312" w:asciiTheme="minorEastAsia" w:hAnsiTheme="minorEastAsia" w:eastAsiaTheme="minorEastAsia"/>
                <w:kern w:val="0"/>
                <w:sz w:val="24"/>
              </w:rPr>
            </w:pPr>
            <w:r>
              <w:rPr>
                <w:rFonts w:hint="eastAsia" w:asciiTheme="minorEastAsia" w:hAnsiTheme="minorEastAsia" w:eastAsiaTheme="minorEastAsia"/>
                <w:sz w:val="24"/>
              </w:rPr>
              <w:t>1套</w:t>
            </w:r>
          </w:p>
        </w:tc>
        <w:tc>
          <w:tcPr>
            <w:tcW w:w="1894" w:type="dxa"/>
            <w:vAlign w:val="center"/>
          </w:tcPr>
          <w:p>
            <w:pPr>
              <w:autoSpaceDN w:val="0"/>
              <w:spacing w:after="0" w:line="360" w:lineRule="auto"/>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color w:val="000000"/>
                <w:sz w:val="24"/>
              </w:rPr>
              <w:t>1</w:t>
            </w:r>
            <w:r>
              <w:rPr>
                <w:rFonts w:cs="仿宋_GB2312" w:asciiTheme="minorEastAsia" w:hAnsiTheme="minorEastAsia" w:eastAsiaTheme="minorEastAsia"/>
                <w:color w:val="000000"/>
                <w:sz w:val="24"/>
              </w:rPr>
              <w:t>5</w:t>
            </w:r>
            <w:r>
              <w:rPr>
                <w:rFonts w:hint="eastAsia" w:cs="仿宋_GB2312" w:asciiTheme="minorEastAsia" w:hAnsiTheme="minorEastAsia" w:eastAsiaTheme="minorEastAsia"/>
                <w:color w:val="000000"/>
                <w:sz w:val="24"/>
              </w:rPr>
              <w:t>0</w:t>
            </w:r>
          </w:p>
        </w:tc>
      </w:tr>
    </w:tbl>
    <w:p>
      <w:pPr>
        <w:keepNext/>
        <w:widowControl/>
        <w:shd w:val="clear" w:color="auto" w:fill="FFFFFF"/>
        <w:autoSpaceDE w:val="0"/>
        <w:spacing w:before="120" w:after="120"/>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tbl>
      <w:tblPr>
        <w:tblStyle w:val="9"/>
        <w:tblW w:w="942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2310"/>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127" w:type="dxa"/>
            <w:vAlign w:val="center"/>
          </w:tcPr>
          <w:p>
            <w:pPr>
              <w:spacing w:after="0" w:line="360" w:lineRule="auto"/>
              <w:jc w:val="center"/>
              <w:rPr>
                <w:rFonts w:ascii="宋体" w:hAnsi="宋体" w:cs="仿宋_GB2312"/>
                <w:sz w:val="24"/>
              </w:rPr>
            </w:pPr>
            <w:r>
              <w:rPr>
                <w:rFonts w:hint="eastAsia" w:ascii="宋体" w:hAnsi="宋体" w:cs="仿宋_GB2312"/>
                <w:sz w:val="24"/>
              </w:rPr>
              <w:t>序号</w:t>
            </w:r>
          </w:p>
        </w:tc>
        <w:tc>
          <w:tcPr>
            <w:tcW w:w="2310" w:type="dxa"/>
            <w:vAlign w:val="center"/>
          </w:tcPr>
          <w:p>
            <w:pPr>
              <w:spacing w:after="0" w:line="360" w:lineRule="auto"/>
              <w:jc w:val="center"/>
              <w:rPr>
                <w:rFonts w:ascii="宋体" w:hAnsi="宋体" w:cs="仿宋_GB2312"/>
                <w:sz w:val="24"/>
              </w:rPr>
            </w:pPr>
            <w:r>
              <w:rPr>
                <w:rFonts w:hint="eastAsia" w:ascii="宋体" w:hAnsi="宋体" w:cs="仿宋_GB2312"/>
                <w:sz w:val="24"/>
              </w:rPr>
              <w:t>项目</w:t>
            </w:r>
          </w:p>
        </w:tc>
        <w:tc>
          <w:tcPr>
            <w:tcW w:w="5983" w:type="dxa"/>
            <w:vAlign w:val="center"/>
          </w:tcPr>
          <w:p>
            <w:pPr>
              <w:spacing w:after="0" w:line="360" w:lineRule="auto"/>
              <w:jc w:val="center"/>
              <w:rPr>
                <w:rFonts w:ascii="宋体" w:hAnsi="宋体" w:cs="仿宋_GB2312"/>
                <w:sz w:val="24"/>
              </w:rPr>
            </w:pPr>
            <w:r>
              <w:rPr>
                <w:rFonts w:hint="eastAsia" w:ascii="宋体" w:hAnsi="宋体" w:cs="仿宋_GB2312"/>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127" w:type="dxa"/>
            <w:vAlign w:val="center"/>
          </w:tcPr>
          <w:p>
            <w:pPr>
              <w:spacing w:after="0" w:line="360" w:lineRule="auto"/>
              <w:rPr>
                <w:rFonts w:ascii="宋体" w:hAnsi="宋体" w:cs="仿宋_GB2312"/>
                <w:sz w:val="24"/>
              </w:rPr>
            </w:pPr>
            <w:r>
              <w:rPr>
                <w:rFonts w:hint="eastAsia" w:ascii="宋体" w:hAnsi="宋体"/>
                <w:sz w:val="24"/>
              </w:rPr>
              <w:t>1</w:t>
            </w:r>
          </w:p>
        </w:tc>
        <w:tc>
          <w:tcPr>
            <w:tcW w:w="2310" w:type="dxa"/>
            <w:vAlign w:val="center"/>
          </w:tcPr>
          <w:p>
            <w:pPr>
              <w:spacing w:after="0" w:line="360" w:lineRule="auto"/>
              <w:rPr>
                <w:rFonts w:ascii="宋体" w:hAnsi="宋体" w:cs="仿宋_GB2312"/>
                <w:sz w:val="24"/>
              </w:rPr>
            </w:pPr>
            <w:r>
              <w:rPr>
                <w:rFonts w:hint="eastAsia" w:ascii="宋体" w:hAnsi="宋体"/>
                <w:sz w:val="24"/>
              </w:rPr>
              <w:t>病理数据磁盘阵列存储</w:t>
            </w:r>
          </w:p>
        </w:tc>
        <w:tc>
          <w:tcPr>
            <w:tcW w:w="5983" w:type="dxa"/>
            <w:vAlign w:val="center"/>
          </w:tcPr>
          <w:p>
            <w:pPr>
              <w:spacing w:after="0" w:line="360" w:lineRule="auto"/>
              <w:rPr>
                <w:rFonts w:ascii="宋体" w:hAnsi="宋体"/>
                <w:sz w:val="24"/>
              </w:rPr>
            </w:pPr>
            <w:r>
              <w:rPr>
                <w:rFonts w:hint="eastAsia" w:ascii="宋体" w:hAnsi="宋体"/>
                <w:sz w:val="24"/>
              </w:rPr>
              <w:t>1、产品架构：全对称分布式架构存储，性能、容量随节点数增加而线性增加；</w:t>
            </w:r>
          </w:p>
          <w:p>
            <w:pPr>
              <w:spacing w:after="0" w:line="360" w:lineRule="auto"/>
              <w:rPr>
                <w:rFonts w:ascii="宋体" w:hAnsi="宋体"/>
                <w:sz w:val="24"/>
              </w:rPr>
            </w:pPr>
            <w:r>
              <w:rPr>
                <w:rFonts w:hint="eastAsia" w:ascii="宋体" w:hAnsi="宋体"/>
                <w:sz w:val="24"/>
              </w:rPr>
              <w:t>2、容量要求：本套存储集群配置≥5</w:t>
            </w:r>
            <w:r>
              <w:rPr>
                <w:rFonts w:ascii="宋体" w:hAnsi="宋体"/>
                <w:sz w:val="24"/>
              </w:rPr>
              <w:t>3</w:t>
            </w:r>
            <w:r>
              <w:rPr>
                <w:rFonts w:hint="eastAsia" w:ascii="宋体" w:hAnsi="宋体"/>
                <w:sz w:val="24"/>
              </w:rPr>
              <w:t>0TB可得容量；</w:t>
            </w:r>
          </w:p>
          <w:p>
            <w:pPr>
              <w:spacing w:after="0" w:line="360" w:lineRule="auto"/>
              <w:rPr>
                <w:rFonts w:ascii="宋体" w:hAnsi="宋体"/>
                <w:sz w:val="24"/>
              </w:rPr>
            </w:pPr>
            <w:r>
              <w:rPr>
                <w:rFonts w:hint="eastAsia" w:ascii="宋体" w:hAnsi="宋体"/>
                <w:sz w:val="24"/>
              </w:rPr>
              <w:t>3、节点配置：本套存储集群配置≥4个节点，每个存储节点配置：2个CPU，单个CPU≥48物理核，≥2.6Ghz主频，≥256GB内存，≥2块480GB SSD系统盘，≥2</w:t>
            </w:r>
            <w:r>
              <w:rPr>
                <w:rFonts w:ascii="宋体" w:hAnsi="宋体"/>
                <w:sz w:val="24"/>
              </w:rPr>
              <w:t>6</w:t>
            </w:r>
            <w:r>
              <w:rPr>
                <w:rFonts w:hint="eastAsia" w:ascii="宋体" w:hAnsi="宋体"/>
                <w:sz w:val="24"/>
              </w:rPr>
              <w:t>块8TB 7.2K SATA硬盘，≥2块3.2TB NVMe SSD盘；前端≥2*10G光口（含多模光模块）；后端≥2*25G光口（含多模光模块）；</w:t>
            </w:r>
          </w:p>
          <w:p>
            <w:pPr>
              <w:spacing w:after="0" w:line="360" w:lineRule="auto"/>
              <w:rPr>
                <w:rFonts w:ascii="宋体" w:hAnsi="宋体"/>
                <w:sz w:val="24"/>
              </w:rPr>
            </w:pPr>
            <w:r>
              <w:rPr>
                <w:rFonts w:hint="eastAsia" w:ascii="宋体" w:hAnsi="宋体"/>
                <w:sz w:val="24"/>
              </w:rPr>
              <w:t>4、数据保护：支持EC纠删码的数据保护模式；</w:t>
            </w:r>
          </w:p>
          <w:p>
            <w:pPr>
              <w:spacing w:after="0" w:line="360" w:lineRule="auto"/>
              <w:rPr>
                <w:rFonts w:ascii="宋体" w:hAnsi="宋体"/>
                <w:sz w:val="24"/>
              </w:rPr>
            </w:pPr>
            <w:r>
              <w:rPr>
                <w:rFonts w:hint="eastAsia" w:ascii="宋体" w:hAnsi="宋体"/>
                <w:sz w:val="24"/>
              </w:rPr>
              <w:t>5、压缩能力：支持对医疗病理（包含KFB、SVS、SDPC等格式）的文件进行压缩，压缩率比JPEG提升30%以上；</w:t>
            </w:r>
          </w:p>
          <w:p>
            <w:pPr>
              <w:spacing w:after="0" w:line="360" w:lineRule="auto"/>
              <w:rPr>
                <w:rFonts w:ascii="宋体" w:hAnsi="宋体"/>
                <w:sz w:val="24"/>
              </w:rPr>
            </w:pPr>
            <w:r>
              <w:rPr>
                <w:rFonts w:hint="eastAsia" w:ascii="宋体" w:hAnsi="宋体"/>
                <w:sz w:val="24"/>
              </w:rPr>
              <w:t>6、多协议互通：本套存储需同时提供文件和对象服务，支持NFS/CIFS/S3/HDFS多种访问协议访问同一文件，避免因访问协议不同造成的数据拷贝；</w:t>
            </w:r>
          </w:p>
          <w:p>
            <w:pPr>
              <w:spacing w:after="0" w:line="360" w:lineRule="auto"/>
              <w:rPr>
                <w:rFonts w:ascii="宋体" w:hAnsi="宋体"/>
                <w:sz w:val="24"/>
              </w:rPr>
            </w:pPr>
            <w:r>
              <w:rPr>
                <w:rFonts w:hint="eastAsia" w:ascii="宋体" w:hAnsi="宋体"/>
                <w:sz w:val="24"/>
              </w:rPr>
              <w:t>7、配额管理：可基于用户和用户组设置配额，支持默认配额；</w:t>
            </w:r>
          </w:p>
          <w:p>
            <w:pPr>
              <w:spacing w:after="0" w:line="360" w:lineRule="auto"/>
              <w:rPr>
                <w:rFonts w:ascii="宋体" w:hAnsi="宋体"/>
                <w:sz w:val="24"/>
              </w:rPr>
            </w:pPr>
            <w:r>
              <w:rPr>
                <w:rFonts w:hint="eastAsia" w:ascii="宋体" w:hAnsi="宋体"/>
                <w:sz w:val="24"/>
              </w:rPr>
              <w:t>8、元数据检索：支持元数据检索功能；</w:t>
            </w:r>
          </w:p>
          <w:p>
            <w:pPr>
              <w:spacing w:after="0" w:line="360" w:lineRule="auto"/>
              <w:rPr>
                <w:rFonts w:ascii="宋体" w:hAnsi="宋体" w:cs="仿宋_GB2312"/>
                <w:sz w:val="24"/>
              </w:rPr>
            </w:pPr>
            <w:r>
              <w:rPr>
                <w:rFonts w:hint="eastAsia" w:ascii="宋体" w:hAnsi="宋体"/>
                <w:sz w:val="24"/>
              </w:rPr>
              <w:t>9、服务要求：提供原厂5年7*24小时维保；</w:t>
            </w:r>
          </w:p>
        </w:tc>
      </w:tr>
    </w:tbl>
    <w:p>
      <w:pPr>
        <w:keepNext w:val="0"/>
        <w:keepLines w:val="0"/>
        <w:pageBreakBefore w:val="0"/>
        <w:numPr>
          <w:ilvl w:val="0"/>
          <w:numId w:val="1"/>
        </w:numPr>
        <w:kinsoku/>
        <w:wordWrap/>
        <w:overflowPunct/>
        <w:topLinePunct w:val="0"/>
        <w:autoSpaceDE/>
        <w:autoSpaceDN/>
        <w:bidi w:val="0"/>
        <w:adjustRightInd/>
        <w:snapToGrid/>
        <w:spacing w:after="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keepNext w:val="0"/>
        <w:keepLines w:val="0"/>
        <w:pageBreakBefore w:val="0"/>
        <w:widowControl/>
        <w:numPr>
          <w:ilvl w:val="0"/>
          <w:numId w:val="2"/>
        </w:numPr>
        <w:kinsoku/>
        <w:wordWrap/>
        <w:overflowPunct/>
        <w:topLinePunct w:val="0"/>
        <w:autoSpaceDE/>
        <w:autoSpaceDN/>
        <w:bidi w:val="0"/>
        <w:adjustRightInd/>
        <w:snapToGrid/>
        <w:spacing w:after="0" w:line="315" w:lineRule="atLeast"/>
        <w:ind w:firstLine="640" w:firstLineChars="200"/>
        <w:textAlignment w:val="auto"/>
        <w:rPr>
          <w:rFonts w:ascii="FangSong_GB2312" w:hAnsi="FangSong_GB2312" w:eastAsia="FangSong_GB2312" w:cs="FangSong_GB2312"/>
          <w:color w:val="000000"/>
          <w:kern w:val="0"/>
          <w:sz w:val="32"/>
          <w:szCs w:val="32"/>
        </w:rPr>
      </w:pPr>
      <w:r>
        <w:rPr>
          <w:rFonts w:hint="eastAsia" w:ascii="FangSong_GB2312" w:hAnsi="FangSong_GB2312" w:eastAsia="FangSong_GB2312" w:cs="FangSong_GB2312"/>
          <w:sz w:val="32"/>
          <w:szCs w:val="32"/>
        </w:rPr>
        <w:t>本项目实施主要工作为：各设备上架调试、系统集成等软硬件安装工作，同时必须结合医院现有设备及应用情况，实施现有及本项目规划、等保安全、系统集成、数据迁移、存储迁移、协助完成医院评审工作包括但不限于三级等保评审、电子病历评审、互联互通评审等各项工作；</w:t>
      </w:r>
    </w:p>
    <w:p>
      <w:pPr>
        <w:keepNext w:val="0"/>
        <w:keepLines w:val="0"/>
        <w:pageBreakBefore w:val="0"/>
        <w:widowControl/>
        <w:numPr>
          <w:ilvl w:val="0"/>
          <w:numId w:val="2"/>
        </w:numPr>
        <w:kinsoku/>
        <w:wordWrap/>
        <w:overflowPunct/>
        <w:topLinePunct w:val="0"/>
        <w:autoSpaceDE/>
        <w:autoSpaceDN/>
        <w:bidi w:val="0"/>
        <w:adjustRightInd/>
        <w:snapToGrid/>
        <w:spacing w:after="0" w:line="315"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为保障影像业务访问的连续性、减轻数据流转时核心网络压力，交付时应对分布式存储系统搭建必要的、满足性能要求的、冗余的万兆光纤以太网络，包含交付所必须的光模块及光纤跳线等辅材</w:t>
      </w:r>
    </w:p>
    <w:p>
      <w:pPr>
        <w:keepNext w:val="0"/>
        <w:keepLines w:val="0"/>
        <w:pageBreakBefore w:val="0"/>
        <w:widowControl/>
        <w:numPr>
          <w:ilvl w:val="0"/>
          <w:numId w:val="2"/>
        </w:numPr>
        <w:kinsoku/>
        <w:wordWrap/>
        <w:overflowPunct/>
        <w:topLinePunct w:val="0"/>
        <w:autoSpaceDE/>
        <w:autoSpaceDN/>
        <w:bidi w:val="0"/>
        <w:adjustRightInd/>
        <w:snapToGrid/>
        <w:spacing w:after="0" w:line="315"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FangSong_GB2312" w:hAnsi="FangSong_GB2312" w:eastAsia="FangSong_GB2312" w:cs="FangSong_GB2312"/>
          <w:color w:val="000000"/>
          <w:kern w:val="0"/>
          <w:sz w:val="32"/>
          <w:szCs w:val="32"/>
        </w:rPr>
        <w:t>本预算价应包含设备价格、实施费用</w:t>
      </w:r>
      <w:r>
        <w:rPr>
          <w:rFonts w:hint="eastAsia" w:ascii="FangSong_GB2312" w:hAnsi="FangSong_GB2312" w:eastAsia="FangSong_GB2312" w:cs="FangSong_GB2312"/>
          <w:color w:val="000000"/>
          <w:kern w:val="0"/>
          <w:sz w:val="32"/>
          <w:szCs w:val="32"/>
          <w:lang w:eastAsia="zh-CN"/>
        </w:rPr>
        <w:t>（</w:t>
      </w:r>
      <w:r>
        <w:rPr>
          <w:rFonts w:hint="eastAsia" w:ascii="FangSong_GB2312" w:hAnsi="FangSong_GB2312" w:eastAsia="FangSong_GB2312" w:cs="FangSong_GB2312"/>
          <w:color w:val="000000"/>
          <w:kern w:val="0"/>
          <w:sz w:val="32"/>
          <w:szCs w:val="32"/>
          <w:lang w:val="en-US" w:eastAsia="zh-CN"/>
        </w:rPr>
        <w:t>需按用户实际要求提供</w:t>
      </w:r>
      <w:r>
        <w:rPr>
          <w:rFonts w:hint="eastAsia" w:ascii="FangSong_GB2312" w:hAnsi="FangSong_GB2312" w:eastAsia="FangSong_GB2312" w:cs="FangSong_GB2312"/>
          <w:color w:val="000000"/>
          <w:kern w:val="0"/>
          <w:sz w:val="32"/>
          <w:szCs w:val="32"/>
          <w:lang w:eastAsia="zh-CN"/>
        </w:rPr>
        <w:t>符合相关规范及性能要求</w:t>
      </w:r>
      <w:r>
        <w:rPr>
          <w:rFonts w:hint="eastAsia" w:ascii="FangSong_GB2312" w:hAnsi="FangSong_GB2312" w:eastAsia="FangSong_GB2312" w:cs="FangSong_GB2312"/>
          <w:color w:val="000000"/>
          <w:kern w:val="0"/>
          <w:sz w:val="32"/>
          <w:szCs w:val="32"/>
          <w:lang w:val="en-US" w:eastAsia="zh-CN"/>
        </w:rPr>
        <w:t>的光纤跳线、网线、机柜（含PDU）等</w:t>
      </w:r>
      <w:r>
        <w:rPr>
          <w:rFonts w:hint="eastAsia" w:ascii="FangSong_GB2312" w:hAnsi="FangSong_GB2312" w:eastAsia="FangSong_GB2312" w:cs="FangSong_GB2312"/>
          <w:color w:val="000000"/>
          <w:kern w:val="0"/>
          <w:sz w:val="32"/>
          <w:szCs w:val="32"/>
        </w:rPr>
        <w:t>，机柜</w:t>
      </w:r>
      <w:r>
        <w:rPr>
          <w:rFonts w:hint="eastAsia" w:ascii="FangSong_GB2312" w:hAnsi="FangSong_GB2312" w:eastAsia="FangSong_GB2312" w:cs="FangSong_GB2312"/>
          <w:color w:val="000000"/>
          <w:kern w:val="0"/>
          <w:sz w:val="32"/>
          <w:szCs w:val="32"/>
          <w:lang w:val="en-US" w:eastAsia="zh-CN"/>
        </w:rPr>
        <w:t>线路</w:t>
      </w:r>
      <w:r>
        <w:rPr>
          <w:rFonts w:hint="eastAsia" w:ascii="FangSong_GB2312" w:hAnsi="FangSong_GB2312" w:eastAsia="FangSong_GB2312" w:cs="FangSong_GB2312"/>
          <w:color w:val="000000"/>
          <w:kern w:val="0"/>
          <w:sz w:val="32"/>
          <w:szCs w:val="32"/>
        </w:rPr>
        <w:t>整理</w:t>
      </w:r>
      <w:r>
        <w:rPr>
          <w:rFonts w:hint="eastAsia" w:ascii="FangSong_GB2312" w:hAnsi="FangSong_GB2312" w:eastAsia="FangSong_GB2312" w:cs="FangSong_GB2312"/>
          <w:color w:val="000000"/>
          <w:kern w:val="0"/>
          <w:sz w:val="32"/>
          <w:szCs w:val="32"/>
          <w:lang w:val="en-US" w:eastAsia="zh-CN"/>
        </w:rPr>
        <w:t>所需辅材</w:t>
      </w:r>
      <w:r>
        <w:rPr>
          <w:rFonts w:hint="eastAsia" w:ascii="FangSong_GB2312" w:hAnsi="FangSong_GB2312" w:eastAsia="FangSong_GB2312" w:cs="FangSong_GB2312"/>
          <w:color w:val="000000"/>
          <w:kern w:val="0"/>
          <w:sz w:val="32"/>
          <w:szCs w:val="32"/>
        </w:rPr>
        <w:t>及</w:t>
      </w:r>
      <w:r>
        <w:rPr>
          <w:rFonts w:hint="eastAsia" w:ascii="FangSong_GB2312" w:hAnsi="FangSong_GB2312" w:eastAsia="FangSong_GB2312" w:cs="FangSong_GB2312"/>
          <w:color w:val="000000"/>
          <w:kern w:val="0"/>
          <w:sz w:val="32"/>
          <w:szCs w:val="32"/>
          <w:lang w:val="en-US" w:eastAsia="zh-CN"/>
        </w:rPr>
        <w:t>相关</w:t>
      </w:r>
      <w:r>
        <w:rPr>
          <w:rFonts w:hint="eastAsia" w:ascii="FangSong_GB2312" w:hAnsi="FangSong_GB2312" w:eastAsia="FangSong_GB2312" w:cs="FangSong_GB2312"/>
          <w:color w:val="000000"/>
          <w:kern w:val="0"/>
          <w:sz w:val="32"/>
          <w:szCs w:val="32"/>
        </w:rPr>
        <w:t>设备接地服务</w:t>
      </w:r>
      <w:r>
        <w:rPr>
          <w:rFonts w:hint="eastAsia" w:ascii="FangSong_GB2312" w:hAnsi="FangSong_GB2312" w:eastAsia="FangSong_GB2312" w:cs="FangSong_GB2312"/>
          <w:color w:val="000000"/>
          <w:kern w:val="0"/>
          <w:sz w:val="32"/>
          <w:szCs w:val="32"/>
          <w:lang w:eastAsia="zh-CN"/>
        </w:rPr>
        <w:t>）</w:t>
      </w:r>
      <w:r>
        <w:rPr>
          <w:rFonts w:hint="eastAsia" w:ascii="FangSong_GB2312" w:hAnsi="FangSong_GB2312" w:eastAsia="FangSong_GB2312" w:cs="FangSong_GB2312"/>
          <w:color w:val="000000"/>
          <w:kern w:val="0"/>
          <w:sz w:val="32"/>
          <w:szCs w:val="32"/>
        </w:rPr>
        <w:t>、集成费用及</w:t>
      </w:r>
      <w:r>
        <w:rPr>
          <w:rFonts w:hint="eastAsia" w:ascii="FangSong_GB2312" w:hAnsi="FangSong_GB2312" w:eastAsia="FangSong_GB2312" w:cs="FangSong_GB2312"/>
          <w:color w:val="000000"/>
          <w:kern w:val="0"/>
          <w:sz w:val="32"/>
          <w:szCs w:val="32"/>
          <w:lang w:val="en-US" w:eastAsia="zh-CN"/>
        </w:rPr>
        <w:t>约定</w:t>
      </w:r>
      <w:r>
        <w:rPr>
          <w:rFonts w:hint="eastAsia" w:ascii="FangSong_GB2312" w:hAnsi="FangSong_GB2312" w:eastAsia="FangSong_GB2312" w:cs="FangSong_GB2312"/>
          <w:color w:val="000000"/>
          <w:kern w:val="0"/>
          <w:sz w:val="32"/>
          <w:szCs w:val="32"/>
        </w:rPr>
        <w:t>保修期内（扩容设备随主机保修）的维修及服务费用等，本预算价为含税开票价格。</w:t>
      </w:r>
    </w:p>
    <w:p>
      <w:pPr>
        <w:keepNext w:val="0"/>
        <w:keepLines w:val="0"/>
        <w:pageBreakBefore w:val="0"/>
        <w:widowControl/>
        <w:numPr>
          <w:ilvl w:val="0"/>
          <w:numId w:val="2"/>
        </w:numPr>
        <w:kinsoku/>
        <w:wordWrap/>
        <w:overflowPunct/>
        <w:topLinePunct w:val="0"/>
        <w:autoSpaceDE/>
        <w:autoSpaceDN/>
        <w:bidi w:val="0"/>
        <w:adjustRightInd/>
        <w:snapToGrid/>
        <w:spacing w:after="0" w:line="315" w:lineRule="atLeast"/>
        <w:ind w:firstLine="640" w:firstLineChars="200"/>
        <w:textAlignment w:val="auto"/>
        <w:rPr>
          <w:rFonts w:hint="eastAsia" w:ascii="宋体" w:hAnsi="宋体" w:eastAsia="宋体" w:cs="宋体"/>
          <w:b w:val="0"/>
          <w:bCs w:val="0"/>
          <w:sz w:val="32"/>
          <w:szCs w:val="32"/>
          <w:lang w:val="en-US" w:eastAsia="zh-CN"/>
        </w:rPr>
      </w:pPr>
      <w:r>
        <w:rPr>
          <w:rFonts w:hint="eastAsia" w:ascii="仿宋_GB2312" w:hAnsi="仿宋_GB2312" w:eastAsia="仿宋_GB2312" w:cs="仿宋_GB2312"/>
          <w:color w:val="auto"/>
          <w:sz w:val="32"/>
          <w:szCs w:val="32"/>
          <w:lang w:val="en-US" w:eastAsia="zh-CN"/>
        </w:rPr>
        <w:t>三年内免费实施国家、省市政策性要求，包含但不限于配合完成国产化改造涉及的数据迁移、设备虚拟化平台迁移等工作。</w:t>
      </w:r>
    </w:p>
    <w:p>
      <w:pPr>
        <w:keepNext w:val="0"/>
        <w:keepLines w:val="0"/>
        <w:pageBreakBefore w:val="0"/>
        <w:widowControl/>
        <w:numPr>
          <w:ilvl w:val="0"/>
          <w:numId w:val="2"/>
        </w:numPr>
        <w:kinsoku/>
        <w:wordWrap/>
        <w:overflowPunct/>
        <w:topLinePunct w:val="0"/>
        <w:autoSpaceDE/>
        <w:autoSpaceDN/>
        <w:bidi w:val="0"/>
        <w:adjustRightInd/>
        <w:snapToGrid/>
        <w:spacing w:after="0" w:line="315"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keepNext w:val="0"/>
        <w:keepLines w:val="0"/>
        <w:pageBreakBefore w:val="0"/>
        <w:widowControl/>
        <w:numPr>
          <w:ilvl w:val="0"/>
          <w:numId w:val="0"/>
        </w:numPr>
        <w:kinsoku/>
        <w:wordWrap/>
        <w:overflowPunct/>
        <w:topLinePunct w:val="0"/>
        <w:autoSpaceDE/>
        <w:autoSpaceDN/>
        <w:bidi w:val="0"/>
        <w:adjustRightInd/>
        <w:snapToGrid/>
        <w:spacing w:after="0" w:line="315" w:lineRule="atLeast"/>
        <w:textAlignment w:val="auto"/>
        <w:rPr>
          <w:rFonts w:hint="eastAsia" w:ascii="仿宋_GB2312" w:hAnsi="仿宋_GB2312" w:eastAsia="仿宋_GB2312" w:cs="仿宋_GB2312"/>
          <w:color w:val="auto"/>
          <w:sz w:val="32"/>
          <w:szCs w:val="32"/>
          <w:lang w:val="en-US" w:eastAsia="zh-CN"/>
        </w:rPr>
      </w:pPr>
    </w:p>
    <w:p>
      <w:pPr>
        <w:pStyle w:val="12"/>
        <w:numPr>
          <w:ilvl w:val="0"/>
          <w:numId w:val="1"/>
        </w:numPr>
        <w:rPr>
          <w:rFonts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spacing w:after="0" w:line="315"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r>
        <w:rPr>
          <w:rFonts w:hint="eastAsia" w:ascii="仿宋_GB2312" w:hAnsi="仿宋_GB2312" w:eastAsia="仿宋_GB2312" w:cs="仿宋_GB2312"/>
          <w:bCs/>
          <w:sz w:val="32"/>
          <w:szCs w:val="32"/>
          <w:shd w:val="clear" w:color="auto" w:fill="FFFFFF"/>
        </w:rPr>
        <w:t>提供设备彩页、相关三证等）</w:t>
      </w:r>
      <w:r>
        <w:rPr>
          <w:rFonts w:hint="eastAsia" w:ascii="仿宋_GB2312" w:hAnsi="仿宋_GB2312" w:eastAsia="仿宋_GB2312" w:cs="仿宋_GB2312"/>
          <w:color w:val="000000"/>
          <w:kern w:val="0"/>
          <w:sz w:val="32"/>
          <w:szCs w:val="32"/>
        </w:rPr>
        <w:t>。</w:t>
      </w:r>
    </w:p>
    <w:p>
      <w:pPr>
        <w:widowControl/>
        <w:shd w:val="clear" w:color="auto" w:fill="FFFFFF"/>
        <w:spacing w:after="0"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after="0"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2"/>
        <w:spacing w:after="0"/>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12"/>
        <w:spacing w:after="0"/>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12"/>
        <w:spacing w:after="0"/>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12"/>
        <w:spacing w:after="0"/>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2"/>
        <w:spacing w:after="0"/>
        <w:ind w:firstLine="608" w:firstLineChars="200"/>
        <w:rPr>
          <w:rFonts w:ascii="仿宋_GB2312" w:hAnsi="仿宋_GB2312" w:cs="仿宋_GB2312"/>
          <w:color w:val="000000"/>
          <w:spacing w:val="-8"/>
          <w:kern w:val="0"/>
          <w:sz w:val="32"/>
          <w:szCs w:val="32"/>
          <w:shd w:val="clear" w:color="auto" w:fill="FFFFFF"/>
        </w:rPr>
      </w:pPr>
    </w:p>
    <w:p>
      <w:pPr>
        <w:pStyle w:val="12"/>
        <w:rPr>
          <w:rFonts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line="420" w:lineRule="atLeast"/>
        <w:jc w:val="center"/>
        <w:rPr>
          <w:rFonts w:ascii="仿宋_GB2312" w:hAnsi="仿宋_GB2312" w:eastAsia="仿宋_GB2312" w:cs="仿宋_GB2312"/>
          <w:b/>
          <w:color w:val="000000"/>
          <w:sz w:val="32"/>
          <w:szCs w:val="32"/>
          <w:shd w:val="clear" w:color="auto" w:fill="FFFFFF"/>
        </w:rPr>
      </w:pPr>
    </w:p>
    <w:p>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Style w:val="9"/>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pStyle w:val="12"/>
        <w:rPr>
          <w:rFonts w:ascii="仿宋_GB2312" w:hAnsi="仿宋_GB2312" w:cs="仿宋_GB2312"/>
          <w:bCs/>
          <w:sz w:val="32"/>
          <w:szCs w:val="32"/>
          <w:shd w:val="clear" w:color="auto" w:fill="FFFFFF"/>
        </w:rPr>
      </w:pPr>
    </w:p>
    <w:p>
      <w:pPr>
        <w:pStyle w:val="12"/>
        <w:rPr>
          <w:rFonts w:ascii="仿宋_GB2312" w:hAnsi="仿宋_GB2312" w:cs="仿宋_GB2312"/>
          <w:sz w:val="32"/>
          <w:szCs w:val="32"/>
        </w:rPr>
      </w:pPr>
      <w:r>
        <w:rPr>
          <w:rFonts w:hint="eastAsia" w:ascii="仿宋_GB2312" w:hAnsi="仿宋_GB2312" w:cs="仿宋_GB2312"/>
          <w:sz w:val="32"/>
          <w:szCs w:val="32"/>
        </w:rPr>
        <w:t xml:space="preserve">                                        福建省肿瘤医院</w:t>
      </w:r>
    </w:p>
    <w:p>
      <w:pPr>
        <w:pStyle w:val="12"/>
        <w:rPr>
          <w:rFonts w:ascii="仿宋_GB2312" w:hAnsi="仿宋_GB2312" w:cs="仿宋_GB2312"/>
          <w:sz w:val="32"/>
          <w:szCs w:val="32"/>
        </w:rPr>
      </w:pPr>
      <w:r>
        <w:rPr>
          <w:rFonts w:hint="eastAsia" w:ascii="仿宋_GB2312" w:hAnsi="仿宋_GB2312" w:cs="仿宋_GB2312"/>
          <w:sz w:val="32"/>
          <w:szCs w:val="32"/>
        </w:rPr>
        <w:t xml:space="preserve">                                           年  月  日</w:t>
      </w:r>
    </w:p>
    <w:sectPr>
      <w:footerReference r:id="rId5" w:type="default"/>
      <w:pgSz w:w="12240" w:h="15840"/>
      <w:pgMar w:top="1134" w:right="1587" w:bottom="1134" w:left="1587" w:header="720" w:footer="720" w:gutter="0"/>
      <w:cols w:space="72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290195"/>
              <wp:effectExtent l="0" t="0" r="0" b="0"/>
              <wp:wrapNone/>
              <wp:docPr id="24431537" name="Quad Arrow 1025"/>
              <wp:cNvGraphicFramePr/>
              <a:graphic xmlns:a="http://schemas.openxmlformats.org/drawingml/2006/main">
                <a:graphicData uri="http://schemas.microsoft.com/office/word/2010/wordprocessingShape">
                  <wps:wsp>
                    <wps:cNvSpPr>
                      <a:spLocks noChangeArrowheads="1"/>
                    </wps:cNvSpPr>
                    <wps:spPr bwMode="auto">
                      <a:xfrm>
                        <a:off x="0" y="0"/>
                        <a:ext cx="67945" cy="29019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Quad Arrow 1025" o:spid="_x0000_s1026" o:spt="1" style="position:absolute;left:0pt;margin-top:0pt;height:22.85pt;width:5.35pt;mso-position-horizontal:center;mso-position-horizontal-relative:margin;mso-wrap-style:none;z-index:251659264;mso-width-relative:page;mso-height-relative:page;" filled="f" stroked="f" coordsize="21600,21600" o:gfxdata="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C35Ou0gAAAAMBAAAPAAAAAAAAAAEAIAAAACIAAABkcnMvZG93bnJldi54&#10;bWxQSwECFAAUAAAACACHTuJAI5nXpAACAAACBAAADgAAAAAAAAABACAAAAAh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62FCE"/>
    <w:multiLevelType w:val="singleLevel"/>
    <w:tmpl w:val="C1562FCE"/>
    <w:lvl w:ilvl="0" w:tentative="0">
      <w:start w:val="1"/>
      <w:numFmt w:val="decimal"/>
      <w:suff w:val="nothing"/>
      <w:lvlText w:val="%1、"/>
      <w:lvlJc w:val="left"/>
    </w:lvl>
  </w:abstractNum>
  <w:abstractNum w:abstractNumId="1">
    <w:nsid w:val="53551602"/>
    <w:multiLevelType w:val="singleLevel"/>
    <w:tmpl w:val="5355160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NzZiNjE1N2NiNDY1MjdjNTllOWUxMWU4Y2ZiZGQifQ=="/>
  </w:docVars>
  <w:rsids>
    <w:rsidRoot w:val="009157E2"/>
    <w:rsid w:val="001B36F7"/>
    <w:rsid w:val="00214EDB"/>
    <w:rsid w:val="006775D6"/>
    <w:rsid w:val="0079264C"/>
    <w:rsid w:val="009157E2"/>
    <w:rsid w:val="009A67C7"/>
    <w:rsid w:val="009F12D6"/>
    <w:rsid w:val="00C81FAE"/>
    <w:rsid w:val="00F81401"/>
    <w:rsid w:val="0D6671EC"/>
    <w:rsid w:val="1EEE618E"/>
    <w:rsid w:val="2011123A"/>
    <w:rsid w:val="288F7A16"/>
    <w:rsid w:val="35DC260F"/>
    <w:rsid w:val="3CF33D49"/>
    <w:rsid w:val="48311BC9"/>
    <w:rsid w:val="5281374D"/>
    <w:rsid w:val="68F2667E"/>
    <w:rsid w:val="7E38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next w:val="5"/>
    <w:unhideWhenUsed/>
    <w:qFormat/>
    <w:uiPriority w:val="99"/>
    <w:rPr>
      <w:rFonts w:ascii="仿宋_GB2312" w:eastAsia="仿宋_GB2312"/>
      <w:sz w:val="32"/>
    </w:rPr>
  </w:style>
  <w:style w:type="paragraph" w:customStyle="1" w:styleId="5">
    <w:name w:val="引用1"/>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tabs>
        <w:tab w:val="center" w:pos="4153"/>
        <w:tab w:val="right" w:pos="8306"/>
      </w:tabs>
      <w:snapToGrid w:val="0"/>
      <w:spacing w:line="240" w:lineRule="auto"/>
      <w:jc w:val="center"/>
    </w:pPr>
    <w:rPr>
      <w:sz w:val="18"/>
      <w:szCs w:val="18"/>
    </w:rPr>
  </w:style>
  <w:style w:type="paragraph" w:styleId="8">
    <w:name w:val="Normal (Web)"/>
    <w:basedOn w:val="1"/>
    <w:qFormat/>
    <w:uiPriority w:val="0"/>
    <w:pPr>
      <w:spacing w:line="336" w:lineRule="auto"/>
      <w:jc w:val="left"/>
    </w:pPr>
    <w:rPr>
      <w:rFonts w:ascii="宋体" w:hAnsi="宋体"/>
      <w:kern w:val="0"/>
      <w:sz w:val="24"/>
    </w:rPr>
  </w:style>
  <w:style w:type="character" w:styleId="11">
    <w:name w:val="Strong"/>
    <w:qFormat/>
    <w:uiPriority w:val="0"/>
    <w:rPr>
      <w:b/>
    </w:rPr>
  </w:style>
  <w:style w:type="paragraph" w:customStyle="1" w:styleId="1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3">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4">
    <w:name w:val="列表段落1"/>
    <w:basedOn w:val="1"/>
    <w:qFormat/>
    <w:uiPriority w:val="34"/>
    <w:pPr>
      <w:ind w:firstLine="420" w:firstLineChars="200"/>
    </w:p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页眉 字符"/>
    <w:basedOn w:val="10"/>
    <w:link w:val="7"/>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1612</Words>
  <Characters>1845</Characters>
  <Lines>24</Lines>
  <Paragraphs>6</Paragraphs>
  <TotalTime>5</TotalTime>
  <ScaleCrop>false</ScaleCrop>
  <LinksUpToDate>false</LinksUpToDate>
  <CharactersWithSpaces>1977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2025-05-30T06:24:00Z</dcterms:created>
  <dc:creator>Admin</dc:creator>
  <cp:lastModifiedBy>蓝风</cp:lastModifiedBy>
  <cp:lastPrinted>2023-06-20T07:45:00Z</cp:lastPrinted>
  <dcterms:modified xsi:type="dcterms:W3CDTF">2025-07-24T09:53:39Z</dcterms:modified>
  <dc:title>设备科：</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CD1CBFDCF0B34D54A1323A555A4AB815_12</vt:lpwstr>
  </property>
  <property fmtid="{D5CDD505-2E9C-101B-9397-08002B2CF9AE}" pid="4" name="KSOTemplateDocerSaveRecord">
    <vt:lpwstr>eyJoZGlkIjoiMzcyYzQ4MzExOWIxM2ZmZWE3MDIzNjczNzVlZjFmOWYiLCJ1c2VySWQiOiIxNzAwODQwNTc2In0=</vt:lpwstr>
  </property>
</Properties>
</file>