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5EF3C">
      <w:pPr>
        <w:adjustRightInd/>
        <w:snapToGrid/>
        <w:spacing w:after="0" w:line="480" w:lineRule="atLeast"/>
        <w:jc w:val="center"/>
        <w:rPr>
          <w:rFonts w:hint="eastAsia" w:asciiTheme="majorEastAsia" w:hAnsiTheme="majorEastAsia" w:eastAsiaTheme="majorEastAsia" w:cstheme="majorEastAsia"/>
          <w:b/>
          <w:bCs/>
          <w:color w:val="404040"/>
          <w:sz w:val="32"/>
          <w:szCs w:val="32"/>
          <w:highlight w:val="none"/>
        </w:rPr>
      </w:pPr>
      <w:r>
        <w:rPr>
          <w:rFonts w:hint="eastAsia" w:asciiTheme="majorEastAsia" w:hAnsiTheme="majorEastAsia" w:eastAsiaTheme="majorEastAsia" w:cstheme="majorEastAsia"/>
          <w:b/>
          <w:bCs/>
          <w:color w:val="404040"/>
          <w:sz w:val="32"/>
          <w:szCs w:val="32"/>
          <w:highlight w:val="none"/>
        </w:rPr>
        <w:t>福建省肿瘤医院门诊新增CT机房设备专用电缆安装工程</w:t>
      </w:r>
    </w:p>
    <w:p w14:paraId="0E0ABE7F">
      <w:pPr>
        <w:adjustRightInd/>
        <w:snapToGrid/>
        <w:spacing w:after="0" w:line="480" w:lineRule="atLeast"/>
        <w:jc w:val="center"/>
        <w:rPr>
          <w:rFonts w:hint="eastAsia" w:asciiTheme="majorEastAsia" w:hAnsiTheme="majorEastAsia" w:eastAsiaTheme="majorEastAsia" w:cstheme="majorEastAsia"/>
          <w:b/>
          <w:bCs/>
          <w:color w:val="404040"/>
          <w:sz w:val="24"/>
          <w:szCs w:val="24"/>
          <w:highlight w:val="none"/>
        </w:rPr>
      </w:pPr>
      <w:r>
        <w:rPr>
          <w:rFonts w:hint="eastAsia" w:asciiTheme="majorEastAsia" w:hAnsiTheme="majorEastAsia" w:eastAsiaTheme="majorEastAsia" w:cstheme="majorEastAsia"/>
          <w:b/>
          <w:bCs/>
          <w:color w:val="404040"/>
          <w:sz w:val="32"/>
          <w:szCs w:val="32"/>
          <w:highlight w:val="none"/>
        </w:rPr>
        <w:t>项目招标采购公告</w:t>
      </w:r>
    </w:p>
    <w:p w14:paraId="6BEA504C">
      <w:pPr>
        <w:adjustRightInd/>
        <w:snapToGrid/>
        <w:spacing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 xml:space="preserve">                  </w:t>
      </w:r>
    </w:p>
    <w:p w14:paraId="14FAD3AE">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一、招标项目概况和范围</w:t>
      </w:r>
    </w:p>
    <w:p w14:paraId="003F0EAF">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lang w:eastAsia="zh-CN"/>
        </w:rPr>
      </w:pPr>
      <w:r>
        <w:rPr>
          <w:rFonts w:hint="eastAsia" w:asciiTheme="majorEastAsia" w:hAnsiTheme="majorEastAsia" w:eastAsiaTheme="majorEastAsia" w:cstheme="majorEastAsia"/>
          <w:color w:val="404040"/>
          <w:sz w:val="24"/>
          <w:szCs w:val="24"/>
          <w:highlight w:val="none"/>
        </w:rPr>
        <w:t>1、项目名称：福建省肿瘤医院门诊新增CT机房设备专用电缆安装工程</w:t>
      </w:r>
      <w:r>
        <w:rPr>
          <w:rFonts w:hint="eastAsia" w:asciiTheme="majorEastAsia" w:hAnsiTheme="majorEastAsia" w:eastAsiaTheme="majorEastAsia" w:cstheme="majorEastAsia"/>
          <w:color w:val="404040"/>
          <w:sz w:val="24"/>
          <w:szCs w:val="24"/>
          <w:highlight w:val="none"/>
          <w:lang w:eastAsia="zh-CN"/>
        </w:rPr>
        <w:t>。</w:t>
      </w:r>
    </w:p>
    <w:p w14:paraId="17B1F298">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2、工程地点：福马路420号。</w:t>
      </w:r>
    </w:p>
    <w:p w14:paraId="30ACA83C">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3、招标范围和内容：本项目招标工程量清单内全部内容。</w:t>
      </w:r>
    </w:p>
    <w:p w14:paraId="7A38DF29">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4、承包方式：包工包料。</w:t>
      </w:r>
    </w:p>
    <w:p w14:paraId="76028A4D">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5、工期要求：合同签订后，接甲方通知后，30日内完工，要求不影响医院的正常工作。</w:t>
      </w:r>
    </w:p>
    <w:p w14:paraId="2DCFE72B">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6、工程质量要求：符合《工程施工质量验收规范》合格标准。</w:t>
      </w:r>
    </w:p>
    <w:p w14:paraId="5AB83E70">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7、控制价：</w:t>
      </w:r>
      <w:r>
        <w:rPr>
          <w:rFonts w:hint="eastAsia" w:asciiTheme="majorEastAsia" w:hAnsiTheme="majorEastAsia" w:eastAsiaTheme="majorEastAsia" w:cstheme="majorEastAsia"/>
          <w:b/>
          <w:bCs/>
          <w:color w:val="404040"/>
          <w:sz w:val="24"/>
          <w:szCs w:val="24"/>
          <w:highlight w:val="none"/>
          <w:lang w:val="en-US" w:eastAsia="zh-CN"/>
        </w:rPr>
        <w:t>189487</w:t>
      </w:r>
      <w:r>
        <w:rPr>
          <w:rFonts w:hint="eastAsia" w:asciiTheme="majorEastAsia" w:hAnsiTheme="majorEastAsia" w:eastAsiaTheme="majorEastAsia" w:cstheme="majorEastAsia"/>
          <w:b/>
          <w:bCs/>
          <w:color w:val="404040"/>
          <w:sz w:val="24"/>
          <w:szCs w:val="24"/>
          <w:highlight w:val="none"/>
        </w:rPr>
        <w:t>元</w:t>
      </w:r>
      <w:r>
        <w:rPr>
          <w:rFonts w:hint="eastAsia" w:asciiTheme="majorEastAsia" w:hAnsiTheme="majorEastAsia" w:eastAsiaTheme="majorEastAsia" w:cstheme="majorEastAsia"/>
          <w:color w:val="404040"/>
          <w:sz w:val="24"/>
          <w:szCs w:val="24"/>
          <w:highlight w:val="none"/>
        </w:rPr>
        <w:t>。</w:t>
      </w:r>
    </w:p>
    <w:p w14:paraId="5FE0F68B">
      <w:pPr>
        <w:adjustRightInd/>
        <w:snapToGrid/>
        <w:spacing w:after="0" w:line="480" w:lineRule="atLeast"/>
        <w:ind w:firstLine="360" w:firstLineChars="15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8、质保期：</w:t>
      </w:r>
      <w:r>
        <w:rPr>
          <w:rFonts w:hint="eastAsia" w:asciiTheme="majorEastAsia" w:hAnsiTheme="majorEastAsia" w:eastAsiaTheme="majorEastAsia" w:cstheme="majorEastAsia"/>
          <w:color w:val="404040"/>
          <w:sz w:val="24"/>
          <w:szCs w:val="24"/>
          <w:highlight w:val="none"/>
          <w:lang w:val="en-US" w:eastAsia="zh-CN"/>
        </w:rPr>
        <w:t>叁</w:t>
      </w:r>
      <w:r>
        <w:rPr>
          <w:rFonts w:hint="eastAsia" w:asciiTheme="majorEastAsia" w:hAnsiTheme="majorEastAsia" w:eastAsiaTheme="majorEastAsia" w:cstheme="majorEastAsia"/>
          <w:color w:val="404040"/>
          <w:sz w:val="24"/>
          <w:szCs w:val="24"/>
          <w:highlight w:val="none"/>
        </w:rPr>
        <w:t>年，自工程竣工验收合格之日算起。</w:t>
      </w:r>
    </w:p>
    <w:p w14:paraId="54F137B4">
      <w:pPr>
        <w:adjustRightInd/>
        <w:snapToGrid/>
        <w:spacing w:before="150" w:after="0" w:line="480" w:lineRule="atLeast"/>
        <w:jc w:val="both"/>
        <w:rPr>
          <w:rFonts w:hint="eastAsia" w:asciiTheme="majorEastAsia" w:hAnsiTheme="majorEastAsia" w:eastAsiaTheme="majorEastAsia" w:cstheme="majorEastAsia"/>
          <w:b/>
          <w:bCs/>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二、投标人资格要求及审查办法</w:t>
      </w:r>
    </w:p>
    <w:p w14:paraId="0EDE4975">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满足《中华人民共和国政府采购法》第二十二条规定。</w:t>
      </w:r>
    </w:p>
    <w:p w14:paraId="2DD5168A">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落实政府采购政策需满足的资格要求。</w:t>
      </w:r>
    </w:p>
    <w:p w14:paraId="773F03F1">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①供应商须具备建设行政主管部门核发有效的机电工程施工总承包三级及以上资质并提供有效的资质证书复印件。②供应商须具备建设行政主管部门核发的有效的《施工企业安全生产许可证》，并提供有效的证书复印件。③供应商须具有电力监管机构颁发的《中华人民共和国承装（修、试）电力设施许可证》（具备承装、承修、承试五级及以上资质），并提供有效的证书复印件。</w:t>
      </w:r>
    </w:p>
    <w:p w14:paraId="71A042DE">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委托代表人资格证明书（附法人及委托人身份证）。</w:t>
      </w:r>
    </w:p>
    <w:p w14:paraId="591163DF">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14:paraId="10FE558D">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参加本次活动前三年内，在经营活动中没有重大违法违规记录的承诺。</w:t>
      </w:r>
    </w:p>
    <w:p w14:paraId="7385D09F">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资格审查采用方式：资格后审。</w:t>
      </w:r>
    </w:p>
    <w:p w14:paraId="7B725DD2">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本招标项目不接受联合体投标，不接受备选投标方案，不允许分包。</w:t>
      </w:r>
    </w:p>
    <w:p w14:paraId="59EB5AB3">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投标人应通过“信用中国（</w:t>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"http://www.creditchina.gov.cn/" </w:instrText>
      </w:r>
      <w:r>
        <w:rPr>
          <w:rFonts w:hint="eastAsia" w:asciiTheme="majorEastAsia" w:hAnsiTheme="majorEastAsia" w:eastAsiaTheme="majorEastAsia" w:cstheme="majorEastAsia"/>
          <w:sz w:val="24"/>
          <w:szCs w:val="24"/>
          <w:highlight w:val="none"/>
        </w:rPr>
        <w:fldChar w:fldCharType="separate"/>
      </w:r>
      <w:r>
        <w:rPr>
          <w:rStyle w:val="12"/>
          <w:rFonts w:hint="eastAsia" w:asciiTheme="majorEastAsia" w:hAnsiTheme="majorEastAsia" w:eastAsiaTheme="majorEastAsia" w:cstheme="majorEastAsia"/>
          <w:sz w:val="24"/>
          <w:szCs w:val="24"/>
          <w:highlight w:val="none"/>
        </w:rPr>
        <w:t>www.creditchina.gov.cn</w:t>
      </w:r>
      <w:r>
        <w:rPr>
          <w:rStyle w:val="12"/>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color w:val="404040"/>
          <w:sz w:val="24"/>
          <w:szCs w:val="24"/>
          <w:highlight w:val="none"/>
        </w:rPr>
        <w:t>)”、“中国政府采购网(</w:t>
      </w:r>
      <w:r>
        <w:rPr>
          <w:rFonts w:hint="eastAsia" w:asciiTheme="majorEastAsia" w:hAnsiTheme="majorEastAsia" w:eastAsiaTheme="majorEastAsia" w:cstheme="majorEastAsia"/>
          <w:sz w:val="24"/>
          <w:szCs w:val="24"/>
          <w:highlight w:val="none"/>
        </w:rPr>
        <w:fldChar w:fldCharType="begin"/>
      </w:r>
      <w:r>
        <w:rPr>
          <w:rFonts w:hint="eastAsia" w:asciiTheme="majorEastAsia" w:hAnsiTheme="majorEastAsia" w:eastAsiaTheme="majorEastAsia" w:cstheme="majorEastAsia"/>
          <w:sz w:val="24"/>
          <w:szCs w:val="24"/>
          <w:highlight w:val="none"/>
        </w:rPr>
        <w:instrText xml:space="preserve"> HYPERLINK "http://www.ccgp.gov.cn" </w:instrText>
      </w:r>
      <w:r>
        <w:rPr>
          <w:rFonts w:hint="eastAsia" w:asciiTheme="majorEastAsia" w:hAnsiTheme="majorEastAsia" w:eastAsiaTheme="majorEastAsia" w:cstheme="majorEastAsia"/>
          <w:sz w:val="24"/>
          <w:szCs w:val="24"/>
          <w:highlight w:val="none"/>
        </w:rPr>
        <w:fldChar w:fldCharType="separate"/>
      </w:r>
      <w:r>
        <w:rPr>
          <w:rStyle w:val="12"/>
          <w:rFonts w:hint="eastAsia" w:asciiTheme="majorEastAsia" w:hAnsiTheme="majorEastAsia" w:eastAsiaTheme="majorEastAsia" w:cstheme="majorEastAsia"/>
          <w:sz w:val="24"/>
          <w:szCs w:val="24"/>
          <w:highlight w:val="none"/>
        </w:rPr>
        <w:t>www.ccgp.gov.cn</w:t>
      </w:r>
      <w:r>
        <w:rPr>
          <w:rStyle w:val="12"/>
          <w:rFonts w:hint="eastAsia" w:asciiTheme="majorEastAsia" w:hAnsiTheme="majorEastAsia" w:eastAsiaTheme="majorEastAsia" w:cstheme="majorEastAsia"/>
          <w:sz w:val="24"/>
          <w:szCs w:val="24"/>
          <w:highlight w:val="none"/>
        </w:rPr>
        <w:fldChar w:fldCharType="end"/>
      </w:r>
      <w:r>
        <w:rPr>
          <w:rFonts w:hint="eastAsia" w:asciiTheme="majorEastAsia" w:hAnsiTheme="majorEastAsia" w:eastAsiaTheme="majorEastAsia" w:cstheme="majorEastAsia"/>
          <w:color w:val="404040"/>
          <w:sz w:val="24"/>
          <w:szCs w:val="24"/>
          <w:highlight w:val="none"/>
        </w:rPr>
        <w:t>)”查询并打印相应的信用记录。</w:t>
      </w:r>
    </w:p>
    <w:p w14:paraId="2E0A7C80">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2B3F8AFF">
      <w:pPr>
        <w:numPr>
          <w:ilvl w:val="0"/>
          <w:numId w:val="1"/>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现场勘察：本次招标，采购人不统一组织勘察现场。各潜在投标人若需要查勘现场，应事先与采购人联系现场勘察事宜。</w:t>
      </w:r>
    </w:p>
    <w:p w14:paraId="4571D550">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上述提供材料均须加盖公章。</w:t>
      </w:r>
    </w:p>
    <w:p w14:paraId="3A99DF4A">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三、招标文件的获取</w:t>
      </w:r>
    </w:p>
    <w:p w14:paraId="01EF3739">
      <w:pPr>
        <w:numPr>
          <w:ilvl w:val="0"/>
          <w:numId w:val="2"/>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本招标项目不采用电子招投标。</w:t>
      </w:r>
    </w:p>
    <w:p w14:paraId="11749E24">
      <w:pPr>
        <w:numPr>
          <w:ilvl w:val="0"/>
          <w:numId w:val="2"/>
        </w:num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凡有意参加投标者，均可在福建省肿瘤医院官网（https://www.fjzl.com.cn）下载与本项目相关的招标信息（包括招标文件、招标文件补充说明等），</w:t>
      </w:r>
      <w:r>
        <w:rPr>
          <w:rFonts w:hint="eastAsia" w:asciiTheme="majorEastAsia" w:hAnsiTheme="majorEastAsia" w:eastAsiaTheme="majorEastAsia" w:cstheme="majorEastAsia"/>
          <w:color w:val="auto"/>
          <w:sz w:val="24"/>
          <w:szCs w:val="24"/>
          <w:highlight w:val="none"/>
        </w:rPr>
        <w:t>并于</w:t>
      </w: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13</w:t>
      </w:r>
      <w:r>
        <w:rPr>
          <w:rFonts w:hint="eastAsia" w:asciiTheme="majorEastAsia" w:hAnsiTheme="majorEastAsia" w:eastAsiaTheme="majorEastAsia" w:cstheme="majorEastAsia"/>
          <w:color w:val="auto"/>
          <w:sz w:val="24"/>
          <w:szCs w:val="24"/>
          <w:highlight w:val="none"/>
        </w:rPr>
        <w:t>日至20</w:t>
      </w:r>
      <w:r>
        <w:rPr>
          <w:rFonts w:hint="eastAsia" w:asciiTheme="majorEastAsia" w:hAnsiTheme="majorEastAsia" w:eastAsiaTheme="majorEastAsia" w:cstheme="majorEastAsia"/>
          <w:color w:val="auto"/>
          <w:sz w:val="24"/>
          <w:szCs w:val="24"/>
          <w:highlight w:val="none"/>
          <w:lang w:val="en-US" w:eastAsia="zh-CN"/>
        </w:rPr>
        <w:t>25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日(节假日除外)8：00-12：00或14：</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0-17：</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0，携带加盖公章的营业执</w:t>
      </w:r>
      <w:r>
        <w:rPr>
          <w:rFonts w:hint="eastAsia" w:asciiTheme="majorEastAsia" w:hAnsiTheme="majorEastAsia" w:eastAsiaTheme="majorEastAsia" w:cstheme="majorEastAsia"/>
          <w:color w:val="404040"/>
          <w:sz w:val="24"/>
          <w:szCs w:val="24"/>
          <w:highlight w:val="none"/>
        </w:rPr>
        <w:t>照复印件、介绍信前往福建省肿瘤医院总务科报名。</w:t>
      </w:r>
    </w:p>
    <w:p w14:paraId="78C6B1FA">
      <w:pPr>
        <w:adjustRightInd/>
        <w:snapToGrid/>
        <w:spacing w:before="150" w:after="0" w:line="480" w:lineRule="atLeast"/>
        <w:ind w:firstLine="480" w:firstLineChars="20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项目联系人：陈女士     联系电话：0591-62752801</w:t>
      </w:r>
    </w:p>
    <w:p w14:paraId="59EEF85D">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四、答疑截止时间</w:t>
      </w:r>
    </w:p>
    <w:p w14:paraId="1E4AE054">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投标人若要求澄清招标文件，应在获取招标文件截止时间后的2个工作日内提出，招标人将随时解答。</w:t>
      </w:r>
    </w:p>
    <w:p w14:paraId="6B24DB27">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五、投标文件的要求及递交</w:t>
      </w:r>
    </w:p>
    <w:p w14:paraId="63AE10E8">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1、投标文件正本</w:t>
      </w:r>
      <w:r>
        <w:rPr>
          <w:rFonts w:hint="eastAsia" w:asciiTheme="majorEastAsia" w:hAnsiTheme="majorEastAsia" w:eastAsiaTheme="majorEastAsia" w:cstheme="majorEastAsia"/>
          <w:bCs/>
          <w:color w:val="404040"/>
          <w:sz w:val="24"/>
          <w:szCs w:val="24"/>
          <w:highlight w:val="none"/>
          <w:u w:val="single"/>
        </w:rPr>
        <w:t>壹</w:t>
      </w:r>
      <w:r>
        <w:rPr>
          <w:rFonts w:hint="eastAsia" w:asciiTheme="majorEastAsia" w:hAnsiTheme="majorEastAsia" w:eastAsiaTheme="majorEastAsia" w:cstheme="majorEastAsia"/>
          <w:color w:val="404040"/>
          <w:sz w:val="24"/>
          <w:szCs w:val="24"/>
          <w:highlight w:val="none"/>
        </w:rPr>
        <w:t>份,副本</w:t>
      </w:r>
      <w:r>
        <w:rPr>
          <w:rFonts w:hint="eastAsia" w:asciiTheme="majorEastAsia" w:hAnsiTheme="majorEastAsia" w:eastAsiaTheme="majorEastAsia" w:cstheme="majorEastAsia"/>
          <w:bCs/>
          <w:color w:val="404040"/>
          <w:sz w:val="24"/>
          <w:szCs w:val="24"/>
          <w:highlight w:val="none"/>
          <w:u w:val="single"/>
        </w:rPr>
        <w:t>壹</w:t>
      </w:r>
      <w:r>
        <w:rPr>
          <w:rFonts w:hint="eastAsia" w:asciiTheme="majorEastAsia" w:hAnsiTheme="majorEastAsia" w:eastAsiaTheme="majorEastAsia" w:cstheme="majorEastAsia"/>
          <w:color w:val="404040"/>
          <w:sz w:val="24"/>
          <w:szCs w:val="24"/>
          <w:highlight w:val="none"/>
        </w:rPr>
        <w:t>份胶装并密封加盖投标人公章。投标文件未胶装密封将导致其投标文件被拒绝。</w:t>
      </w:r>
    </w:p>
    <w:p w14:paraId="52A7DB47">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2、投标文件递交的截止时间：</w:t>
      </w: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0，提</w:t>
      </w:r>
      <w:r>
        <w:rPr>
          <w:rFonts w:hint="eastAsia" w:asciiTheme="majorEastAsia" w:hAnsiTheme="majorEastAsia" w:eastAsiaTheme="majorEastAsia" w:cstheme="majorEastAsia"/>
          <w:color w:val="404040"/>
          <w:sz w:val="24"/>
          <w:szCs w:val="24"/>
          <w:highlight w:val="none"/>
        </w:rPr>
        <w:t>交地点为福建省肿瘤医院总务科，未送达指定地点或逾期送达者拒收。</w:t>
      </w:r>
    </w:p>
    <w:p w14:paraId="6D31A06A">
      <w:pPr>
        <w:adjustRightInd/>
        <w:snapToGrid/>
        <w:spacing w:before="150" w:after="0" w:line="480" w:lineRule="atLeast"/>
        <w:jc w:val="both"/>
        <w:rPr>
          <w:rFonts w:hint="eastAsia" w:asciiTheme="majorEastAsia" w:hAnsiTheme="majorEastAsia" w:eastAsiaTheme="majorEastAsia" w:cstheme="majorEastAsia"/>
          <w:b/>
          <w:bCs/>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六、开标评标时间地点</w:t>
      </w:r>
    </w:p>
    <w:p w14:paraId="7BC99DAD">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1、开标</w:t>
      </w:r>
      <w:r>
        <w:rPr>
          <w:rFonts w:hint="eastAsia" w:asciiTheme="majorEastAsia" w:hAnsiTheme="majorEastAsia" w:eastAsiaTheme="majorEastAsia" w:cstheme="majorEastAsia"/>
          <w:color w:val="auto"/>
          <w:sz w:val="24"/>
          <w:szCs w:val="24"/>
          <w:highlight w:val="none"/>
        </w:rPr>
        <w:t>时间：202</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0时</w:t>
      </w:r>
    </w:p>
    <w:p w14:paraId="7AB6EADC">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2、评标时间：开标后即开始评标。</w:t>
      </w:r>
    </w:p>
    <w:p w14:paraId="23F16D09">
      <w:pPr>
        <w:adjustRightInd/>
        <w:snapToGrid/>
        <w:spacing w:before="150" w:after="0" w:line="480" w:lineRule="atLeast"/>
        <w:ind w:firstLine="480" w:firstLineChars="20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3、地点：福建省肿瘤医院科研楼</w:t>
      </w:r>
      <w:r>
        <w:rPr>
          <w:rFonts w:hint="eastAsia" w:asciiTheme="majorEastAsia" w:hAnsiTheme="majorEastAsia" w:eastAsiaTheme="majorEastAsia" w:cstheme="majorEastAsia"/>
          <w:color w:val="404040"/>
          <w:sz w:val="24"/>
          <w:szCs w:val="24"/>
          <w:highlight w:val="none"/>
          <w:lang w:eastAsia="zh-CN"/>
        </w:rPr>
        <w:t>总务科</w:t>
      </w:r>
      <w:r>
        <w:rPr>
          <w:rFonts w:hint="eastAsia" w:asciiTheme="majorEastAsia" w:hAnsiTheme="majorEastAsia" w:eastAsiaTheme="majorEastAsia" w:cstheme="majorEastAsia"/>
          <w:color w:val="404040"/>
          <w:sz w:val="24"/>
          <w:szCs w:val="24"/>
          <w:highlight w:val="none"/>
        </w:rPr>
        <w:t>会议室</w:t>
      </w:r>
    </w:p>
    <w:p w14:paraId="17FCA66D">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备注：</w:t>
      </w:r>
    </w:p>
    <w:p w14:paraId="2FE52C41">
      <w:pPr>
        <w:spacing w:before="150" w:line="560" w:lineRule="exact"/>
        <w:ind w:firstLine="480" w:firstLineChars="20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1.未参加报名的潜在投标人，其投标文件将被拒绝。</w:t>
      </w:r>
    </w:p>
    <w:p w14:paraId="589B0E72">
      <w:pPr>
        <w:spacing w:before="150" w:line="560" w:lineRule="exact"/>
        <w:ind w:firstLine="480" w:firstLineChars="200"/>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2.若有涉及招标文件内容更正，请各潜在投标人密切关注福建省肿瘤医院官网通知，以最新公告为准。</w:t>
      </w:r>
    </w:p>
    <w:p w14:paraId="29C23E76">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八、评标原则及办法</w:t>
      </w:r>
    </w:p>
    <w:p w14:paraId="08CB258F">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1、评标活动遵循公平、公正、科学和择优的原则。</w:t>
      </w:r>
    </w:p>
    <w:p w14:paraId="6F6AF68C">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2、评标方法：综合评分。</w:t>
      </w:r>
    </w:p>
    <w:p w14:paraId="550C6F10">
      <w:pPr>
        <w:adjustRightInd/>
        <w:snapToGrid/>
        <w:spacing w:before="150" w:after="0" w:line="480" w:lineRule="atLeast"/>
        <w:ind w:firstLine="480" w:firstLineChars="20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3、投标人之间有相互串通投标、弄虚作假等违规行为者，将作废标处理，并在我院未来的项目招标中被拒绝接受投标。</w:t>
      </w:r>
    </w:p>
    <w:p w14:paraId="336A8E72">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九、合同条款内容及签订</w:t>
      </w:r>
    </w:p>
    <w:p w14:paraId="375F3473">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1、合同专用条款内容依照国家规范文本，合同通用条款内容解释依照国家规范文本。</w:t>
      </w:r>
    </w:p>
    <w:p w14:paraId="1EAD01C7">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2、合同签订：中标人在接到中标通知后3天内，应派代表与招标人联系，商讨签订合同事宜。</w:t>
      </w:r>
    </w:p>
    <w:p w14:paraId="6A43A989">
      <w:pPr>
        <w:adjustRightInd/>
        <w:snapToGrid/>
        <w:spacing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3、合同价格形式：本项目采用固定单价合同，工程量按实结算。</w:t>
      </w:r>
    </w:p>
    <w:p w14:paraId="4479F0E8">
      <w:pPr>
        <w:adjustRightInd/>
        <w:snapToGrid/>
        <w:spacing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十、付款方式与条件</w:t>
      </w:r>
    </w:p>
    <w:p w14:paraId="75C1C52D">
      <w:pPr>
        <w:adjustRightInd/>
        <w:snapToGrid/>
        <w:spacing w:after="0" w:line="480" w:lineRule="atLeast"/>
        <w:ind w:firstLine="480"/>
        <w:jc w:val="both"/>
        <w:rPr>
          <w:rFonts w:hint="eastAsia" w:asciiTheme="majorEastAsia" w:hAnsiTheme="majorEastAsia" w:eastAsiaTheme="majorEastAsia" w:cstheme="majorEastAsia"/>
          <w:b/>
          <w:color w:val="404040"/>
          <w:sz w:val="24"/>
          <w:szCs w:val="24"/>
          <w:highlight w:val="none"/>
        </w:rPr>
      </w:pPr>
      <w:r>
        <w:rPr>
          <w:rFonts w:hint="eastAsia" w:asciiTheme="majorEastAsia" w:hAnsiTheme="majorEastAsia" w:eastAsiaTheme="majorEastAsia" w:cstheme="majorEastAsia"/>
          <w:b/>
          <w:color w:val="404040"/>
          <w:sz w:val="24"/>
          <w:szCs w:val="24"/>
          <w:highlight w:val="none"/>
        </w:rPr>
        <w:t>工程竣工，并经甲方验收合格后，乙方申报竣工结算，经甲方审计部门审核后，支付至审定价款的100%。</w:t>
      </w:r>
    </w:p>
    <w:p w14:paraId="65081918">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十一、其他未详尽事宜</w:t>
      </w:r>
    </w:p>
    <w:p w14:paraId="22BA7194">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依照国家工程项目招投标和政府采购有关规定。</w:t>
      </w:r>
    </w:p>
    <w:p w14:paraId="668DDA93">
      <w:pPr>
        <w:adjustRightInd/>
        <w:snapToGrid/>
        <w:spacing w:before="150" w:after="0" w:line="480" w:lineRule="atLeast"/>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十二、工程量清单</w:t>
      </w:r>
    </w:p>
    <w:p w14:paraId="4733C83F">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1.工程量清单每一个子目只允许有一个报价，没有填入单价或价格的， 其费用视为已分摊在工程量清单中的其他相关子目单价或价格中。</w:t>
      </w:r>
    </w:p>
    <w:p w14:paraId="02F0A5A3">
      <w:pPr>
        <w:adjustRightInd/>
        <w:snapToGrid/>
        <w:spacing w:before="150" w:after="0" w:line="480" w:lineRule="atLeast"/>
        <w:jc w:val="both"/>
        <w:rPr>
          <w:rFonts w:hint="eastAsia" w:asciiTheme="majorEastAsia" w:hAnsiTheme="majorEastAsia" w:eastAsiaTheme="majorEastAsia" w:cstheme="majorEastAsia"/>
          <w:b/>
          <w:bCs/>
          <w:color w:val="404040"/>
          <w:sz w:val="24"/>
          <w:szCs w:val="24"/>
          <w:highlight w:val="none"/>
        </w:rPr>
      </w:pPr>
      <w:r>
        <w:rPr>
          <w:rFonts w:hint="eastAsia" w:asciiTheme="majorEastAsia" w:hAnsiTheme="majorEastAsia" w:eastAsiaTheme="majorEastAsia" w:cstheme="majorEastAsia"/>
          <w:b/>
          <w:bCs/>
          <w:color w:val="404040"/>
          <w:sz w:val="24"/>
          <w:szCs w:val="24"/>
          <w:highlight w:val="none"/>
        </w:rPr>
        <w:t>十三、监督电话</w:t>
      </w:r>
    </w:p>
    <w:p w14:paraId="631E1224">
      <w:pPr>
        <w:adjustRightInd/>
        <w:snapToGrid/>
        <w:spacing w:before="150" w:after="0" w:line="480" w:lineRule="atLeast"/>
        <w:ind w:firstLine="480"/>
        <w:jc w:val="both"/>
        <w:rPr>
          <w:rFonts w:hint="eastAsia" w:asciiTheme="majorEastAsia" w:hAnsiTheme="majorEastAsia" w:eastAsiaTheme="majorEastAsia" w:cstheme="majorEastAsia"/>
          <w:color w:val="404040"/>
          <w:sz w:val="24"/>
          <w:szCs w:val="24"/>
          <w:highlight w:val="none"/>
        </w:rPr>
      </w:pPr>
      <w:r>
        <w:rPr>
          <w:rFonts w:hint="eastAsia" w:asciiTheme="majorEastAsia" w:hAnsiTheme="majorEastAsia" w:eastAsiaTheme="majorEastAsia" w:cstheme="majorEastAsia"/>
          <w:color w:val="404040"/>
          <w:sz w:val="24"/>
          <w:szCs w:val="24"/>
          <w:highlight w:val="none"/>
        </w:rPr>
        <w:t>在采购报名、采购调研等采购过程中有任何异议，可联系我院监督科室。电话：83660063-8407；83660063-8467。</w:t>
      </w:r>
    </w:p>
    <w:p w14:paraId="426AB825">
      <w:pPr>
        <w:pStyle w:val="6"/>
        <w:rPr>
          <w:rFonts w:hint="eastAsia" w:asciiTheme="majorEastAsia" w:hAnsiTheme="majorEastAsia" w:eastAsiaTheme="majorEastAsia" w:cstheme="majorEastAsia"/>
          <w:b/>
          <w:sz w:val="24"/>
          <w:szCs w:val="24"/>
          <w:highlight w:val="none"/>
        </w:rPr>
      </w:pPr>
    </w:p>
    <w:p w14:paraId="059FC5D5">
      <w:pP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br w:type="page"/>
      </w:r>
    </w:p>
    <w:p w14:paraId="17C581B7">
      <w:pPr>
        <w:pStyle w:val="13"/>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 xml:space="preserve">附件： </w:t>
      </w:r>
    </w:p>
    <w:p w14:paraId="5F10CD73">
      <w:pPr>
        <w:pStyle w:val="13"/>
        <w:rPr>
          <w:rFonts w:hint="eastAsia" w:asciiTheme="majorEastAsia" w:hAnsiTheme="majorEastAsia" w:eastAsiaTheme="majorEastAsia" w:cstheme="majorEastAsia"/>
          <w:color w:val="FF0000"/>
          <w:sz w:val="24"/>
          <w:szCs w:val="24"/>
          <w:highlight w:val="none"/>
        </w:rPr>
      </w:pPr>
      <w:r>
        <w:rPr>
          <w:rFonts w:hint="eastAsia" w:asciiTheme="majorEastAsia" w:hAnsiTheme="majorEastAsia" w:eastAsiaTheme="majorEastAsia" w:cstheme="majorEastAsia"/>
          <w:b/>
          <w:sz w:val="24"/>
          <w:szCs w:val="24"/>
          <w:highlight w:val="none"/>
        </w:rPr>
        <w:t>技术服务要求：</w:t>
      </w:r>
    </w:p>
    <w:p w14:paraId="5AB1994E">
      <w:pPr>
        <w:pStyle w:val="8"/>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仿宋_GB2312" w:hAnsi="Calibri" w:eastAsia="仿宋_GB2312" w:cs="仿宋_GB2312"/>
          <w:color w:val="auto"/>
          <w:kern w:val="0"/>
          <w:sz w:val="24"/>
          <w:szCs w:val="24"/>
          <w:highlight w:val="none"/>
          <w:lang w:val="en-US" w:eastAsia="zh-CN" w:bidi="ar"/>
        </w:rPr>
        <w:t>1、</w:t>
      </w:r>
      <w:r>
        <w:rPr>
          <w:rFonts w:hint="eastAsia" w:asciiTheme="majorEastAsia" w:hAnsiTheme="majorEastAsia" w:eastAsiaTheme="majorEastAsia" w:cstheme="majorEastAsia"/>
          <w:color w:val="auto"/>
          <w:sz w:val="24"/>
          <w:szCs w:val="24"/>
          <w:highlight w:val="none"/>
          <w:lang w:val="en-US" w:eastAsia="zh-CN" w:bidi="ar-SA"/>
        </w:rPr>
        <w:t>供应商须完全满足本项目工程量清单中的各项要求，所提供设备及材料的质量不低于工程量清单编制说明中的要求。</w:t>
      </w:r>
    </w:p>
    <w:p w14:paraId="6E5CCCD9">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★2、工程质量要求：符合《工程施工质量验收规范》等的合格标准，所提供的电缆须达到国标要求，并具备通电条件交付使用，保证通过采购人的验收。</w:t>
      </w:r>
    </w:p>
    <w:p w14:paraId="076C9FD3">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★3、供应商必须保证产品来源渠道合法、合规，能享受原厂或原厂授权的售后维修机构的售后服务并负责货物的运输、安装、调试和售后服务等工作。</w:t>
      </w:r>
    </w:p>
    <w:p w14:paraId="058F0947">
      <w:pPr>
        <w:pStyle w:val="13"/>
        <w:ind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技术条件</w:t>
      </w:r>
    </w:p>
    <w:p w14:paraId="237A2B0E">
      <w:pPr>
        <w:pStyle w:val="13"/>
        <w:ind w:firstLine="501" w:firstLineChars="2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.1导体</w:t>
      </w:r>
    </w:p>
    <w:p w14:paraId="1F953B1F">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.1.1导体结构、性能及外观符合GB/T3956的规定。（偏离项</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w:t>
      </w:r>
    </w:p>
    <w:p w14:paraId="0E48629E">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.1.2导体表面光洁、无油污、无损伤屏蔽及绝缘的毛刺、锐边,无凸起或断裂的单线。（偏离项</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p>
    <w:p w14:paraId="32C62DCC">
      <w:pPr>
        <w:pStyle w:val="13"/>
        <w:ind w:firstLine="48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4.2绝缘</w:t>
      </w:r>
    </w:p>
    <w:p w14:paraId="707026C8">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.2.1绝缘采用优质硅烷交联聚乙烯绝缘料，其性能符合GB/T12706.1-2020的规定。（偏离项</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p>
    <w:p w14:paraId="73C3ED51">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.2.2绝缘标称厚度符合GB/T12706.1-2020的规定，绝缘厚度平均值不小于规定的标称值，绝缘任一点最薄点的测量厚度不小于标称值的90%-0.1mm。（偏离项</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p>
    <w:p w14:paraId="302518FF">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.2.3绝缘线芯采用颜色识别，分色规则符合GB6995的规定。（偏离项</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w:t>
      </w:r>
    </w:p>
    <w:p w14:paraId="3661D994">
      <w:pPr>
        <w:pStyle w:val="13"/>
        <w:ind w:firstLine="48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4.3缆芯及填充材料（偏离项6）</w:t>
      </w:r>
    </w:p>
    <w:p w14:paraId="5C6A100B">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.3.1电缆绝缘线芯成缆方向为右。</w:t>
      </w:r>
    </w:p>
    <w:p w14:paraId="1E7A93A6">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.3.2电缆的缆芯中用非吸湿性的材料填充。</w:t>
      </w:r>
    </w:p>
    <w:p w14:paraId="1D92BCA2">
      <w:pPr>
        <w:pStyle w:val="13"/>
        <w:ind w:firstLine="501" w:firstLineChars="2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.4成品电缆标志</w:t>
      </w:r>
    </w:p>
    <w:p w14:paraId="55CA225A">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成品电缆的护套表面有制造厂名称、产品型号及额定电压的连续标志，标志字迹清楚、容易辨认、耐擦。成品电缆标志符合GB6995.3规定。（偏离项</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w:t>
      </w:r>
    </w:p>
    <w:p w14:paraId="4C89586B">
      <w:pPr>
        <w:pStyle w:val="13"/>
        <w:ind w:firstLine="501" w:firstLineChars="20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.5.电缆包装要求：（偏离项</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p>
    <w:p w14:paraId="136A7586">
      <w:pPr>
        <w:pStyle w:val="13"/>
        <w:ind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（1）制造厂名 称或商 标；     （2）电缆型号和规格；</w:t>
      </w:r>
    </w:p>
    <w:p w14:paraId="7C6B629F">
      <w:pPr>
        <w:pStyle w:val="13"/>
        <w:ind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（3）长度，m           （4）毛重，kg；</w:t>
      </w:r>
    </w:p>
    <w:p w14:paraId="3781C6E9">
      <w:pPr>
        <w:pStyle w:val="13"/>
        <w:ind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（5）制造日期： 年  月；     （6）标准编号。</w:t>
      </w:r>
    </w:p>
    <w:p w14:paraId="7882600D">
      <w:pPr>
        <w:pStyle w:val="13"/>
        <w:ind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.6运输和保管符合下列要求：</w:t>
      </w:r>
    </w:p>
    <w:p w14:paraId="23A5F68D">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.6.1电缆避免在露天存放，电缆盘不允许平放；（偏离项</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p>
    <w:p w14:paraId="5E6F1C5A">
      <w:pPr>
        <w:pStyle w:val="13"/>
        <w:ind w:firstLine="48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.6.2运输中严禁从高处扔下装有电缆的电缆盘，严禁机械损伤电缆；（偏离项</w:t>
      </w: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w:t>
      </w:r>
    </w:p>
    <w:p w14:paraId="7E9BF659">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.6.3吊装包装件时，严禁几盘同时吊装。在车辆、船舶等运输工具上，电缆盘必须放稳，并用合适方法固定，防止互撞或翻倒。（偏离项1</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w:t>
      </w:r>
    </w:p>
    <w:p w14:paraId="46ED9F83">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、保护性接地要求</w:t>
      </w:r>
    </w:p>
    <w:p w14:paraId="468D2674">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.1配电柜（箱）内须设独立的PE接地保护系统，并且贯通低压柜。PE线采用铜排，与柜体、接地保护导体可靠连接，确保良好的接地连续性。（偏离项1</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p>
    <w:p w14:paraId="7E0123CF">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.2开关柜的底板、框架和金属外壳等外露导体部件须在电气上相互连接并连接到PE接地保护系统。（偏离项1</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p>
    <w:p w14:paraId="200B2C12">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.3保护接地端子设置在容易接近处，并且当罩壳或任何其它可拆卸的部件移去时，其位置仍能保证电器与接地极或保护导体之间的连接。（偏离项1</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p>
    <w:p w14:paraId="726E42A9">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.4保护接地端子的位置须便于与接地体连接。（偏离项1</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w:t>
      </w:r>
    </w:p>
    <w:p w14:paraId="7AEB6BE7">
      <w:pPr>
        <w:pStyle w:val="13"/>
        <w:ind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.5开关柜内的所有PE线必须满足热稳定要求、机械强度要求和电击保护要求。（偏离项</w:t>
      </w:r>
      <w:r>
        <w:rPr>
          <w:rFonts w:hint="eastAsia" w:asciiTheme="majorEastAsia" w:hAnsiTheme="majorEastAsia" w:eastAsiaTheme="majorEastAsia" w:cstheme="majorEastAsia"/>
          <w:color w:val="auto"/>
          <w:sz w:val="24"/>
          <w:szCs w:val="24"/>
          <w:highlight w:val="none"/>
          <w:lang w:val="en-US" w:eastAsia="zh-CN"/>
        </w:rPr>
        <w:t>16</w:t>
      </w:r>
      <w:r>
        <w:rPr>
          <w:rFonts w:hint="eastAsia" w:asciiTheme="majorEastAsia" w:hAnsiTheme="majorEastAsia" w:eastAsiaTheme="majorEastAsia" w:cstheme="majorEastAsia"/>
          <w:color w:val="auto"/>
          <w:sz w:val="24"/>
          <w:szCs w:val="24"/>
          <w:highlight w:val="none"/>
        </w:rPr>
        <w:t>）</w:t>
      </w:r>
    </w:p>
    <w:p w14:paraId="6F8A97EE">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成交人须为施工人员缴交意外伤害保险。（偏离项1</w:t>
      </w: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w:t>
      </w:r>
    </w:p>
    <w:p w14:paraId="4B97F14E">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供应商负责已完工部分工程的保护工作；应做好防雷电、防火等的安全防护工作；应负责提供照明、围挡、护栅、警告标志等安全防护措施，承担施工现场和施工人员的治安、环境卫生、计生、外来人员暂住手续等管理工作和相关费用；若发生任何事故，均由成交人全部负责。（偏离项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w:t>
      </w:r>
    </w:p>
    <w:p w14:paraId="6D03B57A">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设立安全防护措施，保证工人施工也保证病人和医务人员安全，现场条件必须满足采购人要求，同时满足国家规范。（偏离项1</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w:t>
      </w:r>
    </w:p>
    <w:p w14:paraId="6D5B6DD2">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成交人安装结束后应在规定的交付使用时间之前将施工区域内的建筑垃圾、杂物等移离现场，清理妥当，做好井道、配电箱和管线等的相关标识，费用由成交人负责。（偏离项</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w:t>
      </w:r>
    </w:p>
    <w:p w14:paraId="3C43AE53">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严禁院内乱搭盖、乱占道，堆放材料的工棚严禁当作工人宿舍。施工中使用的材料应严格堆放在正在施工路段内并设置围档。不得随意堆放占道。确因场地条件所限，无法留出交通通道的应设立明显指示和警示标志，应疏导行人和车辆安全通行。（偏离项</w:t>
      </w: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w:t>
      </w:r>
    </w:p>
    <w:p w14:paraId="0957500B">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11、</w:t>
      </w:r>
      <w:r>
        <w:rPr>
          <w:rFonts w:hint="eastAsia" w:asciiTheme="majorEastAsia" w:hAnsiTheme="majorEastAsia" w:eastAsiaTheme="majorEastAsia" w:cstheme="majorEastAsia"/>
          <w:color w:val="auto"/>
          <w:sz w:val="24"/>
          <w:szCs w:val="24"/>
          <w:highlight w:val="none"/>
        </w:rPr>
        <w:t>施工中现场工人必须统一戴安全帽穿安全服，不得穿拖鞋，光脚、光膀子施工。施工管理人员必须统一着装、佩戴工作牌、戴好安全帽。（偏离项</w:t>
      </w:r>
      <w:r>
        <w:rPr>
          <w:rFonts w:hint="eastAsia" w:asciiTheme="majorEastAsia" w:hAnsiTheme="majorEastAsia" w:eastAsiaTheme="majorEastAsia" w:cstheme="majorEastAsia"/>
          <w:color w:val="auto"/>
          <w:sz w:val="24"/>
          <w:szCs w:val="24"/>
          <w:highlight w:val="none"/>
          <w:lang w:val="en-US" w:eastAsia="zh-CN"/>
        </w:rPr>
        <w:t>22</w:t>
      </w:r>
      <w:r>
        <w:rPr>
          <w:rFonts w:hint="eastAsia" w:asciiTheme="majorEastAsia" w:hAnsiTheme="majorEastAsia" w:eastAsiaTheme="majorEastAsia" w:cstheme="majorEastAsia"/>
          <w:color w:val="auto"/>
          <w:sz w:val="24"/>
          <w:szCs w:val="24"/>
          <w:highlight w:val="none"/>
        </w:rPr>
        <w:t>）</w:t>
      </w:r>
    </w:p>
    <w:p w14:paraId="70D4539F">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建立、健全安全检查制度，定期和不定期的对施工现场进行安全检查,及时发现和消除事故隐患，确保安全生产。安全责任：有关本项目的一切安全责任均由成交人承担。（偏离项</w:t>
      </w:r>
      <w:r>
        <w:rPr>
          <w:rFonts w:hint="eastAsia" w:asciiTheme="majorEastAsia" w:hAnsiTheme="majorEastAsia" w:eastAsiaTheme="majorEastAsia" w:cstheme="majorEastAsia"/>
          <w:color w:val="auto"/>
          <w:sz w:val="24"/>
          <w:szCs w:val="24"/>
          <w:highlight w:val="none"/>
          <w:lang w:val="en-US" w:eastAsia="zh-CN"/>
        </w:rPr>
        <w:t>23</w:t>
      </w:r>
      <w:r>
        <w:rPr>
          <w:rFonts w:hint="eastAsia" w:asciiTheme="majorEastAsia" w:hAnsiTheme="majorEastAsia" w:eastAsiaTheme="majorEastAsia" w:cstheme="majorEastAsia"/>
          <w:color w:val="auto"/>
          <w:sz w:val="24"/>
          <w:szCs w:val="24"/>
          <w:highlight w:val="none"/>
        </w:rPr>
        <w:t>）</w:t>
      </w:r>
    </w:p>
    <w:p w14:paraId="1F6B5903">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13、</w:t>
      </w:r>
      <w:r>
        <w:rPr>
          <w:rFonts w:hint="eastAsia" w:asciiTheme="majorEastAsia" w:hAnsiTheme="majorEastAsia" w:eastAsiaTheme="majorEastAsia" w:cstheme="majorEastAsia"/>
          <w:color w:val="auto"/>
          <w:sz w:val="24"/>
          <w:szCs w:val="24"/>
          <w:highlight w:val="none"/>
        </w:rPr>
        <w:t>在施工过程中，成交人应当根据现场实际情况和采购人的合理要求，积极配合并做出相应的调整，确保实现采购人和设计人对本项目的最终设计，满足现场使用和安全安装等需求。（偏离项</w:t>
      </w:r>
      <w:r>
        <w:rPr>
          <w:rFonts w:hint="eastAsia" w:asciiTheme="majorEastAsia" w:hAnsiTheme="majorEastAsia" w:eastAsiaTheme="majorEastAsia" w:cstheme="majorEastAsia"/>
          <w:color w:val="auto"/>
          <w:sz w:val="24"/>
          <w:szCs w:val="24"/>
          <w:highlight w:val="none"/>
          <w:lang w:val="en-US" w:eastAsia="zh-CN"/>
        </w:rPr>
        <w:t>24</w:t>
      </w:r>
      <w:r>
        <w:rPr>
          <w:rFonts w:hint="eastAsia" w:asciiTheme="majorEastAsia" w:hAnsiTheme="majorEastAsia" w:eastAsiaTheme="majorEastAsia" w:cstheme="majorEastAsia"/>
          <w:color w:val="auto"/>
          <w:sz w:val="24"/>
          <w:szCs w:val="24"/>
          <w:highlight w:val="none"/>
        </w:rPr>
        <w:t>）</w:t>
      </w:r>
    </w:p>
    <w:p w14:paraId="3FBFB717">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仿宋_GB2312" w:hAnsi="仿宋_GB2312" w:eastAsia="仿宋_GB2312" w:cs="仿宋_GB2312"/>
          <w:sz w:val="24"/>
          <w:highlight w:val="none"/>
        </w:rPr>
      </w:pPr>
      <w:r>
        <w:rPr>
          <w:rFonts w:hint="eastAsia" w:asciiTheme="majorEastAsia" w:hAnsiTheme="majorEastAsia" w:eastAsiaTheme="majorEastAsia" w:cstheme="majorEastAsia"/>
          <w:color w:val="auto"/>
          <w:sz w:val="24"/>
          <w:szCs w:val="24"/>
          <w:highlight w:val="none"/>
          <w:lang w:val="en-US" w:eastAsia="zh-CN"/>
        </w:rPr>
        <w:t>14、</w:t>
      </w:r>
      <w:r>
        <w:rPr>
          <w:rFonts w:hint="eastAsia" w:asciiTheme="majorEastAsia" w:hAnsiTheme="majorEastAsia" w:eastAsiaTheme="majorEastAsia" w:cstheme="majorEastAsia"/>
          <w:color w:val="auto"/>
          <w:sz w:val="24"/>
          <w:szCs w:val="24"/>
          <w:highlight w:val="none"/>
        </w:rPr>
        <w:t>隐蔽工程如预埋管道工程完工后，承包人需提前48小时通知采购人，先行组织验收，验收通过后承包人方可进入下道工序。（偏离项</w:t>
      </w:r>
      <w:r>
        <w:rPr>
          <w:rFonts w:hint="eastAsia" w:asciiTheme="majorEastAsia" w:hAnsiTheme="majorEastAsia" w:eastAsiaTheme="majorEastAsia" w:cstheme="majorEastAsia"/>
          <w:color w:val="auto"/>
          <w:sz w:val="24"/>
          <w:szCs w:val="24"/>
          <w:highlight w:val="none"/>
          <w:lang w:val="en-US" w:eastAsia="zh-CN"/>
        </w:rPr>
        <w:t>25</w:t>
      </w:r>
      <w:r>
        <w:rPr>
          <w:rFonts w:hint="eastAsia" w:asciiTheme="majorEastAsia" w:hAnsiTheme="majorEastAsia" w:eastAsiaTheme="majorEastAsia" w:cstheme="majorEastAsia"/>
          <w:color w:val="auto"/>
          <w:sz w:val="24"/>
          <w:szCs w:val="24"/>
          <w:highlight w:val="none"/>
        </w:rPr>
        <w:t>）</w:t>
      </w:r>
    </w:p>
    <w:p w14:paraId="0DA1DC47">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15、</w:t>
      </w:r>
      <w:r>
        <w:rPr>
          <w:rFonts w:hint="eastAsia" w:asciiTheme="majorEastAsia" w:hAnsiTheme="majorEastAsia" w:eastAsiaTheme="majorEastAsia" w:cstheme="majorEastAsia"/>
          <w:color w:val="auto"/>
          <w:sz w:val="24"/>
          <w:szCs w:val="24"/>
          <w:highlight w:val="none"/>
        </w:rPr>
        <w:t>成交供应商应确保在施工期间不影响医院各区域正常工作的开展。停电操作时间段需根据甲方需求在指定时间内完成</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如遇特殊情况或影响到医院正常医疗工作秩序，采购人有权要求成交人停止施工。停电时间不超过6小时。（需提供书面承诺函,格式自拟，未提供按无效响应处理。）</w:t>
      </w:r>
    </w:p>
    <w:p w14:paraId="7E0C2315">
      <w:pPr>
        <w:pStyle w:val="13"/>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16</w:t>
      </w:r>
      <w:r>
        <w:rPr>
          <w:rFonts w:hint="eastAsia" w:asciiTheme="majorEastAsia" w:hAnsiTheme="majorEastAsia" w:eastAsiaTheme="majorEastAsia" w:cstheme="majorEastAsia"/>
          <w:color w:val="auto"/>
          <w:sz w:val="24"/>
          <w:szCs w:val="24"/>
          <w:highlight w:val="none"/>
        </w:rPr>
        <w:t>、供应商响应文件中须提供专项承诺函，对以下内容进行承诺：所投产品为原厂原装品牌，采购人有权对成交人提供的货物进行随机抽检，由有资质的第三方进行检测，检测费用由成交人支出。如因成交方产品质量不合格导致采购人经济等损失，采购人有权拒绝支付合同款项，同时采购人有权追究所引起的法律责任和经济责任。（需提供书面承诺函,格式自拟，未提供按无效响应处理。）</w:t>
      </w:r>
    </w:p>
    <w:p w14:paraId="24D8EE8B">
      <w:pPr>
        <w:pStyle w:val="13"/>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17、</w:t>
      </w:r>
      <w:r>
        <w:rPr>
          <w:rFonts w:hint="eastAsia" w:asciiTheme="majorEastAsia" w:hAnsiTheme="majorEastAsia" w:eastAsiaTheme="majorEastAsia" w:cstheme="majorEastAsia"/>
          <w:color w:val="auto"/>
          <w:sz w:val="24"/>
          <w:szCs w:val="24"/>
          <w:highlight w:val="none"/>
        </w:rPr>
        <w:t>因医院的特殊性，成交人必须保证在不影响医院的正常医疗工作秩序下施工，如遇特殊情况或影响到医院正常医疗工作秩序，采购人有权要求成交人停止施工。</w:t>
      </w:r>
    </w:p>
    <w:p w14:paraId="79C71EB2">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18、</w:t>
      </w:r>
      <w:r>
        <w:rPr>
          <w:rFonts w:hint="eastAsia" w:asciiTheme="majorEastAsia" w:hAnsiTheme="majorEastAsia" w:eastAsiaTheme="majorEastAsia" w:cstheme="majorEastAsia"/>
          <w:color w:val="auto"/>
          <w:sz w:val="24"/>
          <w:szCs w:val="24"/>
          <w:highlight w:val="none"/>
        </w:rPr>
        <w:t>进场材料报验。提供进场材料报验和相关主材合格证等。（1）本工程所采用的主要建筑材料、装修材料、设备、安装材料等到货时，承包人应向发包人提交《供应材料设备一览表》，填报如下数据：材料设备名称、规格型号、品牌、数量，附送产品合格证（复印件）。（2）发包人有权对承包方提供的检测报告或进场产品送相关检测机构进行检测。若检测结果与承包人提供的检测报告不符，检测费由承包方承担。（3）若实施材料不符，以双方可协商按质论价，协商不成的，甲方可拒付该部分款项，乙方不得破坏现场。</w:t>
      </w:r>
    </w:p>
    <w:p w14:paraId="017182BC">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19、</w:t>
      </w:r>
      <w:r>
        <w:rPr>
          <w:rFonts w:hint="eastAsia" w:asciiTheme="majorEastAsia" w:hAnsiTheme="majorEastAsia" w:eastAsiaTheme="majorEastAsia" w:cstheme="majorEastAsia"/>
          <w:color w:val="auto"/>
          <w:sz w:val="24"/>
          <w:szCs w:val="24"/>
          <w:highlight w:val="none"/>
        </w:rPr>
        <w:t>施工完成后，</w:t>
      </w:r>
      <w:r>
        <w:rPr>
          <w:rFonts w:hint="eastAsia" w:asciiTheme="majorEastAsia" w:hAnsiTheme="majorEastAsia" w:eastAsiaTheme="majorEastAsia" w:cstheme="majorEastAsia"/>
          <w:color w:val="auto"/>
          <w:sz w:val="24"/>
          <w:szCs w:val="24"/>
          <w:highlight w:val="none"/>
          <w:lang w:eastAsia="zh-CN"/>
        </w:rPr>
        <w:t>投标人需</w:t>
      </w:r>
      <w:r>
        <w:rPr>
          <w:rFonts w:hint="eastAsia" w:asciiTheme="majorEastAsia" w:hAnsiTheme="majorEastAsia" w:eastAsiaTheme="majorEastAsia" w:cstheme="majorEastAsia"/>
          <w:color w:val="auto"/>
          <w:sz w:val="24"/>
          <w:szCs w:val="24"/>
          <w:highlight w:val="none"/>
        </w:rPr>
        <w:t>对电缆线路进行绝缘测试及相位核对，确保符合规范要求。清理施工现场，恢复供电前</w:t>
      </w:r>
      <w:r>
        <w:rPr>
          <w:rFonts w:hint="eastAsia" w:asciiTheme="majorEastAsia" w:hAnsiTheme="majorEastAsia" w:eastAsiaTheme="majorEastAsia" w:cstheme="majorEastAsia"/>
          <w:color w:val="auto"/>
          <w:sz w:val="24"/>
          <w:szCs w:val="24"/>
          <w:highlight w:val="none"/>
          <w:lang w:eastAsia="zh-CN"/>
        </w:rPr>
        <w:t>需经招标人</w:t>
      </w:r>
      <w:r>
        <w:rPr>
          <w:rFonts w:hint="eastAsia" w:asciiTheme="majorEastAsia" w:hAnsiTheme="majorEastAsia" w:eastAsiaTheme="majorEastAsia" w:cstheme="majorEastAsia"/>
          <w:color w:val="auto"/>
          <w:sz w:val="24"/>
          <w:szCs w:val="24"/>
          <w:highlight w:val="none"/>
        </w:rPr>
        <w:t>验收确认，确保无遗留安全隐患</w:t>
      </w:r>
      <w:r>
        <w:rPr>
          <w:rFonts w:hint="eastAsia" w:asciiTheme="majorEastAsia" w:hAnsiTheme="majorEastAsia" w:eastAsiaTheme="majorEastAsia" w:cstheme="majorEastAsia"/>
          <w:color w:val="auto"/>
          <w:sz w:val="24"/>
          <w:szCs w:val="24"/>
          <w:highlight w:val="none"/>
          <w:lang w:eastAsia="zh-CN"/>
        </w:rPr>
        <w:t>。如需动火作业（如焊接等），需提前24小时向保卫科报备，并配备灭火器材（如干粉灭火器、防火毯），安排专人监护，动火作业人员需持证上岗。</w:t>
      </w:r>
    </w:p>
    <w:p w14:paraId="1E2DE58D">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20、电缆技术标准和规范要求：</w:t>
      </w:r>
    </w:p>
    <w:p w14:paraId="222A3550">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12706—2008《额定电压1kV(Um=1.2kV)到35kV(Um=40.5kV)挤包绝缘电力电缆及附件》</w:t>
      </w:r>
    </w:p>
    <w:p w14:paraId="56CF1448">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14049-2008《额定电压10kV架空绝缘电缆》</w:t>
      </w:r>
    </w:p>
    <w:p w14:paraId="4EEB9D53">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1179—2008《圆线同心绞架空导线》</w:t>
      </w:r>
    </w:p>
    <w:p w14:paraId="7B105881">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2952—2008《电缆外护套》</w:t>
      </w:r>
    </w:p>
    <w:p w14:paraId="30A3ED4A">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3953—2009《电工圆铜线》</w:t>
      </w:r>
    </w:p>
    <w:p w14:paraId="050B8F13">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3956—2008《电缆的导体》</w:t>
      </w:r>
    </w:p>
    <w:p w14:paraId="400B9ABC">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6995—2008《电线电缆识别标志方法》</w:t>
      </w:r>
    </w:p>
    <w:p w14:paraId="1527B963">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2951—2008《电缆和光缆绝缘和护套材料通用试验方法》</w:t>
      </w:r>
    </w:p>
    <w:p w14:paraId="70A68DE2">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3048—2007《电线电缆电性能试验方法》</w:t>
      </w:r>
    </w:p>
    <w:p w14:paraId="65184797">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18380—2008《电缆在火焰条件下的燃烧试验》</w:t>
      </w:r>
    </w:p>
    <w:p w14:paraId="304AAE96">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GB/T 9330—2008《塑料绝缘控制电缆》</w:t>
      </w:r>
    </w:p>
    <w:p w14:paraId="5A0D15C1">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DL/T 401     《高压电缆选用导则》</w:t>
      </w:r>
    </w:p>
    <w:p w14:paraId="5D9FEB78">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DL/T 5221-2016《城市电力电缆线路设计技术规定》</w:t>
      </w:r>
    </w:p>
    <w:p w14:paraId="76ADD1F6">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DLGJ 154      《电缆防火措施设计和施工验收标准》等</w:t>
      </w:r>
    </w:p>
    <w:p w14:paraId="5490B4D0">
      <w:pPr>
        <w:pStyle w:val="13"/>
        <w:keepNext w:val="0"/>
        <w:keepLines w:val="0"/>
        <w:pageBreakBefore w:val="0"/>
        <w:widowControl/>
        <w:kinsoku/>
        <w:wordWrap/>
        <w:overflowPunct/>
        <w:topLinePunct w:val="0"/>
        <w:autoSpaceDE/>
        <w:autoSpaceDN/>
        <w:bidi w:val="0"/>
        <w:adjustRightInd/>
        <w:snapToGrid/>
        <w:ind w:firstLine="480"/>
        <w:textAlignment w:val="auto"/>
        <w:rPr>
          <w:rFonts w:hint="default" w:asciiTheme="majorEastAsia" w:hAnsiTheme="majorEastAsia" w:eastAsiaTheme="majorEastAsia" w:cstheme="majorEastAsia"/>
          <w:color w:val="auto"/>
          <w:sz w:val="24"/>
          <w:szCs w:val="24"/>
          <w:highlight w:val="none"/>
          <w:lang w:val="en-US" w:eastAsia="zh-CN"/>
        </w:rPr>
      </w:pPr>
      <w:r>
        <w:rPr>
          <w:rFonts w:hint="default" w:asciiTheme="majorEastAsia" w:hAnsiTheme="majorEastAsia" w:eastAsiaTheme="majorEastAsia" w:cstheme="majorEastAsia"/>
          <w:color w:val="auto"/>
          <w:sz w:val="24"/>
          <w:szCs w:val="24"/>
          <w:highlight w:val="none"/>
          <w:lang w:val="en-US" w:eastAsia="zh-CN"/>
        </w:rPr>
        <w:t>以上标准应执行最新版本，如各标准有不一致处以标准较高者为准。</w:t>
      </w:r>
    </w:p>
    <w:p w14:paraId="2FD14204">
      <w:pPr>
        <w:pStyle w:val="13"/>
        <w:keepNext w:val="0"/>
        <w:keepLines w:val="0"/>
        <w:pageBreakBefore w:val="0"/>
        <w:widowControl/>
        <w:kinsoku/>
        <w:wordWrap/>
        <w:overflowPunct/>
        <w:topLinePunct w:val="0"/>
        <w:autoSpaceDE/>
        <w:autoSpaceDN/>
        <w:bidi w:val="0"/>
        <w:adjustRightInd/>
        <w:snapToGrid/>
        <w:ind w:firstLine="480"/>
        <w:textAlignment w:val="auto"/>
        <w:rPr>
          <w:rFonts w:hint="eastAsia" w:asciiTheme="majorEastAsia" w:hAnsiTheme="majorEastAsia" w:eastAsiaTheme="majorEastAsia" w:cstheme="majorEastAsia"/>
          <w:color w:val="auto"/>
          <w:sz w:val="24"/>
          <w:szCs w:val="24"/>
          <w:highlight w:val="none"/>
          <w:lang w:eastAsia="zh-CN"/>
        </w:rPr>
      </w:pPr>
    </w:p>
    <w:p w14:paraId="75338491">
      <w:pPr>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br w:type="page"/>
      </w:r>
    </w:p>
    <w:p w14:paraId="28889B20">
      <w:pPr>
        <w:pStyle w:val="8"/>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评分方式：</w:t>
      </w:r>
    </w:p>
    <w:p w14:paraId="422DE809">
      <w:pPr>
        <w:spacing w:line="480" w:lineRule="exact"/>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b w:val="0"/>
          <w:bCs/>
          <w:sz w:val="24"/>
          <w:szCs w:val="24"/>
          <w:highlight w:val="none"/>
          <w:lang w:val="en-US" w:eastAsia="zh-CN"/>
        </w:rPr>
        <w:t>综合评分法</w:t>
      </w:r>
      <w:r>
        <w:rPr>
          <w:rFonts w:hint="eastAsia" w:asciiTheme="majorEastAsia" w:hAnsiTheme="majorEastAsia" w:eastAsiaTheme="majorEastAsia" w:cstheme="majorEastAsia"/>
          <w:bCs/>
          <w:sz w:val="24"/>
          <w:szCs w:val="24"/>
          <w:highlight w:val="none"/>
        </w:rPr>
        <w:t>各投标人的最终得分等于=A＋B＋C</w:t>
      </w:r>
    </w:p>
    <w:p w14:paraId="5B1E567D">
      <w:pPr>
        <w:spacing w:line="480" w:lineRule="exac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rPr>
        <w:t>、报价部分满分30分          </w:t>
      </w:r>
    </w:p>
    <w:tbl>
      <w:tblPr>
        <w:tblStyle w:val="9"/>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7394"/>
      </w:tblGrid>
      <w:tr w14:paraId="1D7D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
            <w:vAlign w:val="center"/>
          </w:tcPr>
          <w:p w14:paraId="3FBA4E84">
            <w:pPr>
              <w:spacing w:line="420" w:lineRule="exac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若投标人的报价明显低于其他报价，使得其投标报价可能低于其个别成本的，有可能影响服务质量或不能诚信履约的，投标人应按评标委员会要求作出书面说明并提供相关证明材料，不能合理说明或不能提供相关证明材料的，可作无效投标处理。</w:t>
            </w:r>
          </w:p>
        </w:tc>
      </w:tr>
      <w:tr w14:paraId="162D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pct"/>
            <w:vAlign w:val="center"/>
          </w:tcPr>
          <w:p w14:paraId="37442B19">
            <w:pPr>
              <w:spacing w:line="420" w:lineRule="exac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rPr>
              <w:t>、价格部分（满分</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0分）</w:t>
            </w:r>
          </w:p>
        </w:tc>
        <w:tc>
          <w:tcPr>
            <w:tcW w:w="4392" w:type="pct"/>
            <w:vAlign w:val="center"/>
          </w:tcPr>
          <w:p w14:paraId="1ED244DE">
            <w:pPr>
              <w:spacing w:line="440" w:lineRule="exac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C=（B÷Bn）</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0%×100</w:t>
            </w:r>
          </w:p>
          <w:p w14:paraId="35909A6F">
            <w:pPr>
              <w:spacing w:line="440" w:lineRule="exac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式中：C为报价部分得分；</w:t>
            </w:r>
          </w:p>
          <w:p w14:paraId="74FB22D6">
            <w:pPr>
              <w:spacing w:line="440" w:lineRule="exac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B为所有报价人进入综合评分的最低报价；</w:t>
            </w:r>
          </w:p>
          <w:p w14:paraId="7882728B">
            <w:pPr>
              <w:spacing w:line="440" w:lineRule="exac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xml:space="preserve">      Bn为报价人提供的有效报价。</w:t>
            </w:r>
          </w:p>
          <w:p w14:paraId="2955F250">
            <w:pPr>
              <w:spacing w:line="480" w:lineRule="exact"/>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备注：计算分数时四舍五入取小数点后两位。</w:t>
            </w:r>
          </w:p>
        </w:tc>
      </w:tr>
    </w:tbl>
    <w:p w14:paraId="7AF8BA4B">
      <w:pPr>
        <w:pStyle w:val="8"/>
        <w:spacing w:line="360" w:lineRule="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lang w:val="en-US" w:eastAsia="zh-CN"/>
        </w:rPr>
        <w:t>B</w:t>
      </w:r>
      <w:r>
        <w:rPr>
          <w:rFonts w:hint="eastAsia" w:asciiTheme="majorEastAsia" w:hAnsiTheme="majorEastAsia" w:eastAsiaTheme="majorEastAsia" w:cstheme="majorEastAsia"/>
          <w:bCs/>
          <w:sz w:val="24"/>
          <w:szCs w:val="24"/>
          <w:highlight w:val="none"/>
        </w:rPr>
        <w:t>、技术项  满分为</w:t>
      </w:r>
      <w:r>
        <w:rPr>
          <w:rFonts w:hint="eastAsia" w:asciiTheme="majorEastAsia" w:hAnsiTheme="majorEastAsia" w:eastAsiaTheme="majorEastAsia" w:cstheme="majorEastAsia"/>
          <w:bCs/>
          <w:sz w:val="24"/>
          <w:szCs w:val="24"/>
          <w:highlight w:val="none"/>
          <w:u w:val="single"/>
        </w:rPr>
        <w:t>45</w:t>
      </w:r>
      <w:r>
        <w:rPr>
          <w:rFonts w:hint="eastAsia" w:asciiTheme="majorEastAsia" w:hAnsiTheme="majorEastAsia" w:eastAsiaTheme="majorEastAsia" w:cstheme="majorEastAsia"/>
          <w:bCs/>
          <w:sz w:val="24"/>
          <w:szCs w:val="24"/>
          <w:highlight w:val="none"/>
        </w:rPr>
        <w:t>分。</w:t>
      </w:r>
    </w:p>
    <w:tbl>
      <w:tblPr>
        <w:tblStyle w:val="9"/>
        <w:tblW w:w="941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2"/>
        <w:gridCol w:w="761"/>
        <w:gridCol w:w="7330"/>
      </w:tblGrid>
      <w:tr w14:paraId="046C91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22" w:type="dxa"/>
            <w:tcBorders>
              <w:top w:val="outset" w:color="auto" w:sz="6" w:space="0"/>
              <w:left w:val="outset" w:color="auto" w:sz="6" w:space="0"/>
              <w:bottom w:val="outset" w:color="auto" w:sz="6" w:space="0"/>
              <w:right w:val="outset" w:color="auto" w:sz="6" w:space="0"/>
            </w:tcBorders>
            <w:vAlign w:val="center"/>
          </w:tcPr>
          <w:p w14:paraId="61C0FD63">
            <w:pPr>
              <w:adjustRightInd/>
              <w:snapToGrid/>
              <w:spacing w:after="0" w:line="480"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评标项目</w:t>
            </w:r>
          </w:p>
        </w:tc>
        <w:tc>
          <w:tcPr>
            <w:tcW w:w="761" w:type="dxa"/>
            <w:tcBorders>
              <w:top w:val="outset" w:color="auto" w:sz="6" w:space="0"/>
              <w:left w:val="outset" w:color="auto" w:sz="6" w:space="0"/>
              <w:bottom w:val="outset" w:color="auto" w:sz="6" w:space="0"/>
              <w:right w:val="outset" w:color="auto" w:sz="6" w:space="0"/>
            </w:tcBorders>
            <w:vAlign w:val="center"/>
          </w:tcPr>
          <w:p w14:paraId="18FEA1E3">
            <w:pPr>
              <w:adjustRightInd/>
              <w:snapToGrid/>
              <w:spacing w:after="0" w:line="480"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评标分值</w:t>
            </w:r>
          </w:p>
        </w:tc>
        <w:tc>
          <w:tcPr>
            <w:tcW w:w="7330" w:type="dxa"/>
            <w:tcBorders>
              <w:top w:val="outset" w:color="auto" w:sz="6" w:space="0"/>
              <w:left w:val="outset" w:color="auto" w:sz="6" w:space="0"/>
              <w:bottom w:val="outset" w:color="auto" w:sz="6" w:space="0"/>
              <w:right w:val="outset" w:color="auto" w:sz="6" w:space="0"/>
            </w:tcBorders>
            <w:vAlign w:val="center"/>
          </w:tcPr>
          <w:p w14:paraId="158F0658">
            <w:pPr>
              <w:adjustRightInd/>
              <w:snapToGrid/>
              <w:spacing w:after="0" w:line="480"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评标方法描述</w:t>
            </w:r>
          </w:p>
        </w:tc>
      </w:tr>
      <w:tr w14:paraId="419757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322" w:type="dxa"/>
            <w:tcBorders>
              <w:top w:val="outset" w:color="auto" w:sz="6" w:space="0"/>
              <w:left w:val="outset" w:color="auto" w:sz="6" w:space="0"/>
              <w:bottom w:val="outset" w:color="auto" w:sz="6" w:space="0"/>
              <w:right w:val="outset" w:color="auto" w:sz="6" w:space="0"/>
            </w:tcBorders>
            <w:vAlign w:val="center"/>
          </w:tcPr>
          <w:p w14:paraId="1AB4452F">
            <w:pPr>
              <w:adjustRightInd/>
              <w:snapToGrid/>
              <w:spacing w:after="0" w:line="480"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技术服务要求响应情况</w:t>
            </w:r>
          </w:p>
        </w:tc>
        <w:tc>
          <w:tcPr>
            <w:tcW w:w="761" w:type="dxa"/>
            <w:tcBorders>
              <w:top w:val="outset" w:color="auto" w:sz="6" w:space="0"/>
              <w:left w:val="outset" w:color="auto" w:sz="6" w:space="0"/>
              <w:bottom w:val="outset" w:color="auto" w:sz="6" w:space="0"/>
              <w:right w:val="outset" w:color="auto" w:sz="6" w:space="0"/>
            </w:tcBorders>
            <w:vAlign w:val="center"/>
          </w:tcPr>
          <w:p w14:paraId="636801EC">
            <w:pPr>
              <w:adjustRightInd/>
              <w:snapToGrid/>
              <w:spacing w:after="0" w:line="480"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45</w:t>
            </w:r>
          </w:p>
        </w:tc>
        <w:tc>
          <w:tcPr>
            <w:tcW w:w="7330" w:type="dxa"/>
            <w:tcBorders>
              <w:top w:val="outset" w:color="auto" w:sz="6" w:space="0"/>
              <w:left w:val="outset" w:color="auto" w:sz="6" w:space="0"/>
              <w:bottom w:val="outset" w:color="auto" w:sz="6" w:space="0"/>
              <w:right w:val="outset" w:color="auto" w:sz="6" w:space="0"/>
            </w:tcBorders>
            <w:vAlign w:val="center"/>
          </w:tcPr>
          <w:p w14:paraId="0541D253">
            <w:pPr>
              <w:adjustRightInd/>
              <w:snapToGrid/>
              <w:spacing w:after="0" w:line="480" w:lineRule="atLeas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rPr>
              <w:t>根据各供应商文件“技术服务要求”中的逐项响应承诺情况，由评标小组进行评议并评分, 完全满足磋商文件技术参数要求的得45分,序号1至2</w:t>
            </w:r>
            <w:r>
              <w:rPr>
                <w:rFonts w:hint="eastAsia" w:asciiTheme="majorEastAsia" w:hAnsiTheme="majorEastAsia" w:eastAsiaTheme="majorEastAsia" w:cstheme="majorEastAsia"/>
                <w:color w:val="000000"/>
                <w:sz w:val="24"/>
                <w:szCs w:val="24"/>
                <w:highlight w:val="none"/>
                <w:lang w:val="en-US" w:eastAsia="zh-CN"/>
              </w:rPr>
              <w:t>5</w:t>
            </w:r>
            <w:r>
              <w:rPr>
                <w:rFonts w:hint="eastAsia" w:asciiTheme="majorEastAsia" w:hAnsiTheme="majorEastAsia" w:eastAsiaTheme="majorEastAsia" w:cstheme="majorEastAsia"/>
                <w:color w:val="000000"/>
                <w:sz w:val="24"/>
                <w:szCs w:val="24"/>
                <w:highlight w:val="none"/>
              </w:rPr>
              <w:t>（共计2</w:t>
            </w:r>
            <w:r>
              <w:rPr>
                <w:rFonts w:hint="eastAsia" w:asciiTheme="majorEastAsia" w:hAnsiTheme="majorEastAsia" w:eastAsiaTheme="majorEastAsia" w:cstheme="majorEastAsia"/>
                <w:color w:val="000000"/>
                <w:sz w:val="24"/>
                <w:szCs w:val="24"/>
                <w:highlight w:val="none"/>
                <w:lang w:val="en-US" w:eastAsia="zh-CN"/>
              </w:rPr>
              <w:t>5</w:t>
            </w:r>
            <w:r>
              <w:rPr>
                <w:rFonts w:hint="eastAsia" w:asciiTheme="majorEastAsia" w:hAnsiTheme="majorEastAsia" w:eastAsiaTheme="majorEastAsia" w:cstheme="majorEastAsia"/>
                <w:color w:val="000000"/>
                <w:sz w:val="24"/>
                <w:szCs w:val="24"/>
                <w:highlight w:val="none"/>
              </w:rPr>
              <w:t>项）每负偏离一项的扣</w:t>
            </w:r>
            <w:r>
              <w:rPr>
                <w:rFonts w:hint="eastAsia" w:asciiTheme="majorEastAsia" w:hAnsiTheme="majorEastAsia" w:eastAsiaTheme="majorEastAsia" w:cstheme="majorEastAsia"/>
                <w:color w:val="000000"/>
                <w:sz w:val="24"/>
                <w:szCs w:val="24"/>
                <w:highlight w:val="none"/>
                <w:lang w:val="en-US" w:eastAsia="zh-CN"/>
              </w:rPr>
              <w:t>1.8</w:t>
            </w:r>
            <w:r>
              <w:rPr>
                <w:rFonts w:hint="eastAsia" w:asciiTheme="majorEastAsia" w:hAnsiTheme="majorEastAsia" w:eastAsiaTheme="majorEastAsia" w:cstheme="majorEastAsia"/>
                <w:color w:val="000000"/>
                <w:sz w:val="24"/>
                <w:szCs w:val="24"/>
                <w:highlight w:val="none"/>
              </w:rPr>
              <w:t>分，正偏离不加分，扣完为止；供应商须按照本磋商文件所列的所有技术要求如实填写逐条响应。</w:t>
            </w:r>
          </w:p>
        </w:tc>
      </w:tr>
    </w:tbl>
    <w:p w14:paraId="25197303">
      <w:pPr>
        <w:spacing w:line="360" w:lineRule="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lang w:val="en-US" w:eastAsia="zh-CN"/>
        </w:rPr>
        <w:t>C</w:t>
      </w:r>
      <w:r>
        <w:rPr>
          <w:rFonts w:hint="eastAsia" w:asciiTheme="majorEastAsia" w:hAnsiTheme="majorEastAsia" w:eastAsiaTheme="majorEastAsia" w:cstheme="majorEastAsia"/>
          <w:bCs/>
          <w:sz w:val="24"/>
          <w:szCs w:val="24"/>
          <w:highlight w:val="none"/>
        </w:rPr>
        <w:t>.商务部分满分为</w:t>
      </w:r>
      <w:r>
        <w:rPr>
          <w:rFonts w:hint="eastAsia" w:asciiTheme="majorEastAsia" w:hAnsiTheme="majorEastAsia" w:eastAsiaTheme="majorEastAsia" w:cstheme="majorEastAsia"/>
          <w:bCs/>
          <w:sz w:val="24"/>
          <w:szCs w:val="24"/>
          <w:highlight w:val="none"/>
          <w:u w:val="single"/>
          <w:lang w:val="en-US" w:eastAsia="zh-CN"/>
        </w:rPr>
        <w:t>25</w:t>
      </w:r>
      <w:r>
        <w:rPr>
          <w:rFonts w:hint="eastAsia" w:asciiTheme="majorEastAsia" w:hAnsiTheme="majorEastAsia" w:eastAsiaTheme="majorEastAsia" w:cstheme="majorEastAsia"/>
          <w:bCs/>
          <w:sz w:val="24"/>
          <w:szCs w:val="24"/>
          <w:highlight w:val="none"/>
        </w:rPr>
        <w:t>分。</w:t>
      </w:r>
    </w:p>
    <w:tbl>
      <w:tblPr>
        <w:tblStyle w:val="9"/>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2"/>
        <w:gridCol w:w="705"/>
        <w:gridCol w:w="7465"/>
      </w:tblGrid>
      <w:tr w14:paraId="6C11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352" w:type="dxa"/>
            <w:vAlign w:val="center"/>
          </w:tcPr>
          <w:p w14:paraId="0AF84A07">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评标项目</w:t>
            </w:r>
          </w:p>
        </w:tc>
        <w:tc>
          <w:tcPr>
            <w:tcW w:w="705" w:type="dxa"/>
            <w:vAlign w:val="center"/>
          </w:tcPr>
          <w:p w14:paraId="5B6BB3D2">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评标分值</w:t>
            </w:r>
          </w:p>
        </w:tc>
        <w:tc>
          <w:tcPr>
            <w:tcW w:w="7465" w:type="dxa"/>
            <w:vAlign w:val="center"/>
          </w:tcPr>
          <w:p w14:paraId="2BCD7392">
            <w:pPr>
              <w:adjustRightInd/>
              <w:snapToGrid/>
              <w:spacing w:after="0" w:line="480" w:lineRule="exac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评标方法描述</w:t>
            </w:r>
          </w:p>
        </w:tc>
      </w:tr>
      <w:tr w14:paraId="6685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06D80E9E">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项目经验</w:t>
            </w:r>
          </w:p>
        </w:tc>
        <w:tc>
          <w:tcPr>
            <w:tcW w:w="705" w:type="dxa"/>
            <w:vAlign w:val="center"/>
          </w:tcPr>
          <w:p w14:paraId="57B1EF03">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7465" w:type="dxa"/>
            <w:vAlign w:val="center"/>
          </w:tcPr>
          <w:p w14:paraId="10A9A3FD">
            <w:pPr>
              <w:adjustRightInd/>
              <w:snapToGrid/>
              <w:spacing w:after="0"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根据供应商提供2022年1月1日至本项目响应文件提交截止时间止（以合同签订时间为准）由供应商完成的与本项目类似业绩情况，每提供一项得</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分，满分3分。应同时提供中标（成交）公告（提供相关网站中标（成交）公告的下载网页并注明网址）、中标（成交）通知书复印件、采购合同文本复印件以及能够证明该业绩项目已经采购人验收合格的相关证明文件复印件或付款凭证证明材料，未同时提供以上佐证材料本项不得分。</w:t>
            </w:r>
          </w:p>
        </w:tc>
      </w:tr>
      <w:tr w14:paraId="4ADE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21F0B5DF">
            <w:pPr>
              <w:spacing w:line="23" w:lineRule="atLeas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393939"/>
                <w:sz w:val="24"/>
                <w:szCs w:val="24"/>
                <w:highlight w:val="none"/>
              </w:rPr>
              <w:t>实施团队1</w:t>
            </w:r>
          </w:p>
        </w:tc>
        <w:tc>
          <w:tcPr>
            <w:tcW w:w="705" w:type="dxa"/>
            <w:vAlign w:val="center"/>
          </w:tcPr>
          <w:p w14:paraId="16AF882A">
            <w:pPr>
              <w:spacing w:line="23"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393939"/>
                <w:sz w:val="24"/>
                <w:szCs w:val="24"/>
                <w:highlight w:val="none"/>
              </w:rPr>
              <w:t>2</w:t>
            </w:r>
          </w:p>
        </w:tc>
        <w:tc>
          <w:tcPr>
            <w:tcW w:w="7465" w:type="dxa"/>
            <w:vAlign w:val="center"/>
          </w:tcPr>
          <w:p w14:paraId="564D9DFE">
            <w:pPr>
              <w:spacing w:line="240" w:lineRule="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color w:val="000000"/>
                <w:sz w:val="24"/>
                <w:szCs w:val="24"/>
                <w:highlight w:val="none"/>
              </w:rPr>
              <w:t>供应商能为本项目提供电力或电气工程相关专业中级职称证书的技术人员的，每提供一个得1分，满分2分。须提供有效的证书原件的扫描件以及提交首次响应文件截止时间前六个月（不含提交响应文件截止时间的当月）中任一月份供应商为该人员缴纳的社会保障资金缴纳凭据复印件，未提供、提供不全或不符合要求的均不得分。</w:t>
            </w:r>
            <w:r>
              <w:rPr>
                <w:rFonts w:hint="eastAsia" w:asciiTheme="majorEastAsia" w:hAnsiTheme="majorEastAsia" w:eastAsiaTheme="majorEastAsia" w:cstheme="majorEastAsia"/>
                <w:color w:val="000000"/>
                <w:sz w:val="24"/>
                <w:szCs w:val="24"/>
                <w:highlight w:val="none"/>
                <w:lang w:val="en-US" w:eastAsia="zh-CN"/>
              </w:rPr>
              <w:t>该技术人员与</w:t>
            </w:r>
            <w:r>
              <w:rPr>
                <w:rFonts w:hint="eastAsia" w:asciiTheme="majorEastAsia" w:hAnsiTheme="majorEastAsia" w:eastAsiaTheme="majorEastAsia" w:cstheme="majorEastAsia"/>
                <w:color w:val="000000"/>
                <w:sz w:val="24"/>
                <w:szCs w:val="24"/>
                <w:highlight w:val="none"/>
              </w:rPr>
              <w:t>目经理不得为同一人</w:t>
            </w:r>
            <w:r>
              <w:rPr>
                <w:rFonts w:hint="eastAsia" w:asciiTheme="majorEastAsia" w:hAnsiTheme="majorEastAsia" w:eastAsiaTheme="majorEastAsia" w:cstheme="majorEastAsia"/>
                <w:color w:val="000000"/>
                <w:sz w:val="24"/>
                <w:szCs w:val="24"/>
                <w:highlight w:val="none"/>
                <w:lang w:eastAsia="zh-CN"/>
              </w:rPr>
              <w:t>，</w:t>
            </w:r>
            <w:r>
              <w:rPr>
                <w:rFonts w:hint="eastAsia" w:asciiTheme="majorEastAsia" w:hAnsiTheme="majorEastAsia" w:eastAsiaTheme="majorEastAsia" w:cstheme="majorEastAsia"/>
                <w:color w:val="000000"/>
                <w:sz w:val="24"/>
                <w:szCs w:val="24"/>
                <w:highlight w:val="none"/>
                <w:lang w:val="en-US" w:eastAsia="zh-CN"/>
              </w:rPr>
              <w:t>且与</w:t>
            </w:r>
            <w:r>
              <w:rPr>
                <w:rFonts w:hint="eastAsia" w:asciiTheme="majorEastAsia" w:hAnsiTheme="majorEastAsia" w:eastAsiaTheme="majorEastAsia" w:cstheme="majorEastAsia"/>
                <w:color w:val="000000"/>
                <w:sz w:val="24"/>
                <w:szCs w:val="24"/>
                <w:highlight w:val="none"/>
              </w:rPr>
              <w:t>技术负责人不得为同一人</w:t>
            </w:r>
            <w:r>
              <w:rPr>
                <w:rFonts w:hint="eastAsia" w:asciiTheme="majorEastAsia" w:hAnsiTheme="majorEastAsia" w:eastAsiaTheme="majorEastAsia" w:cstheme="majorEastAsia"/>
                <w:color w:val="000000"/>
                <w:sz w:val="24"/>
                <w:szCs w:val="24"/>
                <w:highlight w:val="none"/>
                <w:lang w:eastAsia="zh-CN"/>
              </w:rPr>
              <w:t>。</w:t>
            </w:r>
          </w:p>
        </w:tc>
      </w:tr>
      <w:tr w14:paraId="4ADC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073AF0C5">
            <w:pPr>
              <w:spacing w:line="23" w:lineRule="atLeas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393939"/>
                <w:sz w:val="24"/>
                <w:szCs w:val="24"/>
                <w:highlight w:val="none"/>
              </w:rPr>
              <w:t>实施团队2</w:t>
            </w:r>
          </w:p>
        </w:tc>
        <w:tc>
          <w:tcPr>
            <w:tcW w:w="705" w:type="dxa"/>
            <w:vAlign w:val="center"/>
          </w:tcPr>
          <w:p w14:paraId="144DC98B">
            <w:pPr>
              <w:spacing w:line="23" w:lineRule="atLeas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393939"/>
                <w:sz w:val="24"/>
                <w:szCs w:val="24"/>
                <w:highlight w:val="none"/>
              </w:rPr>
              <w:t>2</w:t>
            </w:r>
          </w:p>
        </w:tc>
        <w:tc>
          <w:tcPr>
            <w:tcW w:w="7465" w:type="dxa"/>
            <w:vAlign w:val="center"/>
          </w:tcPr>
          <w:p w14:paraId="565F04A4">
            <w:pPr>
              <w:spacing w:line="23" w:lineRule="atLeas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rPr>
              <w:t>供应商拟派的项目经理为二级及以上机电工程专业注册建造师并同时持有合格有效的安全生产考核合格证书B证的得2分。须提供有效的证书原件的扫描件以及提交首次响应文件截止时间前六个月（不含提交响应文件截止时间的当月）中任一月份供应商为该人员缴纳的社会保障资金缴纳凭据复印件，未提供、提供不全或不符合要求的均不得分。项目经理与技术负责人不得为同一人。</w:t>
            </w:r>
          </w:p>
        </w:tc>
      </w:tr>
      <w:tr w14:paraId="0995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1748A5D2">
            <w:pPr>
              <w:spacing w:line="23" w:lineRule="atLeast"/>
              <w:rPr>
                <w:rFonts w:hint="eastAsia" w:asciiTheme="majorEastAsia" w:hAnsiTheme="majorEastAsia" w:eastAsiaTheme="majorEastAsia" w:cstheme="majorEastAsia"/>
                <w:color w:val="393939"/>
                <w:sz w:val="24"/>
                <w:szCs w:val="24"/>
                <w:highlight w:val="none"/>
              </w:rPr>
            </w:pPr>
            <w:r>
              <w:rPr>
                <w:rFonts w:hint="eastAsia" w:asciiTheme="majorEastAsia" w:hAnsiTheme="majorEastAsia" w:eastAsiaTheme="majorEastAsia" w:cstheme="majorEastAsia"/>
                <w:color w:val="393939"/>
                <w:sz w:val="24"/>
                <w:szCs w:val="24"/>
                <w:highlight w:val="none"/>
              </w:rPr>
              <w:t>实施团队3</w:t>
            </w:r>
          </w:p>
        </w:tc>
        <w:tc>
          <w:tcPr>
            <w:tcW w:w="705" w:type="dxa"/>
            <w:vAlign w:val="center"/>
          </w:tcPr>
          <w:p w14:paraId="0D52E918">
            <w:pPr>
              <w:spacing w:line="23" w:lineRule="atLeast"/>
              <w:jc w:val="center"/>
              <w:rPr>
                <w:rFonts w:hint="eastAsia" w:asciiTheme="majorEastAsia" w:hAnsiTheme="majorEastAsia" w:eastAsiaTheme="majorEastAsia" w:cstheme="majorEastAsia"/>
                <w:color w:val="393939"/>
                <w:sz w:val="24"/>
                <w:szCs w:val="24"/>
                <w:highlight w:val="none"/>
              </w:rPr>
            </w:pPr>
            <w:r>
              <w:rPr>
                <w:rFonts w:hint="eastAsia" w:asciiTheme="majorEastAsia" w:hAnsiTheme="majorEastAsia" w:eastAsiaTheme="majorEastAsia" w:cstheme="majorEastAsia"/>
                <w:color w:val="393939"/>
                <w:sz w:val="24"/>
                <w:szCs w:val="24"/>
                <w:highlight w:val="none"/>
              </w:rPr>
              <w:t>3</w:t>
            </w:r>
          </w:p>
        </w:tc>
        <w:tc>
          <w:tcPr>
            <w:tcW w:w="7465" w:type="dxa"/>
            <w:vAlign w:val="center"/>
          </w:tcPr>
          <w:p w14:paraId="3C3FFA15">
            <w:pPr>
              <w:spacing w:line="23" w:lineRule="atLeas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供应商拟派的项目技术负责人具有电气专业中级工程师及以上的得3分</w:t>
            </w:r>
            <w:r>
              <w:rPr>
                <w:rFonts w:hint="eastAsia" w:asciiTheme="majorEastAsia" w:hAnsiTheme="majorEastAsia" w:eastAsiaTheme="majorEastAsia" w:cstheme="majorEastAsia"/>
                <w:color w:val="000000"/>
                <w:sz w:val="24"/>
                <w:szCs w:val="24"/>
                <w:highlight w:val="none"/>
                <w:lang w:eastAsia="zh-CN"/>
              </w:rPr>
              <w:t>。</w:t>
            </w:r>
            <w:r>
              <w:rPr>
                <w:rFonts w:hint="eastAsia" w:asciiTheme="majorEastAsia" w:hAnsiTheme="majorEastAsia" w:eastAsiaTheme="majorEastAsia" w:cstheme="majorEastAsia"/>
                <w:color w:val="000000"/>
                <w:sz w:val="24"/>
                <w:szCs w:val="24"/>
                <w:highlight w:val="none"/>
              </w:rPr>
              <w:t>须提供有效的证书原件的扫描件以及提交首次响应文件截止时间前六个月（不含提交响应文件截止时间的当月）中任一月份供应商为该人员缴纳的社会保障资金缴纳凭据复印件，未提供、提供不全或不符合要求的均不得分。项目经理与技术负责人不得为同一人。</w:t>
            </w:r>
          </w:p>
        </w:tc>
      </w:tr>
      <w:tr w14:paraId="275B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21946383">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rPr>
              <w:t>施工方案</w:t>
            </w:r>
          </w:p>
        </w:tc>
        <w:tc>
          <w:tcPr>
            <w:tcW w:w="705" w:type="dxa"/>
            <w:vAlign w:val="center"/>
          </w:tcPr>
          <w:p w14:paraId="3A499922">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7465" w:type="dxa"/>
            <w:vAlign w:val="center"/>
          </w:tcPr>
          <w:p w14:paraId="7B9BCB7E">
            <w:pPr>
              <w:adjustRightInd/>
              <w:snapToGrid/>
              <w:spacing w:after="0" w:line="480" w:lineRule="exac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rPr>
              <w:t>投标人针对工程实际情况提交施工方案，施工流程和施工顺序，根据科学、合理情况，由评委进行评分，符合项目特点，方案详细，科学合理，可操作性强的得3分；方案详细，整体操作一般得2</w:t>
            </w:r>
            <w:r>
              <w:rPr>
                <w:rFonts w:hint="eastAsia" w:asciiTheme="majorEastAsia" w:hAnsiTheme="majorEastAsia" w:eastAsiaTheme="majorEastAsia" w:cstheme="majorEastAsia"/>
                <w:color w:val="000000"/>
                <w:sz w:val="24"/>
                <w:szCs w:val="24"/>
                <w:highlight w:val="none"/>
                <w:lang w:val="en-US" w:eastAsia="zh-CN"/>
              </w:rPr>
              <w:t>.6</w:t>
            </w:r>
            <w:r>
              <w:rPr>
                <w:rFonts w:hint="eastAsia" w:asciiTheme="majorEastAsia" w:hAnsiTheme="majorEastAsia" w:eastAsiaTheme="majorEastAsia" w:cstheme="majorEastAsia"/>
                <w:color w:val="000000"/>
                <w:sz w:val="24"/>
                <w:szCs w:val="24"/>
                <w:highlight w:val="none"/>
              </w:rPr>
              <w:t>分；方案简短，但整体仍可操作的得</w:t>
            </w:r>
            <w:r>
              <w:rPr>
                <w:rFonts w:hint="eastAsia" w:asciiTheme="majorEastAsia" w:hAnsiTheme="majorEastAsia" w:eastAsiaTheme="majorEastAsia" w:cstheme="majorEastAsia"/>
                <w:color w:val="000000"/>
                <w:sz w:val="24"/>
                <w:szCs w:val="24"/>
                <w:highlight w:val="none"/>
                <w:lang w:val="en-US" w:eastAsia="zh-CN"/>
              </w:rPr>
              <w:t>2.25</w:t>
            </w:r>
            <w:r>
              <w:rPr>
                <w:rFonts w:hint="eastAsia" w:asciiTheme="majorEastAsia" w:hAnsiTheme="majorEastAsia" w:eastAsiaTheme="majorEastAsia" w:cstheme="majorEastAsia"/>
                <w:color w:val="000000"/>
                <w:sz w:val="24"/>
                <w:szCs w:val="24"/>
                <w:highlight w:val="none"/>
              </w:rPr>
              <w:t>分；未提供不得分。</w:t>
            </w:r>
          </w:p>
        </w:tc>
      </w:tr>
      <w:tr w14:paraId="31D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2" w:hRule="atLeast"/>
          <w:jc w:val="center"/>
        </w:trPr>
        <w:tc>
          <w:tcPr>
            <w:tcW w:w="1352" w:type="dxa"/>
            <w:vAlign w:val="center"/>
          </w:tcPr>
          <w:p w14:paraId="7DEC3343">
            <w:pPr>
              <w:adjustRightInd/>
              <w:snapToGrid/>
              <w:spacing w:after="0" w:line="480" w:lineRule="exact"/>
              <w:jc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质量控制体系</w:t>
            </w:r>
          </w:p>
        </w:tc>
        <w:tc>
          <w:tcPr>
            <w:tcW w:w="705" w:type="dxa"/>
            <w:vAlign w:val="center"/>
          </w:tcPr>
          <w:p w14:paraId="48727F6A">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7465" w:type="dxa"/>
            <w:vAlign w:val="center"/>
          </w:tcPr>
          <w:p w14:paraId="3E972DD3">
            <w:pPr>
              <w:adjustRightInd/>
              <w:snapToGrid/>
              <w:spacing w:after="0" w:line="480" w:lineRule="exac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投标人需提供合理优质的质量控制详细承诺方案，方案内容包括货物质量和安装施工质量，货物的安全控制，施工场所的安全施工等承诺，由评委进行评分，符合项目特点，方案详细，科学合理，可操作性强的得3分；方案详细，整体操作一般得2</w:t>
            </w:r>
            <w:r>
              <w:rPr>
                <w:rFonts w:hint="eastAsia" w:asciiTheme="majorEastAsia" w:hAnsiTheme="majorEastAsia" w:eastAsiaTheme="majorEastAsia" w:cstheme="majorEastAsia"/>
                <w:color w:val="000000"/>
                <w:sz w:val="24"/>
                <w:szCs w:val="24"/>
                <w:highlight w:val="none"/>
                <w:lang w:val="en-US" w:eastAsia="zh-CN"/>
              </w:rPr>
              <w:t>.6</w:t>
            </w:r>
            <w:r>
              <w:rPr>
                <w:rFonts w:hint="eastAsia" w:asciiTheme="majorEastAsia" w:hAnsiTheme="majorEastAsia" w:eastAsiaTheme="majorEastAsia" w:cstheme="majorEastAsia"/>
                <w:color w:val="000000"/>
                <w:sz w:val="24"/>
                <w:szCs w:val="24"/>
                <w:highlight w:val="none"/>
              </w:rPr>
              <w:t>分；方案简短，但整体仍可操作的得</w:t>
            </w:r>
            <w:r>
              <w:rPr>
                <w:rFonts w:hint="eastAsia" w:asciiTheme="majorEastAsia" w:hAnsiTheme="majorEastAsia" w:eastAsiaTheme="majorEastAsia" w:cstheme="majorEastAsia"/>
                <w:color w:val="000000"/>
                <w:sz w:val="24"/>
                <w:szCs w:val="24"/>
                <w:highlight w:val="none"/>
                <w:lang w:val="en-US" w:eastAsia="zh-CN"/>
              </w:rPr>
              <w:t>2.25</w:t>
            </w:r>
            <w:r>
              <w:rPr>
                <w:rFonts w:hint="eastAsia" w:asciiTheme="majorEastAsia" w:hAnsiTheme="majorEastAsia" w:eastAsiaTheme="majorEastAsia" w:cstheme="majorEastAsia"/>
                <w:color w:val="000000"/>
                <w:sz w:val="24"/>
                <w:szCs w:val="24"/>
                <w:highlight w:val="none"/>
              </w:rPr>
              <w:t>分；未提供不得分。</w:t>
            </w:r>
          </w:p>
        </w:tc>
      </w:tr>
      <w:tr w14:paraId="2F2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458499FA">
            <w:pPr>
              <w:adjustRightInd/>
              <w:snapToGrid/>
              <w:spacing w:after="0" w:line="480" w:lineRule="exact"/>
              <w:jc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安全管理措施</w:t>
            </w:r>
          </w:p>
        </w:tc>
        <w:tc>
          <w:tcPr>
            <w:tcW w:w="705" w:type="dxa"/>
            <w:vAlign w:val="center"/>
          </w:tcPr>
          <w:p w14:paraId="46F87A47">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7465" w:type="dxa"/>
            <w:vAlign w:val="center"/>
          </w:tcPr>
          <w:p w14:paraId="22D5C2A2">
            <w:pPr>
              <w:adjustRightInd/>
              <w:snapToGrid/>
              <w:spacing w:after="0" w:line="480" w:lineRule="exac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要求投标人针对工程的实际情况编制保证安全目标的措施，施工安全等类似施工安装条款等承诺，由评委进行评分，方案详细，科学合理，可操作性强的得3分；方案详细，整体操作一般得2</w:t>
            </w:r>
            <w:r>
              <w:rPr>
                <w:rFonts w:hint="eastAsia" w:asciiTheme="majorEastAsia" w:hAnsiTheme="majorEastAsia" w:eastAsiaTheme="majorEastAsia" w:cstheme="majorEastAsia"/>
                <w:color w:val="000000"/>
                <w:sz w:val="24"/>
                <w:szCs w:val="24"/>
                <w:highlight w:val="none"/>
                <w:lang w:val="en-US" w:eastAsia="zh-CN"/>
              </w:rPr>
              <w:t>.6</w:t>
            </w:r>
            <w:r>
              <w:rPr>
                <w:rFonts w:hint="eastAsia" w:asciiTheme="majorEastAsia" w:hAnsiTheme="majorEastAsia" w:eastAsiaTheme="majorEastAsia" w:cstheme="majorEastAsia"/>
                <w:color w:val="000000"/>
                <w:sz w:val="24"/>
                <w:szCs w:val="24"/>
                <w:highlight w:val="none"/>
              </w:rPr>
              <w:t>分；方案简短，但整体仍可操作的得</w:t>
            </w:r>
            <w:r>
              <w:rPr>
                <w:rFonts w:hint="eastAsia" w:asciiTheme="majorEastAsia" w:hAnsiTheme="majorEastAsia" w:eastAsiaTheme="majorEastAsia" w:cstheme="majorEastAsia"/>
                <w:color w:val="000000"/>
                <w:sz w:val="24"/>
                <w:szCs w:val="24"/>
                <w:highlight w:val="none"/>
                <w:lang w:val="en-US" w:eastAsia="zh-CN"/>
              </w:rPr>
              <w:t>2.25</w:t>
            </w:r>
            <w:r>
              <w:rPr>
                <w:rFonts w:hint="eastAsia" w:asciiTheme="majorEastAsia" w:hAnsiTheme="majorEastAsia" w:eastAsiaTheme="majorEastAsia" w:cstheme="majorEastAsia"/>
                <w:color w:val="000000"/>
                <w:sz w:val="24"/>
                <w:szCs w:val="24"/>
                <w:highlight w:val="none"/>
              </w:rPr>
              <w:t>分；未提供不得分。</w:t>
            </w:r>
          </w:p>
        </w:tc>
      </w:tr>
      <w:tr w14:paraId="395C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5BAE8B1B">
            <w:pPr>
              <w:adjustRightInd/>
              <w:snapToGrid/>
              <w:spacing w:after="0" w:line="480" w:lineRule="exact"/>
              <w:jc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响应速度等情况</w:t>
            </w:r>
          </w:p>
        </w:tc>
        <w:tc>
          <w:tcPr>
            <w:tcW w:w="705" w:type="dxa"/>
            <w:vAlign w:val="center"/>
          </w:tcPr>
          <w:p w14:paraId="69059233">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7465" w:type="dxa"/>
            <w:vAlign w:val="center"/>
          </w:tcPr>
          <w:p w14:paraId="52A0B93C">
            <w:pPr>
              <w:adjustRightInd/>
              <w:snapToGrid/>
              <w:spacing w:after="0" w:line="480" w:lineRule="exac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根据各供应商承诺的故障抢修响应时间进行评分：承诺0.5小时内响应、2小时内上门抢修维护的得</w:t>
            </w:r>
            <w:r>
              <w:rPr>
                <w:rFonts w:hint="eastAsia" w:asciiTheme="majorEastAsia" w:hAnsiTheme="majorEastAsia" w:eastAsiaTheme="majorEastAsia" w:cstheme="majorEastAsia"/>
                <w:color w:val="000000"/>
                <w:sz w:val="24"/>
                <w:szCs w:val="24"/>
                <w:highlight w:val="none"/>
                <w:lang w:val="en-US" w:eastAsia="zh-CN"/>
              </w:rPr>
              <w:t>3</w:t>
            </w:r>
            <w:r>
              <w:rPr>
                <w:rFonts w:hint="eastAsia" w:asciiTheme="majorEastAsia" w:hAnsiTheme="majorEastAsia" w:eastAsiaTheme="majorEastAsia" w:cstheme="majorEastAsia"/>
                <w:color w:val="000000"/>
                <w:sz w:val="24"/>
                <w:szCs w:val="24"/>
                <w:highlight w:val="none"/>
              </w:rPr>
              <w:t>分；0.5小时内响应，3小时内上门抢修维护的得</w:t>
            </w:r>
            <w:r>
              <w:rPr>
                <w:rFonts w:hint="eastAsia" w:asciiTheme="majorEastAsia" w:hAnsiTheme="majorEastAsia" w:eastAsiaTheme="majorEastAsia" w:cstheme="majorEastAsia"/>
                <w:color w:val="000000"/>
                <w:sz w:val="24"/>
                <w:szCs w:val="24"/>
                <w:highlight w:val="none"/>
                <w:lang w:val="en-US" w:eastAsia="zh-CN"/>
              </w:rPr>
              <w:t>2</w:t>
            </w:r>
            <w:r>
              <w:rPr>
                <w:rFonts w:hint="eastAsia" w:asciiTheme="majorEastAsia" w:hAnsiTheme="majorEastAsia" w:eastAsiaTheme="majorEastAsia" w:cstheme="majorEastAsia"/>
                <w:color w:val="000000"/>
                <w:sz w:val="24"/>
                <w:szCs w:val="24"/>
                <w:highlight w:val="none"/>
              </w:rPr>
              <w:t>分；0.5小时内响应，4小时内上门抢修维护的得1分；其余情况不得分。【须提供承诺函，承诺函格式自拟，否则不得分】</w:t>
            </w:r>
          </w:p>
        </w:tc>
      </w:tr>
      <w:tr w14:paraId="367D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52" w:type="dxa"/>
            <w:vAlign w:val="center"/>
          </w:tcPr>
          <w:p w14:paraId="27CE7DF1">
            <w:pPr>
              <w:adjustRightInd/>
              <w:snapToGrid/>
              <w:spacing w:after="0" w:line="480" w:lineRule="exact"/>
              <w:jc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售后服务方案</w:t>
            </w:r>
          </w:p>
        </w:tc>
        <w:tc>
          <w:tcPr>
            <w:tcW w:w="705" w:type="dxa"/>
            <w:vAlign w:val="center"/>
          </w:tcPr>
          <w:p w14:paraId="134A3007">
            <w:pPr>
              <w:adjustRightInd/>
              <w:snapToGrid/>
              <w:spacing w:after="0" w:line="48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7465" w:type="dxa"/>
            <w:vAlign w:val="center"/>
          </w:tcPr>
          <w:p w14:paraId="78B3544F">
            <w:pPr>
              <w:adjustRightInd/>
              <w:snapToGrid/>
              <w:spacing w:after="0" w:line="480" w:lineRule="exac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根据供应商提供的售后服务方案（包括质保期内和质保期满后的售后维护服务、故障响应情况、拟派售后服务人员情况等）进行评分：服务方案完整至少包括以上内容、方案合理且针对性强的得3分；方案较完整或较合理或针对性较好的得</w:t>
            </w:r>
            <w:r>
              <w:rPr>
                <w:rFonts w:hint="eastAsia" w:asciiTheme="majorEastAsia" w:hAnsiTheme="majorEastAsia" w:eastAsiaTheme="majorEastAsia" w:cstheme="majorEastAsia"/>
                <w:color w:val="000000"/>
                <w:sz w:val="24"/>
                <w:szCs w:val="24"/>
                <w:highlight w:val="none"/>
                <w:lang w:val="en-US" w:eastAsia="zh-CN"/>
              </w:rPr>
              <w:t>2.6</w:t>
            </w:r>
            <w:r>
              <w:rPr>
                <w:rFonts w:hint="eastAsia" w:asciiTheme="majorEastAsia" w:hAnsiTheme="majorEastAsia" w:eastAsiaTheme="majorEastAsia" w:cstheme="majorEastAsia"/>
                <w:color w:val="000000"/>
                <w:sz w:val="24"/>
                <w:szCs w:val="24"/>
                <w:highlight w:val="none"/>
              </w:rPr>
              <w:t>分；方案完整性或合理性一般或针对性较差的得</w:t>
            </w:r>
            <w:r>
              <w:rPr>
                <w:rFonts w:hint="eastAsia" w:asciiTheme="majorEastAsia" w:hAnsiTheme="majorEastAsia" w:eastAsiaTheme="majorEastAsia" w:cstheme="majorEastAsia"/>
                <w:color w:val="000000"/>
                <w:sz w:val="24"/>
                <w:szCs w:val="24"/>
                <w:highlight w:val="none"/>
                <w:lang w:val="en-US" w:eastAsia="zh-CN"/>
              </w:rPr>
              <w:t>2.25</w:t>
            </w:r>
            <w:r>
              <w:rPr>
                <w:rFonts w:hint="eastAsia" w:asciiTheme="majorEastAsia" w:hAnsiTheme="majorEastAsia" w:eastAsiaTheme="majorEastAsia" w:cstheme="majorEastAsia"/>
                <w:color w:val="000000"/>
                <w:sz w:val="24"/>
                <w:szCs w:val="24"/>
                <w:highlight w:val="none"/>
              </w:rPr>
              <w:t>分；未提供的不得分。</w:t>
            </w:r>
          </w:p>
        </w:tc>
      </w:tr>
    </w:tbl>
    <w:p w14:paraId="576209DE">
      <w:pPr>
        <w:spacing w:line="480" w:lineRule="exact"/>
        <w:rPr>
          <w:rFonts w:hint="eastAsia" w:asciiTheme="majorEastAsia" w:hAnsiTheme="majorEastAsia" w:eastAsiaTheme="majorEastAsia" w:cstheme="majorEastAsia"/>
          <w:bCs/>
          <w:sz w:val="24"/>
          <w:szCs w:val="24"/>
          <w:highlight w:val="none"/>
        </w:rPr>
      </w:pPr>
    </w:p>
    <w:p w14:paraId="152C9968">
      <w:pPr>
        <w:spacing w:line="480" w:lineRule="exact"/>
        <w:rPr>
          <w:rFonts w:hint="eastAsia" w:asciiTheme="majorEastAsia" w:hAnsiTheme="majorEastAsia" w:eastAsiaTheme="majorEastAsia" w:cstheme="majorEastAsia"/>
          <w:b/>
          <w:bCs w:val="0"/>
          <w:sz w:val="28"/>
          <w:szCs w:val="28"/>
          <w:highlight w:val="none"/>
          <w:lang w:eastAsia="zh-CN"/>
        </w:rPr>
      </w:pPr>
      <w:r>
        <w:rPr>
          <w:rFonts w:hint="eastAsia" w:asciiTheme="majorEastAsia" w:hAnsiTheme="majorEastAsia" w:eastAsiaTheme="majorEastAsia" w:cstheme="majorEastAsia"/>
          <w:b/>
          <w:bCs w:val="0"/>
          <w:sz w:val="28"/>
          <w:szCs w:val="28"/>
          <w:highlight w:val="none"/>
          <w:lang w:val="en-US" w:eastAsia="zh-CN"/>
        </w:rPr>
        <w:t>其他</w:t>
      </w:r>
      <w:r>
        <w:rPr>
          <w:rFonts w:hint="eastAsia" w:asciiTheme="majorEastAsia" w:hAnsiTheme="majorEastAsia" w:eastAsiaTheme="majorEastAsia" w:cstheme="majorEastAsia"/>
          <w:b/>
          <w:bCs w:val="0"/>
          <w:sz w:val="28"/>
          <w:szCs w:val="28"/>
          <w:highlight w:val="none"/>
          <w:lang w:eastAsia="zh-CN"/>
        </w:rPr>
        <w:t>商务要求：</w:t>
      </w:r>
    </w:p>
    <w:p w14:paraId="7C54DB89">
      <w:pPr>
        <w:pStyle w:val="13"/>
        <w:numPr>
          <w:ilvl w:val="0"/>
          <w:numId w:val="0"/>
        </w:numPr>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1、</w:t>
      </w:r>
      <w:r>
        <w:rPr>
          <w:rFonts w:hint="eastAsia" w:asciiTheme="majorEastAsia" w:hAnsiTheme="majorEastAsia" w:eastAsiaTheme="majorEastAsia" w:cstheme="majorEastAsia"/>
          <w:color w:val="auto"/>
          <w:sz w:val="24"/>
          <w:szCs w:val="24"/>
          <w:highlight w:val="none"/>
          <w:shd w:val="clear" w:color="auto" w:fill="FFFFFF"/>
        </w:rPr>
        <w:t>交货条件</w:t>
      </w:r>
    </w:p>
    <w:p w14:paraId="0FBC0076">
      <w:pPr>
        <w:pStyle w:val="13"/>
        <w:numPr>
          <w:ilvl w:val="0"/>
          <w:numId w:val="0"/>
        </w:numPr>
        <w:ind w:firstLine="480" w:firstLineChars="200"/>
        <w:rPr>
          <w:rFonts w:hint="eastAsia" w:asciiTheme="majorEastAsia" w:hAnsiTheme="majorEastAsia" w:eastAsiaTheme="majorEastAsia" w:cstheme="majorEastAsia"/>
          <w:color w:val="auto"/>
          <w:sz w:val="24"/>
          <w:szCs w:val="24"/>
          <w:highlight w:val="none"/>
          <w:shd w:val="clear" w:color="auto" w:fill="FFFFFF"/>
          <w:lang w:eastAsia="zh-CN"/>
        </w:rPr>
      </w:pPr>
      <w:r>
        <w:rPr>
          <w:rFonts w:hint="eastAsia" w:asciiTheme="majorEastAsia" w:hAnsiTheme="majorEastAsia" w:eastAsiaTheme="majorEastAsia" w:cstheme="majorEastAsia"/>
          <w:color w:val="auto"/>
          <w:sz w:val="24"/>
          <w:szCs w:val="24"/>
          <w:highlight w:val="none"/>
          <w:shd w:val="clear" w:color="auto" w:fill="FFFFFF"/>
        </w:rPr>
        <w:t>按工程量清单及采购人需求等进行规范施工，符合《工程施工质量验收规范》、《电缆线路施工及验收规范(GB-50168-2006)》、《GB50303-2015建筑电气工程施工质量验收规范》等标准；满足安全通电使用要求</w:t>
      </w:r>
      <w:r>
        <w:rPr>
          <w:rFonts w:hint="eastAsia" w:asciiTheme="majorEastAsia" w:hAnsiTheme="majorEastAsia" w:eastAsiaTheme="majorEastAsia" w:cstheme="majorEastAsia"/>
          <w:color w:val="auto"/>
          <w:sz w:val="24"/>
          <w:szCs w:val="24"/>
          <w:highlight w:val="none"/>
          <w:shd w:val="clear" w:color="auto" w:fill="FFFFFF"/>
          <w:lang w:eastAsia="zh-CN"/>
        </w:rPr>
        <w:t>。</w:t>
      </w:r>
    </w:p>
    <w:p w14:paraId="7A23F6B8">
      <w:pPr>
        <w:pStyle w:val="13"/>
        <w:numPr>
          <w:ilvl w:val="0"/>
          <w:numId w:val="0"/>
        </w:numPr>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2、</w:t>
      </w:r>
      <w:r>
        <w:rPr>
          <w:rFonts w:hint="eastAsia" w:asciiTheme="majorEastAsia" w:hAnsiTheme="majorEastAsia" w:eastAsiaTheme="majorEastAsia" w:cstheme="majorEastAsia"/>
          <w:color w:val="auto"/>
          <w:sz w:val="24"/>
          <w:szCs w:val="24"/>
          <w:highlight w:val="none"/>
          <w:shd w:val="clear" w:color="auto" w:fill="FFFFFF"/>
        </w:rPr>
        <w:t>履约验收方式</w:t>
      </w:r>
    </w:p>
    <w:p w14:paraId="6394C421">
      <w:pPr>
        <w:pStyle w:val="13"/>
        <w:numPr>
          <w:ilvl w:val="0"/>
          <w:numId w:val="0"/>
        </w:numPr>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按磋商文件、响应文件、设计方案、采购合同以及国家相关行业标准进行验收。工程质量符合国家现行、电力行业《工程施工质量验收规范》、《建筑电气工程施工质量验收规范》和《电气装置安装工程电缆线路施工及验收标准》及其他国家有关施工、验收规范，且通过采购人和工程项目当地电力主管部门验收合格后。满足安全通电使用要求。</w:t>
      </w:r>
    </w:p>
    <w:p w14:paraId="520ED3CB">
      <w:pPr>
        <w:pStyle w:val="13"/>
        <w:numPr>
          <w:ilvl w:val="0"/>
          <w:numId w:val="0"/>
        </w:numPr>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3</w:t>
      </w:r>
      <w:r>
        <w:rPr>
          <w:rFonts w:hint="eastAsia" w:asciiTheme="majorEastAsia" w:hAnsiTheme="majorEastAsia" w:eastAsiaTheme="majorEastAsia" w:cstheme="majorEastAsia"/>
          <w:color w:val="auto"/>
          <w:sz w:val="24"/>
          <w:szCs w:val="24"/>
          <w:highlight w:val="none"/>
          <w:shd w:val="clear" w:color="auto" w:fill="FFFFFF"/>
        </w:rPr>
        <w:t>、售后服务</w:t>
      </w:r>
    </w:p>
    <w:p w14:paraId="369CAA4C">
      <w:pPr>
        <w:pStyle w:val="13"/>
        <w:numPr>
          <w:ilvl w:val="0"/>
          <w:numId w:val="0"/>
        </w:numPr>
        <w:ind w:firstLine="480" w:firstLineChars="200"/>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3</w:t>
      </w:r>
      <w:r>
        <w:rPr>
          <w:rFonts w:hint="eastAsia" w:asciiTheme="majorEastAsia" w:hAnsiTheme="majorEastAsia" w:eastAsiaTheme="majorEastAsia" w:cstheme="majorEastAsia"/>
          <w:color w:val="auto"/>
          <w:sz w:val="24"/>
          <w:szCs w:val="24"/>
          <w:highlight w:val="none"/>
          <w:shd w:val="clear" w:color="auto" w:fill="FFFFFF"/>
        </w:rPr>
        <w:t>.1本项目工程维保期限为</w:t>
      </w:r>
      <w:r>
        <w:rPr>
          <w:rFonts w:hint="eastAsia" w:asciiTheme="majorEastAsia" w:hAnsiTheme="majorEastAsia" w:eastAsiaTheme="majorEastAsia" w:cstheme="majorEastAsia"/>
          <w:color w:val="auto"/>
          <w:sz w:val="24"/>
          <w:szCs w:val="24"/>
          <w:highlight w:val="none"/>
          <w:shd w:val="clear" w:color="auto" w:fill="FFFFFF"/>
          <w:lang w:val="en-US" w:eastAsia="zh-CN"/>
        </w:rPr>
        <w:t>3</w:t>
      </w:r>
      <w:r>
        <w:rPr>
          <w:rFonts w:hint="eastAsia" w:asciiTheme="majorEastAsia" w:hAnsiTheme="majorEastAsia" w:eastAsiaTheme="majorEastAsia" w:cstheme="majorEastAsia"/>
          <w:color w:val="auto"/>
          <w:sz w:val="24"/>
          <w:szCs w:val="24"/>
          <w:highlight w:val="none"/>
          <w:shd w:val="clear" w:color="auto" w:fill="FFFFFF"/>
        </w:rPr>
        <w:t>年，维保期从工程实际完工竣工验收合格之日算起。成交人应具备相应的维护保养服务能力，包括拥有本次所安装设施的备品配件、专用设备和专业技术人员，对本项目所有设备设施进行最少</w:t>
      </w:r>
      <w:r>
        <w:rPr>
          <w:rFonts w:hint="eastAsia" w:asciiTheme="majorEastAsia" w:hAnsiTheme="majorEastAsia" w:eastAsiaTheme="majorEastAsia" w:cstheme="majorEastAsia"/>
          <w:color w:val="auto"/>
          <w:sz w:val="24"/>
          <w:szCs w:val="24"/>
          <w:highlight w:val="none"/>
          <w:shd w:val="clear" w:color="auto" w:fill="FFFFFF"/>
          <w:lang w:val="en-US" w:eastAsia="zh-CN"/>
        </w:rPr>
        <w:t>3</w:t>
      </w:r>
      <w:r>
        <w:rPr>
          <w:rFonts w:hint="eastAsia" w:asciiTheme="majorEastAsia" w:hAnsiTheme="majorEastAsia" w:eastAsiaTheme="majorEastAsia" w:cstheme="majorEastAsia"/>
          <w:color w:val="auto"/>
          <w:sz w:val="24"/>
          <w:szCs w:val="24"/>
          <w:highlight w:val="none"/>
          <w:shd w:val="clear" w:color="auto" w:fill="FFFFFF"/>
        </w:rPr>
        <w:t>年的免费维护和修理。保修期内，成交人须有属本公司的可随时上门作维修及检测的工程师、维修人员，接到采购人故障报修通知后，响应时间不超过0.5小时，并能在6小时内上门维修。同时，成交方需在24小时内安排专业技术人员（包括负责联系生产厂家技术人员到现场）排除故障或提供备件服务。</w:t>
      </w:r>
    </w:p>
    <w:p w14:paraId="3D4E9BB1">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3</w:t>
      </w:r>
      <w:r>
        <w:rPr>
          <w:rFonts w:hint="eastAsia" w:asciiTheme="majorEastAsia" w:hAnsiTheme="majorEastAsia" w:eastAsiaTheme="majorEastAsia" w:cstheme="majorEastAsia"/>
          <w:color w:val="auto"/>
          <w:sz w:val="24"/>
          <w:szCs w:val="24"/>
          <w:highlight w:val="none"/>
          <w:shd w:val="clear" w:color="auto" w:fill="FFFFFF"/>
        </w:rPr>
        <w:t>.2维修完成后，由采购人组织验收。</w:t>
      </w:r>
    </w:p>
    <w:p w14:paraId="0B5FB620">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、违约责任</w:t>
      </w:r>
    </w:p>
    <w:p w14:paraId="62B23C23">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1因成交人原因造成采购合同无法按时签订，视为成交人违约，采购人有权按照合同总金额的10%要求成交人承担违约责任。在签定采购合同之后，成交人要求解除合同的，视为成交人违约，采购人有权按照合同总金额的10%要求成交人承担违约责任。</w:t>
      </w:r>
    </w:p>
    <w:p w14:paraId="51F12118">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.2因成交人原因发生重大质量事故，除依约承担赔偿责任外，还将按有关质量管理办法规定执行。同时，采购人有权保留更换成交人的权利，并报相关行政主管部门处罚。</w:t>
      </w:r>
    </w:p>
    <w:p w14:paraId="16B2222C">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成交人还应承担赔偿责任。</w:t>
      </w:r>
    </w:p>
    <w:p w14:paraId="4F18DBF6">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.4在明确违约责任后，成交人应在接到书面通知书起七天内支付违约金、赔偿金等。</w:t>
      </w:r>
    </w:p>
    <w:p w14:paraId="72735799">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.5总工期每延误一天，成交人应向采购人支付</w:t>
      </w:r>
      <w:r>
        <w:rPr>
          <w:rFonts w:hint="eastAsia" w:asciiTheme="majorEastAsia" w:hAnsiTheme="majorEastAsia" w:eastAsiaTheme="majorEastAsia" w:cstheme="majorEastAsia"/>
          <w:color w:val="auto"/>
          <w:sz w:val="24"/>
          <w:szCs w:val="24"/>
          <w:highlight w:val="none"/>
          <w:shd w:val="clear" w:color="auto" w:fill="FFFFFF"/>
          <w:lang w:val="en-US" w:eastAsia="zh-CN"/>
        </w:rPr>
        <w:t>1</w:t>
      </w:r>
      <w:r>
        <w:rPr>
          <w:rFonts w:hint="eastAsia" w:asciiTheme="majorEastAsia" w:hAnsiTheme="majorEastAsia" w:eastAsiaTheme="majorEastAsia" w:cstheme="majorEastAsia"/>
          <w:color w:val="auto"/>
          <w:sz w:val="24"/>
          <w:szCs w:val="24"/>
          <w:highlight w:val="none"/>
          <w:shd w:val="clear" w:color="auto" w:fill="FFFFFF"/>
        </w:rPr>
        <w:t>000元人民币的违约金，由采购人直接从工程款中扣抵；逾期竣工违约金的限额:合同价款的</w:t>
      </w:r>
      <w:r>
        <w:rPr>
          <w:rFonts w:hint="eastAsia" w:asciiTheme="majorEastAsia" w:hAnsiTheme="majorEastAsia" w:eastAsiaTheme="majorEastAsia" w:cstheme="majorEastAsia"/>
          <w:color w:val="auto"/>
          <w:sz w:val="24"/>
          <w:szCs w:val="24"/>
          <w:highlight w:val="none"/>
          <w:shd w:val="clear" w:color="auto" w:fill="FFFFFF"/>
          <w:lang w:val="en-US" w:eastAsia="zh-CN"/>
        </w:rPr>
        <w:t>10</w:t>
      </w:r>
      <w:r>
        <w:rPr>
          <w:rFonts w:hint="eastAsia" w:asciiTheme="majorEastAsia" w:hAnsiTheme="majorEastAsia" w:eastAsiaTheme="majorEastAsia" w:cstheme="majorEastAsia"/>
          <w:color w:val="auto"/>
          <w:sz w:val="24"/>
          <w:szCs w:val="24"/>
          <w:highlight w:val="none"/>
          <w:shd w:val="clear" w:color="auto" w:fill="FFFFFF"/>
        </w:rPr>
        <w:t>％；逾期超过30天且未经采购人书面同意的，采购人有权解除合同，由此产生的责任全部由成交人负责，造成的损失采购人有权向成交人收取赔偿。</w:t>
      </w:r>
    </w:p>
    <w:p w14:paraId="59564E4F">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.6如果成交人未能按照合同约定履行免费维修义务的（不可抗力除外）或者未按承诺的时间上门抢修维护，每次应向采购人支付违约金2000元。</w:t>
      </w:r>
    </w:p>
    <w:p w14:paraId="504DB54E">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.7除不可抗力外, 成交人变更项目负责人或项目技术负责人，每人每次向采购人交纳2万元违约金；其他管理人员每人每次向采购人交纳 1 万元违约金。</w:t>
      </w:r>
    </w:p>
    <w:p w14:paraId="75D871ED">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8供应商施工期间须组织队伍进行文明施工和安全施工等，保证零投诉，如有收到投诉，并经采购方确认属于供应商原因造成的，将给予相应罚款处理，每次罚款1000/元，从工程款中扣除，并负责处理好相关投诉事件；出现三次及以上的，采购方有权要求供应商停工整改，并承担相应的责任。</w:t>
      </w:r>
    </w:p>
    <w:p w14:paraId="779EE5E9">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4</w:t>
      </w:r>
      <w:r>
        <w:rPr>
          <w:rFonts w:hint="eastAsia" w:asciiTheme="majorEastAsia" w:hAnsiTheme="majorEastAsia" w:eastAsiaTheme="majorEastAsia" w:cstheme="majorEastAsia"/>
          <w:color w:val="auto"/>
          <w:sz w:val="24"/>
          <w:szCs w:val="24"/>
          <w:highlight w:val="none"/>
          <w:shd w:val="clear" w:color="auto" w:fill="FFFFFF"/>
        </w:rPr>
        <w:t>.9合同执行期间，中标供应商不允许以任何名义和理由全部转包或部分分包，如有发现，视为成交人违约，采购人有权单方面解除合同，并按照合同总金额的10%要求乙方承担违约责任。</w:t>
      </w:r>
    </w:p>
    <w:p w14:paraId="21ADCEC9">
      <w:pPr>
        <w:pStyle w:val="13"/>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lang w:val="en-US" w:eastAsia="zh-CN"/>
        </w:rPr>
        <w:t>4.10</w:t>
      </w:r>
      <w:r>
        <w:rPr>
          <w:rFonts w:hint="eastAsia" w:asciiTheme="majorEastAsia" w:hAnsiTheme="majorEastAsia" w:eastAsiaTheme="majorEastAsia" w:cstheme="majorEastAsia"/>
          <w:color w:val="auto"/>
          <w:sz w:val="24"/>
          <w:szCs w:val="24"/>
          <w:highlight w:val="none"/>
        </w:rPr>
        <w:t>、如成交后提供的产品与</w:t>
      </w:r>
      <w:r>
        <w:rPr>
          <w:rFonts w:hint="eastAsia" w:asciiTheme="majorEastAsia" w:hAnsiTheme="majorEastAsia" w:eastAsiaTheme="majorEastAsia" w:cstheme="majorEastAsia"/>
          <w:color w:val="auto"/>
          <w:sz w:val="24"/>
          <w:szCs w:val="24"/>
          <w:highlight w:val="none"/>
          <w:lang w:val="en-US" w:eastAsia="zh-CN"/>
        </w:rPr>
        <w:t>招标</w:t>
      </w:r>
      <w:r>
        <w:rPr>
          <w:rFonts w:hint="eastAsia" w:asciiTheme="majorEastAsia" w:hAnsiTheme="majorEastAsia" w:eastAsiaTheme="majorEastAsia" w:cstheme="majorEastAsia"/>
          <w:color w:val="auto"/>
          <w:sz w:val="24"/>
          <w:szCs w:val="24"/>
          <w:highlight w:val="none"/>
        </w:rPr>
        <w:t>要求不符，采购人将拒绝验收，由此带来的一切损失将由成交人负责。</w:t>
      </w:r>
    </w:p>
    <w:p w14:paraId="21E9E125">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5</w:t>
      </w:r>
      <w:r>
        <w:rPr>
          <w:rFonts w:hint="eastAsia" w:asciiTheme="majorEastAsia" w:hAnsiTheme="majorEastAsia" w:eastAsiaTheme="majorEastAsia" w:cstheme="majorEastAsia"/>
          <w:color w:val="auto"/>
          <w:sz w:val="24"/>
          <w:szCs w:val="24"/>
          <w:highlight w:val="none"/>
          <w:shd w:val="clear" w:color="auto" w:fill="FFFFFF"/>
        </w:rPr>
        <w:t>、进场材料报验：进场材料报验。成交人提供进场材料报验和相关主材合格证等。（1）本工程所采用的主要建筑材料、装修材料、设备、安装材料等到货时，承包人应向发包人提交《供应材料设备一览表》，填报如下数据：材料设备名称、规格型号、品牌、数量，附送产品合格证（复印件）。（2）发包人有权对承包方提供的检测报告或进场产品送相关检测机构进行检测。若检测结果与承包人提供的检测报告不符，检测费由承包方承担。（3）若实施材料不符，以双方可协商按质论价，协商不成的，采购人可拒付该部分款项，成交人不得破坏现场。（4）进场材料须经采购人确认后方可进场。</w:t>
      </w:r>
    </w:p>
    <w:p w14:paraId="15C47B7E">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6</w:t>
      </w:r>
      <w:r>
        <w:rPr>
          <w:rFonts w:hint="eastAsia" w:asciiTheme="majorEastAsia" w:hAnsiTheme="majorEastAsia" w:eastAsiaTheme="majorEastAsia" w:cstheme="majorEastAsia"/>
          <w:color w:val="auto"/>
          <w:sz w:val="24"/>
          <w:szCs w:val="24"/>
          <w:highlight w:val="none"/>
          <w:shd w:val="clear" w:color="auto" w:fill="FFFFFF"/>
        </w:rPr>
        <w:t>、不可抗力</w:t>
      </w:r>
    </w:p>
    <w:p w14:paraId="37F4A548">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6</w:t>
      </w:r>
      <w:r>
        <w:rPr>
          <w:rFonts w:hint="eastAsia" w:asciiTheme="majorEastAsia" w:hAnsiTheme="majorEastAsia" w:eastAsiaTheme="majorEastAsia" w:cstheme="majorEastAsia"/>
          <w:color w:val="auto"/>
          <w:sz w:val="24"/>
          <w:szCs w:val="24"/>
          <w:highlight w:val="none"/>
          <w:shd w:val="clear" w:color="auto" w:fill="FFFFFF"/>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6B34BA17">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6</w:t>
      </w:r>
      <w:r>
        <w:rPr>
          <w:rFonts w:hint="eastAsia" w:asciiTheme="majorEastAsia" w:hAnsiTheme="majorEastAsia" w:eastAsiaTheme="majorEastAsia" w:cstheme="majorEastAsia"/>
          <w:color w:val="auto"/>
          <w:sz w:val="24"/>
          <w:szCs w:val="24"/>
          <w:highlight w:val="none"/>
          <w:shd w:val="clear" w:color="auto" w:fill="FFFFFF"/>
        </w:rPr>
        <w:t>.2合同中的不可抗力指不能预见、不能避免并不能克服的客观情况。包括但不限于：自然灾害如地震、台风、洪水、火灾；政府行为、法律规定或其适用的变化或者其他任何无法预见、避免或者控制的事件。</w:t>
      </w:r>
    </w:p>
    <w:p w14:paraId="403085A5">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7</w:t>
      </w:r>
      <w:r>
        <w:rPr>
          <w:rFonts w:hint="eastAsia" w:asciiTheme="majorEastAsia" w:hAnsiTheme="majorEastAsia" w:eastAsiaTheme="majorEastAsia" w:cstheme="majorEastAsia"/>
          <w:color w:val="auto"/>
          <w:sz w:val="24"/>
          <w:szCs w:val="24"/>
          <w:highlight w:val="none"/>
          <w:shd w:val="clear" w:color="auto" w:fill="FFFFFF"/>
        </w:rPr>
        <w:t>、专利权及知识产权</w:t>
      </w:r>
    </w:p>
    <w:p w14:paraId="42ED9FF0">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成交供应商须保障采购人在使用该货物或其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供应商应赔偿该损失。</w:t>
      </w:r>
    </w:p>
    <w:p w14:paraId="09B60577">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8</w:t>
      </w:r>
      <w:r>
        <w:rPr>
          <w:rFonts w:hint="eastAsia" w:asciiTheme="majorEastAsia" w:hAnsiTheme="majorEastAsia" w:eastAsiaTheme="majorEastAsia" w:cstheme="majorEastAsia"/>
          <w:color w:val="auto"/>
          <w:sz w:val="24"/>
          <w:szCs w:val="24"/>
          <w:highlight w:val="none"/>
          <w:shd w:val="clear" w:color="auto" w:fill="FFFFFF"/>
        </w:rPr>
        <w:t>、保密要求</w:t>
      </w:r>
    </w:p>
    <w:p w14:paraId="7BDA08EA">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8</w:t>
      </w:r>
      <w:r>
        <w:rPr>
          <w:rFonts w:hint="eastAsia" w:asciiTheme="majorEastAsia" w:hAnsiTheme="majorEastAsia" w:eastAsiaTheme="majorEastAsia" w:cstheme="majorEastAsia"/>
          <w:color w:val="auto"/>
          <w:sz w:val="24"/>
          <w:szCs w:val="24"/>
          <w:highlight w:val="none"/>
          <w:shd w:val="clear" w:color="auto" w:fill="FFFFFF"/>
        </w:rPr>
        <w:t>.1成交供应商应当对合同的内容、因履行合同或在合同期间知悉的或收到的采购人的财务、技术、产品信息、内部布局、职员资料或其他工作上的文件资料、工作内容等予以保密，不得向合同以外的任何第三方披露，所有解决方案和采集汇总后的数据严禁通过互联网等公共信息网络、普通邮政进行传递，严禁在连接互联网计算机上存储、处理；成交供应商，严格履行保密义务，自愿接受保密审查，不违规记录、存储、复制采购人任何信息，不违规留存采购方任何资料。</w:t>
      </w:r>
    </w:p>
    <w:p w14:paraId="7452D564">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8</w:t>
      </w:r>
      <w:r>
        <w:rPr>
          <w:rFonts w:hint="eastAsia" w:asciiTheme="majorEastAsia" w:hAnsiTheme="majorEastAsia" w:eastAsiaTheme="majorEastAsia" w:cstheme="majorEastAsia"/>
          <w:color w:val="auto"/>
          <w:sz w:val="24"/>
          <w:szCs w:val="24"/>
          <w:highlight w:val="none"/>
          <w:shd w:val="clear" w:color="auto" w:fill="FFFFFF"/>
        </w:rPr>
        <w:t>.2成交供应商违反本条约定泄露采购人的涉密信息的，应承担相应的法律责任，造成采购人损失的，并向采购人支付违约金。</w:t>
      </w:r>
    </w:p>
    <w:p w14:paraId="65E76536">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8</w:t>
      </w:r>
      <w:r>
        <w:rPr>
          <w:rFonts w:hint="eastAsia" w:asciiTheme="majorEastAsia" w:hAnsiTheme="majorEastAsia" w:eastAsiaTheme="majorEastAsia" w:cstheme="majorEastAsia"/>
          <w:color w:val="auto"/>
          <w:sz w:val="24"/>
          <w:szCs w:val="24"/>
          <w:highlight w:val="none"/>
          <w:shd w:val="clear" w:color="auto" w:fill="FFFFFF"/>
        </w:rPr>
        <w:t>.3本条款不因合同届满或解除而失效。</w:t>
      </w:r>
    </w:p>
    <w:p w14:paraId="1B6DD800">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lang w:val="en-US" w:eastAsia="zh-CN"/>
        </w:rPr>
        <w:t>9</w:t>
      </w:r>
      <w:r>
        <w:rPr>
          <w:rFonts w:hint="eastAsia" w:asciiTheme="majorEastAsia" w:hAnsiTheme="majorEastAsia" w:eastAsiaTheme="majorEastAsia" w:cstheme="majorEastAsia"/>
          <w:color w:val="auto"/>
          <w:sz w:val="24"/>
          <w:szCs w:val="24"/>
          <w:highlight w:val="none"/>
          <w:shd w:val="clear" w:color="auto" w:fill="FFFFFF"/>
        </w:rPr>
        <w:t>、仲裁、诉讼条款</w:t>
      </w:r>
    </w:p>
    <w:p w14:paraId="38E6B21B">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因采购或与采购合同有关的一切事项发生争议，由采购人和成交人双方友好协商解决。协商不成的，任何一方均可选择以下方式解决：</w:t>
      </w:r>
    </w:p>
    <w:p w14:paraId="53D11AC6">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①向(采购人所在地)仲裁委员会申请仲裁；</w:t>
      </w:r>
    </w:p>
    <w:p w14:paraId="52A4C456">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②向(采购人所在地）有管辖权的人民法院提起诉讼。</w:t>
      </w:r>
    </w:p>
    <w:p w14:paraId="73A744F6">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w:t>
      </w:r>
      <w:r>
        <w:rPr>
          <w:rFonts w:hint="eastAsia" w:asciiTheme="majorEastAsia" w:hAnsiTheme="majorEastAsia" w:eastAsiaTheme="majorEastAsia" w:cstheme="majorEastAsia"/>
          <w:color w:val="auto"/>
          <w:sz w:val="24"/>
          <w:szCs w:val="24"/>
          <w:highlight w:val="none"/>
          <w:shd w:val="clear" w:color="auto" w:fill="FFFFFF"/>
          <w:lang w:val="en-US" w:eastAsia="zh-CN"/>
        </w:rPr>
        <w:t>0</w:t>
      </w:r>
      <w:r>
        <w:rPr>
          <w:rFonts w:hint="eastAsia" w:asciiTheme="majorEastAsia" w:hAnsiTheme="majorEastAsia" w:eastAsiaTheme="majorEastAsia" w:cstheme="majorEastAsia"/>
          <w:color w:val="auto"/>
          <w:sz w:val="24"/>
          <w:szCs w:val="24"/>
          <w:highlight w:val="none"/>
          <w:shd w:val="clear" w:color="auto" w:fill="FFFFFF"/>
        </w:rPr>
        <w:t>、合同条款</w:t>
      </w:r>
    </w:p>
    <w:p w14:paraId="1F00A20B">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合同内项目单价为一次不变价，不受市场价格因素影响。工程量按实结算。工程竣工后，应提供编制的工程决算书予采购人，经审计完毕，由双方商讨确认后根据合同规定付款方式进行付款。如成交人在实际施工过程中出现数量、材质更替以及工程量增加等情况，应及时征求采购人意见，并在得到采购人签证确认后方可施工，否则由此所造成的一切损失由成交人承担。施工存在变更，遵循下列原则：</w:t>
      </w:r>
    </w:p>
    <w:p w14:paraId="6B868A8E">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w:t>
      </w:r>
      <w:r>
        <w:rPr>
          <w:rFonts w:hint="eastAsia" w:asciiTheme="majorEastAsia" w:hAnsiTheme="majorEastAsia" w:eastAsiaTheme="majorEastAsia" w:cstheme="majorEastAsia"/>
          <w:color w:val="auto"/>
          <w:sz w:val="24"/>
          <w:szCs w:val="24"/>
          <w:highlight w:val="none"/>
          <w:shd w:val="clear" w:color="auto" w:fill="FFFFFF"/>
          <w:lang w:val="en-US" w:eastAsia="zh-CN"/>
        </w:rPr>
        <w:t>0</w:t>
      </w:r>
      <w:r>
        <w:rPr>
          <w:rFonts w:hint="eastAsia" w:asciiTheme="majorEastAsia" w:hAnsiTheme="majorEastAsia" w:eastAsiaTheme="majorEastAsia" w:cstheme="majorEastAsia"/>
          <w:color w:val="auto"/>
          <w:sz w:val="24"/>
          <w:szCs w:val="24"/>
          <w:highlight w:val="none"/>
          <w:shd w:val="clear" w:color="auto" w:fill="FFFFFF"/>
        </w:rPr>
        <w:t>.1工程量清单内项目：按成交人投标时所报的该细目综合单价计算。</w:t>
      </w:r>
    </w:p>
    <w:p w14:paraId="0F35DE90">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w:t>
      </w:r>
      <w:r>
        <w:rPr>
          <w:rFonts w:hint="eastAsia" w:asciiTheme="majorEastAsia" w:hAnsiTheme="majorEastAsia" w:eastAsiaTheme="majorEastAsia" w:cstheme="majorEastAsia"/>
          <w:color w:val="auto"/>
          <w:sz w:val="24"/>
          <w:szCs w:val="24"/>
          <w:highlight w:val="none"/>
          <w:shd w:val="clear" w:color="auto" w:fill="FFFFFF"/>
          <w:lang w:val="en-US" w:eastAsia="zh-CN"/>
        </w:rPr>
        <w:t>0</w:t>
      </w:r>
      <w:r>
        <w:rPr>
          <w:rFonts w:hint="eastAsia" w:asciiTheme="majorEastAsia" w:hAnsiTheme="majorEastAsia" w:eastAsiaTheme="majorEastAsia" w:cstheme="majorEastAsia"/>
          <w:color w:val="auto"/>
          <w:sz w:val="24"/>
          <w:szCs w:val="24"/>
          <w:highlight w:val="none"/>
          <w:shd w:val="clear" w:color="auto" w:fill="FFFFFF"/>
        </w:rPr>
        <w:t>.2工程量清单外项目：①其综合单价按本工程预算价编审依据的定额等有关计价规定计算后，按成交人投标时投标报价与招标工程预算价的同等降低幅度计算该项目的综合单价。②若无定额标准时，成交人与采购人派驻代表或监理工程师协商并报采购人批准后确定。如双方不能达成一致的，双方可提请工程所在地工程造价管理机构进行咨询或按合同约定的争议或纠纷解决程序办理。</w:t>
      </w:r>
    </w:p>
    <w:p w14:paraId="394A90E2">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w:t>
      </w:r>
      <w:r>
        <w:rPr>
          <w:rFonts w:hint="eastAsia" w:asciiTheme="majorEastAsia" w:hAnsiTheme="majorEastAsia" w:eastAsiaTheme="majorEastAsia" w:cstheme="majorEastAsia"/>
          <w:color w:val="auto"/>
          <w:sz w:val="24"/>
          <w:szCs w:val="24"/>
          <w:highlight w:val="none"/>
          <w:shd w:val="clear" w:color="auto" w:fill="FFFFFF"/>
          <w:lang w:val="en-US" w:eastAsia="zh-CN"/>
        </w:rPr>
        <w:t>0</w:t>
      </w:r>
      <w:r>
        <w:rPr>
          <w:rFonts w:hint="eastAsia" w:asciiTheme="majorEastAsia" w:hAnsiTheme="majorEastAsia" w:eastAsiaTheme="majorEastAsia" w:cstheme="majorEastAsia"/>
          <w:color w:val="auto"/>
          <w:sz w:val="24"/>
          <w:szCs w:val="24"/>
          <w:highlight w:val="none"/>
          <w:shd w:val="clear" w:color="auto" w:fill="FFFFFF"/>
        </w:rPr>
        <w:t>.3变更导致的合同价款调整还应符合《福建省房屋建筑和市政基础设施工程价款结算暂行办法》（闽财建[2007]157号文）的规定。工程量清单中的单个项目工程量变动幅度超过±30%并导致合同总价变动幅度超过±1%的，工程量增加部分或减少后剩余部分可以重新协商确定综合单价。</w:t>
      </w:r>
    </w:p>
    <w:p w14:paraId="3BF0F8CB">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w:t>
      </w:r>
      <w:r>
        <w:rPr>
          <w:rFonts w:hint="eastAsia" w:asciiTheme="majorEastAsia" w:hAnsiTheme="majorEastAsia" w:eastAsiaTheme="majorEastAsia" w:cstheme="majorEastAsia"/>
          <w:color w:val="auto"/>
          <w:sz w:val="24"/>
          <w:szCs w:val="24"/>
          <w:highlight w:val="none"/>
          <w:shd w:val="clear" w:color="auto" w:fill="FFFFFF"/>
          <w:lang w:val="en-US" w:eastAsia="zh-CN"/>
        </w:rPr>
        <w:t>0</w:t>
      </w:r>
      <w:r>
        <w:rPr>
          <w:rFonts w:hint="eastAsia" w:asciiTheme="majorEastAsia" w:hAnsiTheme="majorEastAsia" w:eastAsiaTheme="majorEastAsia" w:cstheme="majorEastAsia"/>
          <w:color w:val="auto"/>
          <w:sz w:val="24"/>
          <w:szCs w:val="24"/>
          <w:highlight w:val="none"/>
          <w:shd w:val="clear" w:color="auto" w:fill="FFFFFF"/>
        </w:rPr>
        <w:t>.4工程款项支付之前，成交人应向采购人开具相应金额的税务发票，否则，采购人有权拒绝支付。</w:t>
      </w:r>
    </w:p>
    <w:p w14:paraId="0D40E145">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w:t>
      </w:r>
      <w:r>
        <w:rPr>
          <w:rFonts w:hint="eastAsia" w:asciiTheme="majorEastAsia" w:hAnsiTheme="majorEastAsia" w:eastAsiaTheme="majorEastAsia" w:cstheme="majorEastAsia"/>
          <w:color w:val="auto"/>
          <w:sz w:val="24"/>
          <w:szCs w:val="24"/>
          <w:highlight w:val="none"/>
          <w:shd w:val="clear" w:color="auto" w:fill="FFFFFF"/>
          <w:lang w:val="en-US" w:eastAsia="zh-CN"/>
        </w:rPr>
        <w:t>1</w:t>
      </w:r>
      <w:r>
        <w:rPr>
          <w:rFonts w:hint="eastAsia" w:asciiTheme="majorEastAsia" w:hAnsiTheme="majorEastAsia" w:eastAsiaTheme="majorEastAsia" w:cstheme="majorEastAsia"/>
          <w:color w:val="auto"/>
          <w:sz w:val="24"/>
          <w:szCs w:val="24"/>
          <w:highlight w:val="none"/>
          <w:shd w:val="clear" w:color="auto" w:fill="FFFFFF"/>
        </w:rPr>
        <w:t>、成交供应商需做出工程施工安全承诺书，内容如下：</w:t>
      </w:r>
    </w:p>
    <w:p w14:paraId="082DEECF">
      <w:pPr>
        <w:pStyle w:val="13"/>
        <w:keepNext w:val="0"/>
        <w:keepLines w:val="0"/>
        <w:pageBreakBefore w:val="0"/>
        <w:widowControl/>
        <w:numPr>
          <w:ilvl w:val="0"/>
          <w:numId w:val="0"/>
        </w:numPr>
        <w:kinsoku/>
        <w:wordWrap/>
        <w:overflowPunct/>
        <w:topLinePunct w:val="0"/>
        <w:autoSpaceDE/>
        <w:autoSpaceDN/>
        <w:bidi w:val="0"/>
        <w:adjustRightInd/>
        <w:snapToGrid/>
        <w:ind w:firstLine="482" w:firstLineChars="200"/>
        <w:jc w:val="center"/>
        <w:textAlignment w:val="auto"/>
        <w:rPr>
          <w:rFonts w:hint="eastAsia" w:asciiTheme="majorEastAsia" w:hAnsiTheme="majorEastAsia" w:eastAsiaTheme="majorEastAsia" w:cstheme="majorEastAsia"/>
          <w:b/>
          <w:bCs/>
          <w:color w:val="auto"/>
          <w:sz w:val="24"/>
          <w:szCs w:val="24"/>
          <w:highlight w:val="none"/>
          <w:shd w:val="clear" w:color="auto" w:fill="FFFFFF"/>
        </w:rPr>
      </w:pPr>
    </w:p>
    <w:p w14:paraId="69FA7D18">
      <w:pPr>
        <w:pStyle w:val="13"/>
        <w:keepNext w:val="0"/>
        <w:keepLines w:val="0"/>
        <w:pageBreakBefore w:val="0"/>
        <w:widowControl/>
        <w:numPr>
          <w:ilvl w:val="0"/>
          <w:numId w:val="0"/>
        </w:numPr>
        <w:kinsoku/>
        <w:wordWrap/>
        <w:overflowPunct/>
        <w:topLinePunct w:val="0"/>
        <w:autoSpaceDE/>
        <w:autoSpaceDN/>
        <w:bidi w:val="0"/>
        <w:adjustRightInd/>
        <w:snapToGrid/>
        <w:ind w:firstLine="482" w:firstLineChars="200"/>
        <w:jc w:val="center"/>
        <w:textAlignment w:val="auto"/>
        <w:rPr>
          <w:rFonts w:hint="eastAsia" w:asciiTheme="majorEastAsia" w:hAnsiTheme="majorEastAsia" w:eastAsiaTheme="majorEastAsia" w:cstheme="majorEastAsia"/>
          <w:b/>
          <w:bCs/>
          <w:color w:val="auto"/>
          <w:sz w:val="24"/>
          <w:szCs w:val="24"/>
          <w:highlight w:val="none"/>
          <w:shd w:val="clear" w:color="auto" w:fill="FFFFFF"/>
        </w:rPr>
      </w:pPr>
      <w:r>
        <w:rPr>
          <w:rFonts w:hint="eastAsia" w:asciiTheme="majorEastAsia" w:hAnsiTheme="majorEastAsia" w:eastAsiaTheme="majorEastAsia" w:cstheme="majorEastAsia"/>
          <w:b/>
          <w:bCs/>
          <w:color w:val="auto"/>
          <w:sz w:val="24"/>
          <w:szCs w:val="24"/>
          <w:highlight w:val="none"/>
          <w:shd w:val="clear" w:color="auto" w:fill="FFFFFF"/>
        </w:rPr>
        <w:t>工程施工安全承诺书</w:t>
      </w:r>
    </w:p>
    <w:p w14:paraId="5A1D71F5">
      <w:pPr>
        <w:pStyle w:val="13"/>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福建省肿瘤医院:</w:t>
      </w:r>
    </w:p>
    <w:p w14:paraId="5481E83C">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为了确保在贵院施工期间安全无事故，特向贵院的安全管理工作作如下承诺:</w:t>
      </w:r>
    </w:p>
    <w:p w14:paraId="18958E54">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（一）、在工程施工期间，发生的所有与工程施工有关的安全事故由我单位承担全部责任。</w:t>
      </w:r>
    </w:p>
    <w:p w14:paraId="45B6FF44">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（二）、指定施工安全监督员，负责施工现场的安全检查和安全监督，并与贵院总务科和保卫科等保持密切联系。</w:t>
      </w:r>
    </w:p>
    <w:p w14:paraId="71EC4CD1">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三）、负责施工现场的安全生产管理工作，做好施工现场的安全监督，做好对施工人员安全生产教育和安全生产措施的落实，确保施工人员持有效证件上岗。电焊工需进行报备，并提供电焊证报备，动火作业需提前向我院保卫科进行报备。</w:t>
      </w:r>
    </w:p>
    <w:p w14:paraId="3741F59D">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（四）、负责施工现场的安全防护工作，设立相关的安全警示等标识。安全防护的器械、物品等，与施工队同时进场，在对施工现场作防护措施、警示后才组织施工。</w:t>
      </w:r>
    </w:p>
    <w:p w14:paraId="6936497C">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（五）、装修施工队进场时，应制定相关防火措施，并配备必要的防火设备和用具;注意现场临时用电的安全使用，并安排有资质的电工负责。</w:t>
      </w:r>
    </w:p>
    <w:p w14:paraId="07A8A716">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（六）、在施工期间，配合贵院做好办公场地秩序和安全管理工作，服从相关管理员的监管，在做好相应安全措施后，经贵院同意方可组织施工。</w:t>
      </w:r>
    </w:p>
    <w:p w14:paraId="47E5CFF5">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（七）、施工完毕后，我单位负责施工现场的清理和恢复性工作，确保办公场地的安全和正常运作。</w:t>
      </w:r>
    </w:p>
    <w:p w14:paraId="71ADBB53">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shd w:val="clear" w:color="auto" w:fill="FFFFFF"/>
        </w:rPr>
        <w:t>（八）、施工过程中，切实做好安全生产工作，按相关安全生产工作规范施工。否则，若发生安全生产事故，所有责任由我单位自行承担。</w:t>
      </w:r>
    </w:p>
    <w:p w14:paraId="1E75AC67">
      <w:pPr>
        <w:spacing w:line="480" w:lineRule="exact"/>
        <w:rPr>
          <w:rFonts w:ascii="仿宋_GB2312" w:hAnsi="仿宋_GB2312" w:eastAsia="仿宋_GB2312" w:cs="仿宋_GB2312"/>
          <w:b/>
          <w:sz w:val="28"/>
          <w:highlight w:val="none"/>
        </w:rPr>
      </w:pPr>
    </w:p>
    <w:p w14:paraId="338D1E7F">
      <w:pPr>
        <w:spacing w:line="480" w:lineRule="exact"/>
        <w:rPr>
          <w:rFonts w:hint="eastAsia" w:asciiTheme="majorEastAsia" w:hAnsiTheme="majorEastAsia" w:eastAsiaTheme="majorEastAsia" w:cstheme="majorEastAsia"/>
          <w:b/>
          <w:bCs w:val="0"/>
          <w:sz w:val="28"/>
          <w:szCs w:val="28"/>
          <w:highlight w:val="none"/>
          <w:lang w:val="en-US" w:eastAsia="zh-CN"/>
        </w:rPr>
      </w:pPr>
      <w:r>
        <w:rPr>
          <w:rFonts w:hint="eastAsia" w:asciiTheme="majorEastAsia" w:hAnsiTheme="majorEastAsia" w:eastAsiaTheme="majorEastAsia" w:cstheme="majorEastAsia"/>
          <w:b/>
          <w:bCs w:val="0"/>
          <w:sz w:val="28"/>
          <w:szCs w:val="28"/>
          <w:highlight w:val="none"/>
          <w:lang w:val="en-US" w:eastAsia="zh-CN"/>
        </w:rPr>
        <w:t>其他事项:</w:t>
      </w:r>
    </w:p>
    <w:p w14:paraId="069F2425">
      <w:pPr>
        <w:pStyle w:val="13"/>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1、除磋商文件另有规定外，若出现有关法律、法规和规章有强制性规定但采购文件未列明的情形，则供应商应按照有关法律、法规和规章强制性规定执行。 2、其他： 2.1本磋商文件未明确的其它约定事项或条款，待采购人与成交供应商签订合同时，由双方协商订立。 2.2本项目不允许成交供应商以任何名义和理由进行转包，如有发现，采购人有权单方终止合同，视为成交供应商违约，成交供应商违约对采购人造成的损失的，需另行支付相应的赔偿。</w:t>
      </w:r>
    </w:p>
    <w:p w14:paraId="4956B128">
      <w:pPr>
        <w:spacing w:line="480" w:lineRule="exact"/>
        <w:rPr>
          <w:rFonts w:hint="eastAsia" w:ascii="仿宋_GB2312" w:hAnsi="仿宋_GB2312" w:eastAsia="仿宋_GB2312" w:cs="仿宋_GB2312"/>
          <w:b/>
          <w:sz w:val="28"/>
          <w:highlight w:val="none"/>
          <w:lang w:val="en-US" w:eastAsia="zh-CN"/>
        </w:rPr>
      </w:pPr>
    </w:p>
    <w:p w14:paraId="0C8443B2">
      <w:pP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br w:type="page"/>
      </w:r>
    </w:p>
    <w:p w14:paraId="7B69553E">
      <w:pPr>
        <w:pStyle w:val="8"/>
        <w:spacing w:line="360" w:lineRule="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工程量清单：</w:t>
      </w:r>
    </w:p>
    <w:tbl>
      <w:tblPr>
        <w:tblStyle w:val="9"/>
        <w:tblpPr w:leftFromText="180" w:rightFromText="180" w:vertAnchor="text" w:tblpX="93" w:tblpY="1"/>
        <w:tblOverlap w:val="never"/>
        <w:tblW w:w="9213" w:type="dxa"/>
        <w:tblInd w:w="91" w:type="dxa"/>
        <w:tblLayout w:type="autofit"/>
        <w:tblCellMar>
          <w:top w:w="0" w:type="dxa"/>
          <w:left w:w="108" w:type="dxa"/>
          <w:bottom w:w="0" w:type="dxa"/>
          <w:right w:w="108" w:type="dxa"/>
        </w:tblCellMar>
      </w:tblPr>
      <w:tblGrid>
        <w:gridCol w:w="730"/>
        <w:gridCol w:w="6058"/>
        <w:gridCol w:w="1207"/>
        <w:gridCol w:w="1218"/>
      </w:tblGrid>
      <w:tr w14:paraId="322403AB">
        <w:tblPrEx>
          <w:tblCellMar>
            <w:top w:w="0" w:type="dxa"/>
            <w:left w:w="108" w:type="dxa"/>
            <w:bottom w:w="0" w:type="dxa"/>
            <w:right w:w="108" w:type="dxa"/>
          </w:tblCellMar>
        </w:tblPrEx>
        <w:trPr>
          <w:trHeight w:val="661" w:hRule="atLeast"/>
        </w:trPr>
        <w:tc>
          <w:tcPr>
            <w:tcW w:w="730" w:type="dxa"/>
            <w:tcBorders>
              <w:top w:val="single" w:color="000000" w:sz="4" w:space="0"/>
              <w:left w:val="single" w:color="000000" w:sz="4" w:space="0"/>
              <w:bottom w:val="single" w:color="000000" w:sz="4" w:space="0"/>
              <w:right w:val="single" w:color="000000" w:sz="4" w:space="0"/>
            </w:tcBorders>
            <w:vAlign w:val="center"/>
          </w:tcPr>
          <w:p w14:paraId="76F7DF57">
            <w:pPr>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序号</w:t>
            </w:r>
          </w:p>
        </w:tc>
        <w:tc>
          <w:tcPr>
            <w:tcW w:w="6058" w:type="dxa"/>
            <w:tcBorders>
              <w:top w:val="single" w:color="000000" w:sz="4" w:space="0"/>
              <w:left w:val="single" w:color="000000" w:sz="4" w:space="0"/>
              <w:bottom w:val="single" w:color="000000" w:sz="4" w:space="0"/>
              <w:right w:val="single" w:color="000000" w:sz="4" w:space="0"/>
            </w:tcBorders>
            <w:vAlign w:val="center"/>
          </w:tcPr>
          <w:p w14:paraId="2ABD7BE3">
            <w:pPr>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项 目 名 称</w:t>
            </w:r>
          </w:p>
        </w:tc>
        <w:tc>
          <w:tcPr>
            <w:tcW w:w="1207" w:type="dxa"/>
            <w:tcBorders>
              <w:top w:val="single" w:color="000000" w:sz="4" w:space="0"/>
              <w:left w:val="single" w:color="000000" w:sz="4" w:space="0"/>
              <w:bottom w:val="single" w:color="000000" w:sz="4" w:space="0"/>
              <w:right w:val="single" w:color="000000" w:sz="4" w:space="0"/>
            </w:tcBorders>
            <w:vAlign w:val="center"/>
          </w:tcPr>
          <w:p w14:paraId="0FB134EA">
            <w:pPr>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计量单位</w:t>
            </w:r>
          </w:p>
        </w:tc>
        <w:tc>
          <w:tcPr>
            <w:tcW w:w="1218" w:type="dxa"/>
            <w:tcBorders>
              <w:top w:val="single" w:color="000000" w:sz="4" w:space="0"/>
              <w:left w:val="single" w:color="000000" w:sz="4" w:space="0"/>
              <w:bottom w:val="nil"/>
              <w:right w:val="single" w:color="000000" w:sz="4" w:space="0"/>
            </w:tcBorders>
            <w:vAlign w:val="center"/>
          </w:tcPr>
          <w:p w14:paraId="2038E568">
            <w:pPr>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工程数量</w:t>
            </w:r>
          </w:p>
        </w:tc>
      </w:tr>
      <w:tr w14:paraId="24CC5231">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544E979">
            <w:pPr>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color w:val="000000"/>
                <w:sz w:val="22"/>
                <w:szCs w:val="22"/>
                <w:highlight w:val="none"/>
              </w:rPr>
              <w:t>1</w:t>
            </w:r>
          </w:p>
        </w:tc>
        <w:tc>
          <w:tcPr>
            <w:tcW w:w="6058" w:type="dxa"/>
            <w:tcBorders>
              <w:top w:val="single" w:color="000000" w:sz="4" w:space="0"/>
              <w:left w:val="single" w:color="000000" w:sz="4" w:space="0"/>
              <w:bottom w:val="single" w:color="000000" w:sz="4" w:space="0"/>
              <w:right w:val="single" w:color="000000" w:sz="4" w:space="0"/>
            </w:tcBorders>
            <w:vAlign w:val="center"/>
          </w:tcPr>
          <w:p w14:paraId="2C10F4C7">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室内铜芯电力电缆敷设 WDZB-YJY-4X120+1X70 五芯电力电缆敷设</w:t>
            </w:r>
          </w:p>
        </w:tc>
        <w:tc>
          <w:tcPr>
            <w:tcW w:w="1207" w:type="dxa"/>
            <w:tcBorders>
              <w:top w:val="single" w:color="000000" w:sz="4" w:space="0"/>
              <w:left w:val="single" w:color="000000" w:sz="4" w:space="0"/>
              <w:bottom w:val="single" w:color="000000" w:sz="4" w:space="0"/>
              <w:right w:val="single" w:color="000000" w:sz="4" w:space="0"/>
            </w:tcBorders>
            <w:vAlign w:val="center"/>
          </w:tcPr>
          <w:p w14:paraId="26C1AE99">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m</w:t>
            </w:r>
          </w:p>
        </w:tc>
        <w:tc>
          <w:tcPr>
            <w:tcW w:w="1218" w:type="dxa"/>
            <w:tcBorders>
              <w:top w:val="single" w:color="000000" w:sz="4" w:space="0"/>
              <w:left w:val="single" w:color="000000" w:sz="4" w:space="0"/>
              <w:bottom w:val="single" w:color="000000" w:sz="4" w:space="0"/>
              <w:right w:val="single" w:color="000000" w:sz="4" w:space="0"/>
            </w:tcBorders>
            <w:vAlign w:val="center"/>
          </w:tcPr>
          <w:p w14:paraId="7F081B3E">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178.000</w:t>
            </w:r>
          </w:p>
        </w:tc>
      </w:tr>
      <w:tr w14:paraId="26A3B892">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6EAC3A5">
            <w:pPr>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color w:val="000000"/>
                <w:sz w:val="22"/>
                <w:szCs w:val="22"/>
                <w:highlight w:val="none"/>
              </w:rPr>
              <w:t>2</w:t>
            </w:r>
          </w:p>
        </w:tc>
        <w:tc>
          <w:tcPr>
            <w:tcW w:w="6058" w:type="dxa"/>
            <w:tcBorders>
              <w:top w:val="single" w:color="000000" w:sz="4" w:space="0"/>
              <w:left w:val="single" w:color="000000" w:sz="4" w:space="0"/>
              <w:bottom w:val="single" w:color="000000" w:sz="4" w:space="0"/>
              <w:right w:val="single" w:color="000000" w:sz="4" w:space="0"/>
            </w:tcBorders>
            <w:vAlign w:val="center"/>
          </w:tcPr>
          <w:p w14:paraId="6D3935EC">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1KV室内热（冷）缩式铜芯电力电缆(电缆截面≤120mm2) 五芯电力电缆头制作安装</w:t>
            </w:r>
          </w:p>
        </w:tc>
        <w:tc>
          <w:tcPr>
            <w:tcW w:w="1207" w:type="dxa"/>
            <w:tcBorders>
              <w:top w:val="single" w:color="000000" w:sz="4" w:space="0"/>
              <w:left w:val="single" w:color="000000" w:sz="4" w:space="0"/>
              <w:bottom w:val="single" w:color="000000" w:sz="4" w:space="0"/>
              <w:right w:val="single" w:color="000000" w:sz="4" w:space="0"/>
            </w:tcBorders>
            <w:vAlign w:val="center"/>
          </w:tcPr>
          <w:p w14:paraId="7A5DAB1A">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个</w:t>
            </w:r>
          </w:p>
        </w:tc>
        <w:tc>
          <w:tcPr>
            <w:tcW w:w="1218" w:type="dxa"/>
            <w:tcBorders>
              <w:top w:val="single" w:color="000000" w:sz="4" w:space="0"/>
              <w:left w:val="single" w:color="000000" w:sz="4" w:space="0"/>
              <w:bottom w:val="single" w:color="000000" w:sz="4" w:space="0"/>
              <w:right w:val="single" w:color="000000" w:sz="4" w:space="0"/>
            </w:tcBorders>
            <w:vAlign w:val="center"/>
          </w:tcPr>
          <w:p w14:paraId="3D2F4558">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2.000</w:t>
            </w:r>
          </w:p>
        </w:tc>
      </w:tr>
      <w:tr w14:paraId="41D65D08">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46CD7D3">
            <w:pPr>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3</w:t>
            </w:r>
          </w:p>
        </w:tc>
        <w:tc>
          <w:tcPr>
            <w:tcW w:w="6058" w:type="dxa"/>
            <w:tcBorders>
              <w:top w:val="single" w:color="000000" w:sz="4" w:space="0"/>
              <w:left w:val="single" w:color="000000" w:sz="4" w:space="0"/>
              <w:bottom w:val="single" w:color="000000" w:sz="4" w:space="0"/>
              <w:right w:val="single" w:color="000000" w:sz="4" w:space="0"/>
            </w:tcBorders>
            <w:vAlign w:val="center"/>
          </w:tcPr>
          <w:p w14:paraId="54AD276C">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室内铜芯电力电缆敷设WDZB--YJY-4X150+1X70 五芯电力电缆敷设</w:t>
            </w:r>
          </w:p>
        </w:tc>
        <w:tc>
          <w:tcPr>
            <w:tcW w:w="1207" w:type="dxa"/>
            <w:tcBorders>
              <w:top w:val="single" w:color="000000" w:sz="4" w:space="0"/>
              <w:left w:val="single" w:color="000000" w:sz="4" w:space="0"/>
              <w:bottom w:val="single" w:color="000000" w:sz="4" w:space="0"/>
              <w:right w:val="single" w:color="000000" w:sz="4" w:space="0"/>
            </w:tcBorders>
            <w:vAlign w:val="center"/>
          </w:tcPr>
          <w:p w14:paraId="56E10F84">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m</w:t>
            </w:r>
          </w:p>
        </w:tc>
        <w:tc>
          <w:tcPr>
            <w:tcW w:w="1218" w:type="dxa"/>
            <w:tcBorders>
              <w:top w:val="single" w:color="000000" w:sz="4" w:space="0"/>
              <w:left w:val="single" w:color="000000" w:sz="4" w:space="0"/>
              <w:bottom w:val="single" w:color="000000" w:sz="4" w:space="0"/>
              <w:right w:val="single" w:color="000000" w:sz="4" w:space="0"/>
            </w:tcBorders>
            <w:vAlign w:val="center"/>
          </w:tcPr>
          <w:p w14:paraId="40EC0F63">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78.000</w:t>
            </w:r>
          </w:p>
        </w:tc>
      </w:tr>
      <w:tr w14:paraId="7EAD50FE">
        <w:tblPrEx>
          <w:tblCellMar>
            <w:top w:w="0" w:type="dxa"/>
            <w:left w:w="108" w:type="dxa"/>
            <w:bottom w:w="0" w:type="dxa"/>
            <w:right w:w="108" w:type="dxa"/>
          </w:tblCellMar>
        </w:tblPrEx>
        <w:trPr>
          <w:trHeight w:val="1116"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6A4E949">
            <w:pPr>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4</w:t>
            </w:r>
          </w:p>
        </w:tc>
        <w:tc>
          <w:tcPr>
            <w:tcW w:w="6058" w:type="dxa"/>
            <w:tcBorders>
              <w:top w:val="single" w:color="000000" w:sz="4" w:space="0"/>
              <w:left w:val="single" w:color="000000" w:sz="4" w:space="0"/>
              <w:bottom w:val="single" w:color="000000" w:sz="4" w:space="0"/>
              <w:right w:val="single" w:color="000000" w:sz="4" w:space="0"/>
            </w:tcBorders>
            <w:vAlign w:val="center"/>
          </w:tcPr>
          <w:p w14:paraId="3BA01344">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1KV以下WDZB--YJY-4X150+1X70热缩式铜芯电力电缆中间接头制作安装(电缆截面≤240mm2) 五芯电力电缆头制作安装</w:t>
            </w:r>
          </w:p>
        </w:tc>
        <w:tc>
          <w:tcPr>
            <w:tcW w:w="1207" w:type="dxa"/>
            <w:tcBorders>
              <w:top w:val="single" w:color="000000" w:sz="4" w:space="0"/>
              <w:left w:val="single" w:color="000000" w:sz="4" w:space="0"/>
              <w:bottom w:val="single" w:color="000000" w:sz="4" w:space="0"/>
              <w:right w:val="single" w:color="000000" w:sz="4" w:space="0"/>
            </w:tcBorders>
            <w:vAlign w:val="center"/>
          </w:tcPr>
          <w:p w14:paraId="5C83BD2C">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个</w:t>
            </w:r>
          </w:p>
        </w:tc>
        <w:tc>
          <w:tcPr>
            <w:tcW w:w="1218" w:type="dxa"/>
            <w:tcBorders>
              <w:top w:val="single" w:color="000000" w:sz="4" w:space="0"/>
              <w:left w:val="single" w:color="000000" w:sz="4" w:space="0"/>
              <w:bottom w:val="single" w:color="000000" w:sz="4" w:space="0"/>
              <w:right w:val="single" w:color="000000" w:sz="4" w:space="0"/>
            </w:tcBorders>
            <w:vAlign w:val="center"/>
          </w:tcPr>
          <w:p w14:paraId="3BF5F772">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1.000</w:t>
            </w:r>
          </w:p>
        </w:tc>
      </w:tr>
      <w:tr w14:paraId="21D1B462">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6376541">
            <w:pPr>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5</w:t>
            </w:r>
          </w:p>
        </w:tc>
        <w:tc>
          <w:tcPr>
            <w:tcW w:w="6058" w:type="dxa"/>
            <w:tcBorders>
              <w:top w:val="single" w:color="000000" w:sz="4" w:space="0"/>
              <w:left w:val="single" w:color="000000" w:sz="4" w:space="0"/>
              <w:bottom w:val="single" w:color="000000" w:sz="4" w:space="0"/>
              <w:right w:val="single" w:color="000000" w:sz="4" w:space="0"/>
            </w:tcBorders>
            <w:vAlign w:val="center"/>
          </w:tcPr>
          <w:p w14:paraId="57602EEC">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室内铜芯电力电缆敷设WDZB-YJY-4X50+1X25 五芯电力电缆敷设</w:t>
            </w:r>
          </w:p>
        </w:tc>
        <w:tc>
          <w:tcPr>
            <w:tcW w:w="1207" w:type="dxa"/>
            <w:tcBorders>
              <w:top w:val="single" w:color="000000" w:sz="4" w:space="0"/>
              <w:left w:val="single" w:color="000000" w:sz="4" w:space="0"/>
              <w:bottom w:val="single" w:color="000000" w:sz="4" w:space="0"/>
              <w:right w:val="single" w:color="000000" w:sz="4" w:space="0"/>
            </w:tcBorders>
            <w:vAlign w:val="center"/>
          </w:tcPr>
          <w:p w14:paraId="59E7515E">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m</w:t>
            </w:r>
          </w:p>
        </w:tc>
        <w:tc>
          <w:tcPr>
            <w:tcW w:w="1218" w:type="dxa"/>
            <w:tcBorders>
              <w:top w:val="single" w:color="000000" w:sz="4" w:space="0"/>
              <w:left w:val="single" w:color="000000" w:sz="4" w:space="0"/>
              <w:bottom w:val="single" w:color="000000" w:sz="4" w:space="0"/>
              <w:right w:val="single" w:color="000000" w:sz="4" w:space="0"/>
            </w:tcBorders>
            <w:vAlign w:val="center"/>
          </w:tcPr>
          <w:p w14:paraId="2A8ECB48">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49.000</w:t>
            </w:r>
          </w:p>
        </w:tc>
      </w:tr>
      <w:tr w14:paraId="5DCF1FC1">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37D0EE2">
            <w:pPr>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6</w:t>
            </w:r>
          </w:p>
        </w:tc>
        <w:tc>
          <w:tcPr>
            <w:tcW w:w="6058" w:type="dxa"/>
            <w:tcBorders>
              <w:top w:val="single" w:color="000000" w:sz="4" w:space="0"/>
              <w:left w:val="single" w:color="000000" w:sz="4" w:space="0"/>
              <w:bottom w:val="single" w:color="000000" w:sz="4" w:space="0"/>
              <w:right w:val="single" w:color="000000" w:sz="4" w:space="0"/>
            </w:tcBorders>
            <w:vAlign w:val="center"/>
          </w:tcPr>
          <w:p w14:paraId="17A9E1D2">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1KV室内热（冷）缩式铜芯电力电缆(电缆截面≤50mm2) 五芯电力电缆头制作安装</w:t>
            </w:r>
          </w:p>
        </w:tc>
        <w:tc>
          <w:tcPr>
            <w:tcW w:w="1207" w:type="dxa"/>
            <w:tcBorders>
              <w:top w:val="single" w:color="000000" w:sz="4" w:space="0"/>
              <w:left w:val="single" w:color="000000" w:sz="4" w:space="0"/>
              <w:bottom w:val="single" w:color="000000" w:sz="4" w:space="0"/>
              <w:right w:val="single" w:color="000000" w:sz="4" w:space="0"/>
            </w:tcBorders>
            <w:vAlign w:val="center"/>
          </w:tcPr>
          <w:p w14:paraId="637AAD0A">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个</w:t>
            </w:r>
          </w:p>
        </w:tc>
        <w:tc>
          <w:tcPr>
            <w:tcW w:w="1218" w:type="dxa"/>
            <w:tcBorders>
              <w:top w:val="single" w:color="000000" w:sz="4" w:space="0"/>
              <w:left w:val="single" w:color="000000" w:sz="4" w:space="0"/>
              <w:bottom w:val="single" w:color="000000" w:sz="4" w:space="0"/>
              <w:right w:val="single" w:color="000000" w:sz="4" w:space="0"/>
            </w:tcBorders>
            <w:vAlign w:val="center"/>
          </w:tcPr>
          <w:p w14:paraId="155AC9D0">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2.000</w:t>
            </w:r>
          </w:p>
        </w:tc>
      </w:tr>
      <w:tr w14:paraId="5245BA7C">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D553A74">
            <w:pPr>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7</w:t>
            </w:r>
          </w:p>
        </w:tc>
        <w:tc>
          <w:tcPr>
            <w:tcW w:w="6058" w:type="dxa"/>
            <w:tcBorders>
              <w:top w:val="single" w:color="000000" w:sz="4" w:space="0"/>
              <w:left w:val="single" w:color="000000" w:sz="4" w:space="0"/>
              <w:bottom w:val="single" w:color="000000" w:sz="4" w:space="0"/>
              <w:right w:val="single" w:color="000000" w:sz="4" w:space="0"/>
            </w:tcBorders>
            <w:vAlign w:val="center"/>
          </w:tcPr>
          <w:p w14:paraId="7B4CCDA2">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室内铜芯电力电缆敷设WDZB-YJY-4X35+1X16 五芯电力电缆敷设</w:t>
            </w:r>
          </w:p>
        </w:tc>
        <w:tc>
          <w:tcPr>
            <w:tcW w:w="1207" w:type="dxa"/>
            <w:tcBorders>
              <w:top w:val="single" w:color="000000" w:sz="4" w:space="0"/>
              <w:left w:val="single" w:color="000000" w:sz="4" w:space="0"/>
              <w:bottom w:val="single" w:color="000000" w:sz="4" w:space="0"/>
              <w:right w:val="single" w:color="000000" w:sz="4" w:space="0"/>
            </w:tcBorders>
            <w:vAlign w:val="center"/>
          </w:tcPr>
          <w:p w14:paraId="4C8C3520">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m</w:t>
            </w:r>
          </w:p>
        </w:tc>
        <w:tc>
          <w:tcPr>
            <w:tcW w:w="1218" w:type="dxa"/>
            <w:tcBorders>
              <w:top w:val="single" w:color="000000" w:sz="4" w:space="0"/>
              <w:left w:val="single" w:color="000000" w:sz="4" w:space="0"/>
              <w:bottom w:val="single" w:color="000000" w:sz="4" w:space="0"/>
              <w:right w:val="single" w:color="000000" w:sz="4" w:space="0"/>
            </w:tcBorders>
            <w:vAlign w:val="center"/>
          </w:tcPr>
          <w:p w14:paraId="4CAC44AF">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25.000</w:t>
            </w:r>
          </w:p>
        </w:tc>
      </w:tr>
      <w:tr w14:paraId="2B75E8C5">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7F45F23">
            <w:pPr>
              <w:jc w:val="center"/>
              <w:textAlignment w:val="center"/>
              <w:rPr>
                <w:rFonts w:hint="default"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8</w:t>
            </w:r>
          </w:p>
        </w:tc>
        <w:tc>
          <w:tcPr>
            <w:tcW w:w="6058" w:type="dxa"/>
            <w:tcBorders>
              <w:top w:val="single" w:color="000000" w:sz="4" w:space="0"/>
              <w:left w:val="single" w:color="000000" w:sz="4" w:space="0"/>
              <w:bottom w:val="single" w:color="000000" w:sz="4" w:space="0"/>
              <w:right w:val="single" w:color="000000" w:sz="4" w:space="0"/>
            </w:tcBorders>
            <w:vAlign w:val="center"/>
          </w:tcPr>
          <w:p w14:paraId="761D3E18">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1KV室内热（冷）缩式铜芯电力电缆(电缆截面≤35mm2) 五芯电力电缆头制作安装</w:t>
            </w:r>
          </w:p>
        </w:tc>
        <w:tc>
          <w:tcPr>
            <w:tcW w:w="1207" w:type="dxa"/>
            <w:tcBorders>
              <w:top w:val="single" w:color="000000" w:sz="4" w:space="0"/>
              <w:left w:val="single" w:color="000000" w:sz="4" w:space="0"/>
              <w:bottom w:val="single" w:color="000000" w:sz="4" w:space="0"/>
              <w:right w:val="single" w:color="000000" w:sz="4" w:space="0"/>
            </w:tcBorders>
            <w:vAlign w:val="center"/>
          </w:tcPr>
          <w:p w14:paraId="7139CC70">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个</w:t>
            </w:r>
          </w:p>
        </w:tc>
        <w:tc>
          <w:tcPr>
            <w:tcW w:w="1218" w:type="dxa"/>
            <w:tcBorders>
              <w:top w:val="single" w:color="000000" w:sz="4" w:space="0"/>
              <w:left w:val="single" w:color="000000" w:sz="4" w:space="0"/>
              <w:bottom w:val="single" w:color="000000" w:sz="4" w:space="0"/>
              <w:right w:val="single" w:color="000000" w:sz="4" w:space="0"/>
            </w:tcBorders>
            <w:vAlign w:val="center"/>
          </w:tcPr>
          <w:p w14:paraId="35C8B20E">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2.000</w:t>
            </w:r>
          </w:p>
        </w:tc>
      </w:tr>
      <w:tr w14:paraId="66ECF2DD">
        <w:tblPrEx>
          <w:tblCellMar>
            <w:top w:w="0" w:type="dxa"/>
            <w:left w:w="108" w:type="dxa"/>
            <w:bottom w:w="0" w:type="dxa"/>
            <w:right w:w="108" w:type="dxa"/>
          </w:tblCellMar>
        </w:tblPrEx>
        <w:trPr>
          <w:trHeight w:val="81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8F6A108">
            <w:pPr>
              <w:jc w:val="center"/>
              <w:textAlignment w:val="center"/>
              <w:rPr>
                <w:rFonts w:hint="default"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9</w:t>
            </w:r>
          </w:p>
        </w:tc>
        <w:tc>
          <w:tcPr>
            <w:tcW w:w="6058" w:type="dxa"/>
            <w:tcBorders>
              <w:top w:val="single" w:color="000000" w:sz="4" w:space="0"/>
              <w:left w:val="single" w:color="000000" w:sz="4" w:space="0"/>
              <w:bottom w:val="single" w:color="000000" w:sz="4" w:space="0"/>
              <w:right w:val="single" w:color="000000" w:sz="4" w:space="0"/>
            </w:tcBorders>
            <w:vAlign w:val="center"/>
          </w:tcPr>
          <w:p w14:paraId="540A509E">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pvc-50的电缆保护套管敷设砖、混凝土结构明配(外径≤50mm)</w:t>
            </w:r>
          </w:p>
        </w:tc>
        <w:tc>
          <w:tcPr>
            <w:tcW w:w="1207" w:type="dxa"/>
            <w:tcBorders>
              <w:top w:val="single" w:color="000000" w:sz="4" w:space="0"/>
              <w:left w:val="single" w:color="000000" w:sz="4" w:space="0"/>
              <w:bottom w:val="single" w:color="000000" w:sz="4" w:space="0"/>
              <w:right w:val="single" w:color="000000" w:sz="4" w:space="0"/>
            </w:tcBorders>
            <w:vAlign w:val="center"/>
          </w:tcPr>
          <w:p w14:paraId="78F01F1F">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m</w:t>
            </w:r>
          </w:p>
        </w:tc>
        <w:tc>
          <w:tcPr>
            <w:tcW w:w="1218" w:type="dxa"/>
            <w:tcBorders>
              <w:top w:val="single" w:color="000000" w:sz="4" w:space="0"/>
              <w:left w:val="single" w:color="000000" w:sz="4" w:space="0"/>
              <w:bottom w:val="single" w:color="000000" w:sz="4" w:space="0"/>
              <w:right w:val="single" w:color="000000" w:sz="4" w:space="0"/>
            </w:tcBorders>
            <w:vAlign w:val="center"/>
          </w:tcPr>
          <w:p w14:paraId="6B0B5E6B">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42.000</w:t>
            </w:r>
          </w:p>
        </w:tc>
      </w:tr>
      <w:tr w14:paraId="35FDE658">
        <w:tblPrEx>
          <w:tblCellMar>
            <w:top w:w="0" w:type="dxa"/>
            <w:left w:w="108" w:type="dxa"/>
            <w:bottom w:w="0" w:type="dxa"/>
            <w:right w:w="108" w:type="dxa"/>
          </w:tblCellMar>
        </w:tblPrEx>
        <w:trPr>
          <w:trHeight w:val="554"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BCC03FC">
            <w:pPr>
              <w:jc w:val="center"/>
              <w:textAlignment w:val="center"/>
              <w:rPr>
                <w:rFonts w:hint="default"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10</w:t>
            </w:r>
          </w:p>
        </w:tc>
        <w:tc>
          <w:tcPr>
            <w:tcW w:w="6058" w:type="dxa"/>
            <w:tcBorders>
              <w:top w:val="single" w:color="000000" w:sz="4" w:space="0"/>
              <w:left w:val="single" w:color="000000" w:sz="4" w:space="0"/>
              <w:bottom w:val="single" w:color="000000" w:sz="4" w:space="0"/>
              <w:right w:val="single" w:color="000000" w:sz="4" w:space="0"/>
            </w:tcBorders>
            <w:vAlign w:val="center"/>
          </w:tcPr>
          <w:p w14:paraId="27A5B018">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成套配电柜安装(落地式计量柜)   施耐德电器元件</w:t>
            </w:r>
          </w:p>
        </w:tc>
        <w:tc>
          <w:tcPr>
            <w:tcW w:w="1207" w:type="dxa"/>
            <w:tcBorders>
              <w:top w:val="single" w:color="000000" w:sz="4" w:space="0"/>
              <w:left w:val="single" w:color="000000" w:sz="4" w:space="0"/>
              <w:bottom w:val="single" w:color="000000" w:sz="4" w:space="0"/>
              <w:right w:val="single" w:color="000000" w:sz="4" w:space="0"/>
            </w:tcBorders>
            <w:vAlign w:val="center"/>
          </w:tcPr>
          <w:p w14:paraId="0D848066">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台</w:t>
            </w:r>
          </w:p>
        </w:tc>
        <w:tc>
          <w:tcPr>
            <w:tcW w:w="1218" w:type="dxa"/>
            <w:tcBorders>
              <w:top w:val="single" w:color="000000" w:sz="4" w:space="0"/>
              <w:left w:val="single" w:color="000000" w:sz="4" w:space="0"/>
              <w:bottom w:val="single" w:color="000000" w:sz="4" w:space="0"/>
              <w:right w:val="single" w:color="000000" w:sz="4" w:space="0"/>
            </w:tcBorders>
            <w:vAlign w:val="center"/>
          </w:tcPr>
          <w:p w14:paraId="0714DBA8">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1.000</w:t>
            </w:r>
          </w:p>
        </w:tc>
      </w:tr>
      <w:tr w14:paraId="7B11B52B">
        <w:tblPrEx>
          <w:tblCellMar>
            <w:top w:w="0" w:type="dxa"/>
            <w:left w:w="108" w:type="dxa"/>
            <w:bottom w:w="0" w:type="dxa"/>
            <w:right w:w="108" w:type="dxa"/>
          </w:tblCellMar>
        </w:tblPrEx>
        <w:trPr>
          <w:trHeight w:val="554"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89ADFA6">
            <w:pPr>
              <w:jc w:val="center"/>
              <w:textAlignment w:val="center"/>
              <w:rPr>
                <w:rFonts w:hint="default"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11</w:t>
            </w:r>
          </w:p>
        </w:tc>
        <w:tc>
          <w:tcPr>
            <w:tcW w:w="6058" w:type="dxa"/>
            <w:tcBorders>
              <w:top w:val="single" w:color="000000" w:sz="4" w:space="0"/>
              <w:left w:val="single" w:color="000000" w:sz="4" w:space="0"/>
              <w:bottom w:val="single" w:color="000000" w:sz="4" w:space="0"/>
              <w:right w:val="single" w:color="000000" w:sz="4" w:space="0"/>
            </w:tcBorders>
            <w:vAlign w:val="center"/>
          </w:tcPr>
          <w:p w14:paraId="218F7EF3">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揭、盖、移动盖板(盖板长度≤1000mm)</w:t>
            </w:r>
          </w:p>
        </w:tc>
        <w:tc>
          <w:tcPr>
            <w:tcW w:w="1207" w:type="dxa"/>
            <w:tcBorders>
              <w:top w:val="single" w:color="000000" w:sz="4" w:space="0"/>
              <w:left w:val="single" w:color="000000" w:sz="4" w:space="0"/>
              <w:bottom w:val="single" w:color="000000" w:sz="4" w:space="0"/>
              <w:right w:val="single" w:color="000000" w:sz="4" w:space="0"/>
            </w:tcBorders>
            <w:vAlign w:val="center"/>
          </w:tcPr>
          <w:p w14:paraId="30CE851F">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m</w:t>
            </w:r>
          </w:p>
        </w:tc>
        <w:tc>
          <w:tcPr>
            <w:tcW w:w="1218" w:type="dxa"/>
            <w:tcBorders>
              <w:top w:val="single" w:color="000000" w:sz="4" w:space="0"/>
              <w:left w:val="single" w:color="000000" w:sz="4" w:space="0"/>
              <w:bottom w:val="single" w:color="000000" w:sz="4" w:space="0"/>
              <w:right w:val="single" w:color="000000" w:sz="4" w:space="0"/>
            </w:tcBorders>
            <w:vAlign w:val="center"/>
          </w:tcPr>
          <w:p w14:paraId="3B73A765">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42.000</w:t>
            </w:r>
          </w:p>
        </w:tc>
      </w:tr>
      <w:tr w14:paraId="646A265B">
        <w:tblPrEx>
          <w:tblCellMar>
            <w:top w:w="0" w:type="dxa"/>
            <w:left w:w="108" w:type="dxa"/>
            <w:bottom w:w="0" w:type="dxa"/>
            <w:right w:w="108" w:type="dxa"/>
          </w:tblCellMar>
        </w:tblPrEx>
        <w:trPr>
          <w:trHeight w:val="82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B8F843B">
            <w:pPr>
              <w:jc w:val="center"/>
              <w:textAlignment w:val="center"/>
              <w:rPr>
                <w:rFonts w:hint="default"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color w:val="000000"/>
                <w:sz w:val="22"/>
                <w:szCs w:val="22"/>
                <w:highlight w:val="none"/>
                <w:lang w:val="en-US" w:eastAsia="zh-CN"/>
              </w:rPr>
              <w:t>12</w:t>
            </w:r>
          </w:p>
        </w:tc>
        <w:tc>
          <w:tcPr>
            <w:tcW w:w="6058" w:type="dxa"/>
            <w:tcBorders>
              <w:top w:val="single" w:color="000000" w:sz="4" w:space="0"/>
              <w:left w:val="single" w:color="000000" w:sz="4" w:space="0"/>
              <w:bottom w:val="single" w:color="000000" w:sz="4" w:space="0"/>
              <w:right w:val="single" w:color="000000" w:sz="4" w:space="0"/>
            </w:tcBorders>
            <w:vAlign w:val="center"/>
          </w:tcPr>
          <w:p w14:paraId="5615CEE1">
            <w:pPr>
              <w:keepNext w:val="0"/>
              <w:keepLines w:val="0"/>
              <w:widowControl/>
              <w:suppressLineNumbers w:val="0"/>
              <w:jc w:val="lef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电缆井人工抽水、人工吊顶、桥架揭盖、脚手架搭坼、墙体打孔及修补等综合用工(预算)</w:t>
            </w:r>
          </w:p>
        </w:tc>
        <w:tc>
          <w:tcPr>
            <w:tcW w:w="1207" w:type="dxa"/>
            <w:tcBorders>
              <w:top w:val="single" w:color="000000" w:sz="4" w:space="0"/>
              <w:left w:val="single" w:color="000000" w:sz="4" w:space="0"/>
              <w:bottom w:val="single" w:color="000000" w:sz="4" w:space="0"/>
              <w:right w:val="single" w:color="000000" w:sz="4" w:space="0"/>
            </w:tcBorders>
            <w:vAlign w:val="center"/>
          </w:tcPr>
          <w:p w14:paraId="48A380EE">
            <w:pPr>
              <w:keepNext w:val="0"/>
              <w:keepLines w:val="0"/>
              <w:widowControl/>
              <w:suppressLineNumbers w:val="0"/>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工日</w:t>
            </w:r>
          </w:p>
        </w:tc>
        <w:tc>
          <w:tcPr>
            <w:tcW w:w="1218" w:type="dxa"/>
            <w:tcBorders>
              <w:top w:val="single" w:color="000000" w:sz="4" w:space="0"/>
              <w:left w:val="single" w:color="000000" w:sz="4" w:space="0"/>
              <w:bottom w:val="single" w:color="000000" w:sz="4" w:space="0"/>
              <w:right w:val="single" w:color="000000" w:sz="4" w:space="0"/>
            </w:tcBorders>
            <w:vAlign w:val="center"/>
          </w:tcPr>
          <w:p w14:paraId="4A38F3AE">
            <w:pPr>
              <w:keepNext w:val="0"/>
              <w:keepLines w:val="0"/>
              <w:widowControl/>
              <w:suppressLineNumbers w:val="0"/>
              <w:jc w:val="right"/>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i w:val="0"/>
                <w:iCs w:val="0"/>
                <w:color w:val="000000"/>
                <w:kern w:val="0"/>
                <w:sz w:val="22"/>
                <w:szCs w:val="22"/>
                <w:highlight w:val="none"/>
                <w:u w:val="none"/>
                <w:lang w:val="en-US" w:eastAsia="zh-CN" w:bidi="ar"/>
              </w:rPr>
              <w:t>5.000</w:t>
            </w:r>
          </w:p>
        </w:tc>
      </w:tr>
    </w:tbl>
    <w:p w14:paraId="1D05F0DB">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备注; 1.工程清单范围外的辅助项目，需与甲方协商确认后，按实计算。</w:t>
      </w:r>
    </w:p>
    <w:p w14:paraId="2B0A6B8D">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firstLine="723" w:firstLineChars="300"/>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投标人提供的电缆、电气设备等需符合国标要求。</w:t>
      </w:r>
    </w:p>
    <w:p w14:paraId="797F5507">
      <w:pP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br w:type="page"/>
      </w:r>
    </w:p>
    <w:p w14:paraId="235C0249">
      <w:pPr>
        <w:pStyle w:val="3"/>
        <w:ind w:firstLine="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sz w:val="24"/>
          <w:szCs w:val="24"/>
          <w:highlight w:val="none"/>
        </w:rPr>
        <w:t>一、投标书</w:t>
      </w:r>
    </w:p>
    <w:p w14:paraId="43ED01E7">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致：福建省肿瘤医院</w:t>
      </w:r>
    </w:p>
    <w:p w14:paraId="46B4183D">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Theme="majorEastAsia" w:hAnsiTheme="majorEastAsia" w:eastAsiaTheme="majorEastAsia" w:cstheme="majorEastAsia"/>
          <w:b/>
          <w:sz w:val="24"/>
          <w:szCs w:val="24"/>
          <w:highlight w:val="none"/>
          <w:u w:val="single"/>
        </w:rPr>
        <w:t xml:space="preserve">：      </w:t>
      </w:r>
      <w:r>
        <w:rPr>
          <w:rFonts w:hint="eastAsia" w:asciiTheme="majorEastAsia" w:hAnsiTheme="majorEastAsia" w:eastAsiaTheme="majorEastAsia" w:cstheme="majorEastAsia"/>
          <w:sz w:val="24"/>
          <w:szCs w:val="24"/>
          <w:highlight w:val="none"/>
          <w:u w:val="single"/>
        </w:rPr>
        <w:t xml:space="preserve">  （小写：           ）</w:t>
      </w:r>
      <w:r>
        <w:rPr>
          <w:rFonts w:hint="eastAsia" w:asciiTheme="majorEastAsia" w:hAnsiTheme="majorEastAsia" w:eastAsiaTheme="majorEastAsia" w:cstheme="majorEastAsia"/>
          <w:sz w:val="24"/>
          <w:szCs w:val="24"/>
          <w:highlight w:val="none"/>
        </w:rPr>
        <w:t>的投标报价并按上述条款、标准要求承包上述项目，并承担任何质量缺陷保修责任。</w:t>
      </w:r>
    </w:p>
    <w:p w14:paraId="5F9C3854">
      <w:pPr>
        <w:ind w:firstLine="456" w:firstLineChars="19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2、我方已详细审核全部招标文件及有关附件。</w:t>
      </w:r>
    </w:p>
    <w:p w14:paraId="576F6442">
      <w:pPr>
        <w:ind w:firstLine="456" w:firstLineChars="19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3、一旦我方中标，我方保证质量达到</w:t>
      </w:r>
      <w:r>
        <w:rPr>
          <w:rFonts w:hint="eastAsia" w:asciiTheme="majorEastAsia" w:hAnsiTheme="majorEastAsia" w:eastAsiaTheme="majorEastAsia" w:cstheme="majorEastAsia"/>
          <w:b/>
          <w:sz w:val="24"/>
          <w:szCs w:val="24"/>
          <w:highlight w:val="none"/>
          <w:u w:val="single"/>
        </w:rPr>
        <w:t>投标须知、投标文件等规定</w:t>
      </w:r>
      <w:r>
        <w:rPr>
          <w:rFonts w:hint="eastAsia" w:asciiTheme="majorEastAsia" w:hAnsiTheme="majorEastAsia" w:eastAsiaTheme="majorEastAsia" w:cstheme="majorEastAsia"/>
          <w:sz w:val="24"/>
          <w:szCs w:val="24"/>
          <w:highlight w:val="none"/>
        </w:rPr>
        <w:t>标准。</w:t>
      </w:r>
    </w:p>
    <w:p w14:paraId="31907CF8">
      <w:pPr>
        <w:ind w:firstLine="456" w:firstLineChars="19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4、我方同意所提交的投标文件在招标文件的投标须知中规定的投标有效期内有效，在此期间内如果中标，我方将受此约束。</w:t>
      </w:r>
    </w:p>
    <w:p w14:paraId="0317E7B8">
      <w:pPr>
        <w:ind w:firstLine="426"/>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5、除非另外达成协议并生效，你方的中标通知书和本投标文件将成为约束双方的合同文件的组成部分。</w:t>
      </w:r>
    </w:p>
    <w:p w14:paraId="766A5955">
      <w:pPr>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附件：报价清单</w:t>
      </w:r>
    </w:p>
    <w:p w14:paraId="6BC8E03C">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投标人（盖章）： </w:t>
      </w:r>
    </w:p>
    <w:p w14:paraId="3A057E87">
      <w:pPr>
        <w:spacing w:line="360" w:lineRule="exact"/>
        <w:rPr>
          <w:rFonts w:hint="eastAsia" w:asciiTheme="majorEastAsia" w:hAnsiTheme="majorEastAsia" w:eastAsiaTheme="majorEastAsia" w:cstheme="majorEastAsia"/>
          <w:sz w:val="24"/>
          <w:szCs w:val="24"/>
          <w:highlight w:val="none"/>
        </w:rPr>
      </w:pPr>
    </w:p>
    <w:p w14:paraId="2EA4CC16">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单位地址： </w:t>
      </w:r>
    </w:p>
    <w:p w14:paraId="35E61D3D">
      <w:pPr>
        <w:spacing w:line="360" w:lineRule="exact"/>
        <w:rPr>
          <w:rFonts w:hint="eastAsia" w:asciiTheme="majorEastAsia" w:hAnsiTheme="majorEastAsia" w:eastAsiaTheme="majorEastAsia" w:cstheme="majorEastAsia"/>
          <w:sz w:val="24"/>
          <w:szCs w:val="24"/>
          <w:highlight w:val="none"/>
        </w:rPr>
      </w:pPr>
    </w:p>
    <w:p w14:paraId="27BCA256">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法定代表人（签字或盖章）：</w:t>
      </w:r>
    </w:p>
    <w:p w14:paraId="6499EABE">
      <w:pPr>
        <w:spacing w:line="360" w:lineRule="exact"/>
        <w:rPr>
          <w:rFonts w:hint="eastAsia" w:asciiTheme="majorEastAsia" w:hAnsiTheme="majorEastAsia" w:eastAsiaTheme="majorEastAsia" w:cstheme="majorEastAsia"/>
          <w:sz w:val="24"/>
          <w:szCs w:val="24"/>
          <w:highlight w:val="none"/>
        </w:rPr>
      </w:pPr>
    </w:p>
    <w:p w14:paraId="09DBDFA9">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邮政编码：         </w:t>
      </w:r>
    </w:p>
    <w:p w14:paraId="7DA04A5C">
      <w:pPr>
        <w:spacing w:line="360" w:lineRule="exact"/>
        <w:ind w:firstLine="2760" w:firstLineChars="1150"/>
        <w:rPr>
          <w:rFonts w:hint="eastAsia" w:asciiTheme="majorEastAsia" w:hAnsiTheme="majorEastAsia" w:eastAsiaTheme="majorEastAsia" w:cstheme="majorEastAsia"/>
          <w:sz w:val="24"/>
          <w:szCs w:val="24"/>
          <w:highlight w:val="none"/>
        </w:rPr>
      </w:pPr>
    </w:p>
    <w:p w14:paraId="27A80D4A">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电话：       </w:t>
      </w:r>
    </w:p>
    <w:p w14:paraId="2CC29786">
      <w:pPr>
        <w:spacing w:line="360" w:lineRule="exact"/>
        <w:ind w:firstLine="2760" w:firstLineChars="1150"/>
        <w:rPr>
          <w:rFonts w:hint="eastAsia" w:asciiTheme="majorEastAsia" w:hAnsiTheme="majorEastAsia" w:eastAsiaTheme="majorEastAsia" w:cstheme="majorEastAsia"/>
          <w:sz w:val="24"/>
          <w:szCs w:val="24"/>
          <w:highlight w:val="none"/>
        </w:rPr>
      </w:pPr>
    </w:p>
    <w:p w14:paraId="7E2BDDF1">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传真：  </w:t>
      </w:r>
    </w:p>
    <w:p w14:paraId="7A709CA7">
      <w:pPr>
        <w:spacing w:line="360" w:lineRule="exact"/>
        <w:rPr>
          <w:rFonts w:hint="eastAsia" w:asciiTheme="majorEastAsia" w:hAnsiTheme="majorEastAsia" w:eastAsiaTheme="majorEastAsia" w:cstheme="majorEastAsia"/>
          <w:sz w:val="24"/>
          <w:szCs w:val="24"/>
          <w:highlight w:val="none"/>
        </w:rPr>
      </w:pPr>
    </w:p>
    <w:p w14:paraId="340FD911">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开户银行名称： </w:t>
      </w:r>
    </w:p>
    <w:p w14:paraId="447FB924">
      <w:pPr>
        <w:spacing w:line="360" w:lineRule="exact"/>
        <w:rPr>
          <w:rFonts w:hint="eastAsia" w:asciiTheme="majorEastAsia" w:hAnsiTheme="majorEastAsia" w:eastAsiaTheme="majorEastAsia" w:cstheme="majorEastAsia"/>
          <w:sz w:val="24"/>
          <w:szCs w:val="24"/>
          <w:highlight w:val="none"/>
        </w:rPr>
      </w:pPr>
    </w:p>
    <w:p w14:paraId="7DF28936">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开户银行帐号： </w:t>
      </w:r>
    </w:p>
    <w:p w14:paraId="7A722857">
      <w:pPr>
        <w:spacing w:line="360" w:lineRule="exact"/>
        <w:rPr>
          <w:rFonts w:hint="eastAsia" w:asciiTheme="majorEastAsia" w:hAnsiTheme="majorEastAsia" w:eastAsiaTheme="majorEastAsia" w:cstheme="majorEastAsia"/>
          <w:sz w:val="24"/>
          <w:szCs w:val="24"/>
          <w:highlight w:val="none"/>
        </w:rPr>
      </w:pPr>
    </w:p>
    <w:p w14:paraId="440D1FC8">
      <w:pPr>
        <w:spacing w:line="360" w:lineRule="exact"/>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开户银行地址：</w:t>
      </w:r>
    </w:p>
    <w:p w14:paraId="6824764F">
      <w:pPr>
        <w:spacing w:line="360" w:lineRule="exact"/>
        <w:rPr>
          <w:rFonts w:hint="eastAsia" w:asciiTheme="majorEastAsia" w:hAnsiTheme="majorEastAsia" w:eastAsiaTheme="majorEastAsia" w:cstheme="majorEastAsia"/>
          <w:sz w:val="24"/>
          <w:szCs w:val="24"/>
          <w:highlight w:val="none"/>
        </w:rPr>
      </w:pPr>
    </w:p>
    <w:p w14:paraId="0D76115D">
      <w:pPr>
        <w:spacing w:line="360" w:lineRule="exact"/>
        <w:ind w:firstLine="2760" w:firstLineChars="11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开户银行电话： </w:t>
      </w:r>
    </w:p>
    <w:p w14:paraId="4DE9B4AE">
      <w:pPr>
        <w:spacing w:line="360" w:lineRule="exact"/>
        <w:ind w:firstLine="600"/>
        <w:rPr>
          <w:rFonts w:hint="eastAsia" w:asciiTheme="majorEastAsia" w:hAnsiTheme="majorEastAsia" w:eastAsiaTheme="majorEastAsia" w:cstheme="majorEastAsia"/>
          <w:sz w:val="24"/>
          <w:szCs w:val="24"/>
          <w:highlight w:val="none"/>
        </w:rPr>
      </w:pPr>
    </w:p>
    <w:p w14:paraId="106EC84E">
      <w:pPr>
        <w:spacing w:line="360" w:lineRule="exact"/>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   年   月    日</w:t>
      </w:r>
    </w:p>
    <w:p w14:paraId="0CA06B55">
      <w:pPr>
        <w:rPr>
          <w:rFonts w:hint="eastAsia" w:asciiTheme="majorEastAsia" w:hAnsiTheme="majorEastAsia" w:eastAsiaTheme="majorEastAsia" w:cstheme="majorEastAsia"/>
          <w:sz w:val="24"/>
          <w:szCs w:val="24"/>
          <w:highlight w:val="none"/>
        </w:rPr>
      </w:pPr>
    </w:p>
    <w:p w14:paraId="02059BBA">
      <w:pP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附件：投标报价清单</w:t>
      </w:r>
    </w:p>
    <w:p w14:paraId="6223B3CA">
      <w:pPr>
        <w:rPr>
          <w:rFonts w:hint="eastAsia" w:asciiTheme="majorEastAsia" w:hAnsiTheme="majorEastAsia" w:eastAsiaTheme="majorEastAsia" w:cstheme="majorEastAsia"/>
          <w:sz w:val="24"/>
          <w:szCs w:val="24"/>
          <w:highlight w:val="none"/>
        </w:rPr>
      </w:pPr>
    </w:p>
    <w:tbl>
      <w:tblPr>
        <w:tblStyle w:val="9"/>
        <w:tblW w:w="0" w:type="auto"/>
        <w:jc w:val="center"/>
        <w:tblLayout w:type="fixed"/>
        <w:tblCellMar>
          <w:top w:w="0" w:type="dxa"/>
          <w:left w:w="108" w:type="dxa"/>
          <w:bottom w:w="0" w:type="dxa"/>
          <w:right w:w="108" w:type="dxa"/>
        </w:tblCellMar>
      </w:tblPr>
      <w:tblGrid>
        <w:gridCol w:w="629"/>
        <w:gridCol w:w="4399"/>
        <w:gridCol w:w="1417"/>
        <w:gridCol w:w="1440"/>
      </w:tblGrid>
      <w:tr w14:paraId="5F48A96C">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19B75AC9">
            <w:pPr>
              <w:jc w:val="center"/>
              <w:rPr>
                <w:rFonts w:hint="eastAsia" w:asciiTheme="majorEastAsia" w:hAnsiTheme="majorEastAsia" w:eastAsiaTheme="majorEastAsia" w:cstheme="majorEastAsia"/>
                <w:sz w:val="24"/>
                <w:szCs w:val="24"/>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71DAFCE0">
            <w:pPr>
              <w:jc w:val="center"/>
              <w:rPr>
                <w:rFonts w:hint="eastAsia" w:asciiTheme="majorEastAsia" w:hAnsiTheme="majorEastAsia" w:eastAsiaTheme="majorEastAsia" w:cstheme="majorEastAsia"/>
                <w:sz w:val="24"/>
                <w:szCs w:val="24"/>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7E86A9E1">
            <w:pPr>
              <w:jc w:val="center"/>
              <w:rPr>
                <w:rFonts w:hint="eastAsia" w:asciiTheme="majorEastAsia" w:hAnsiTheme="majorEastAsia" w:eastAsiaTheme="majorEastAsia" w:cstheme="majorEastAsia"/>
                <w:sz w:val="24"/>
                <w:szCs w:val="24"/>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5E422D78">
            <w:pPr>
              <w:jc w:val="center"/>
              <w:rPr>
                <w:rFonts w:hint="eastAsia" w:asciiTheme="majorEastAsia" w:hAnsiTheme="majorEastAsia" w:eastAsiaTheme="majorEastAsia" w:cstheme="majorEastAsia"/>
                <w:sz w:val="24"/>
                <w:szCs w:val="24"/>
                <w:highlight w:val="none"/>
              </w:rPr>
            </w:pPr>
          </w:p>
        </w:tc>
      </w:tr>
      <w:tr w14:paraId="5AAB636C">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0FB5F797">
            <w:pPr>
              <w:jc w:val="center"/>
              <w:rPr>
                <w:rFonts w:hint="eastAsia" w:asciiTheme="majorEastAsia" w:hAnsiTheme="majorEastAsia" w:eastAsiaTheme="majorEastAsia" w:cstheme="majorEastAsia"/>
                <w:sz w:val="24"/>
                <w:szCs w:val="24"/>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6C8A7A3B">
            <w:pPr>
              <w:pStyle w:val="7"/>
              <w:shd w:val="clear" w:color="auto" w:fill="FFFFFF"/>
              <w:spacing w:line="304" w:lineRule="atLeast"/>
              <w:rPr>
                <w:rFonts w:hint="eastAsia" w:asciiTheme="majorEastAsia" w:hAnsiTheme="majorEastAsia" w:eastAsiaTheme="majorEastAsia" w:cstheme="majorEastAsia"/>
                <w:kern w:val="2"/>
                <w:sz w:val="24"/>
                <w:szCs w:val="24"/>
                <w:highlight w:val="none"/>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61E18612">
            <w:pPr>
              <w:jc w:val="center"/>
              <w:rPr>
                <w:rFonts w:hint="eastAsia" w:asciiTheme="majorEastAsia" w:hAnsiTheme="majorEastAsia" w:eastAsiaTheme="majorEastAsia" w:cstheme="majorEastAsia"/>
                <w:sz w:val="24"/>
                <w:szCs w:val="24"/>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4D542DD1">
            <w:pPr>
              <w:jc w:val="center"/>
              <w:rPr>
                <w:rFonts w:hint="eastAsia" w:asciiTheme="majorEastAsia" w:hAnsiTheme="majorEastAsia" w:eastAsiaTheme="majorEastAsia" w:cstheme="majorEastAsia"/>
                <w:sz w:val="24"/>
                <w:szCs w:val="24"/>
                <w:highlight w:val="none"/>
              </w:rPr>
            </w:pPr>
          </w:p>
        </w:tc>
      </w:tr>
      <w:tr w14:paraId="4D118564">
        <w:tblPrEx>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4F00237B">
            <w:pPr>
              <w:jc w:val="center"/>
              <w:rPr>
                <w:rFonts w:hint="eastAsia" w:asciiTheme="majorEastAsia" w:hAnsiTheme="majorEastAsia" w:eastAsiaTheme="majorEastAsia" w:cstheme="majorEastAsia"/>
                <w:sz w:val="24"/>
                <w:szCs w:val="24"/>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09BA042F">
            <w:pPr>
              <w:pStyle w:val="7"/>
              <w:shd w:val="clear" w:color="auto" w:fill="FFFFFF"/>
              <w:spacing w:line="304" w:lineRule="atLeast"/>
              <w:rPr>
                <w:rFonts w:hint="eastAsia" w:asciiTheme="majorEastAsia" w:hAnsiTheme="majorEastAsia" w:eastAsiaTheme="majorEastAsia" w:cstheme="majorEastAsia"/>
                <w:kern w:val="2"/>
                <w:sz w:val="24"/>
                <w:szCs w:val="24"/>
                <w:highlight w:val="none"/>
              </w:rPr>
            </w:pPr>
          </w:p>
        </w:tc>
        <w:tc>
          <w:tcPr>
            <w:tcW w:w="1417" w:type="dxa"/>
            <w:tcBorders>
              <w:top w:val="single" w:color="auto" w:sz="4" w:space="0"/>
              <w:left w:val="single" w:color="000000" w:sz="4" w:space="0"/>
              <w:bottom w:val="single" w:color="auto" w:sz="4" w:space="0"/>
              <w:right w:val="single" w:color="auto" w:sz="4" w:space="0"/>
            </w:tcBorders>
            <w:shd w:val="clear" w:color="FFFFFF" w:fill="auto"/>
          </w:tcPr>
          <w:p w14:paraId="4C2F94EF">
            <w:pPr>
              <w:jc w:val="center"/>
              <w:rPr>
                <w:rFonts w:hint="eastAsia" w:asciiTheme="majorEastAsia" w:hAnsiTheme="majorEastAsia" w:eastAsiaTheme="majorEastAsia" w:cstheme="majorEastAsia"/>
                <w:sz w:val="24"/>
                <w:szCs w:val="24"/>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tcPr>
          <w:p w14:paraId="25F87A82">
            <w:pPr>
              <w:jc w:val="center"/>
              <w:rPr>
                <w:rFonts w:hint="eastAsia" w:asciiTheme="majorEastAsia" w:hAnsiTheme="majorEastAsia" w:eastAsiaTheme="majorEastAsia" w:cstheme="majorEastAsia"/>
                <w:sz w:val="24"/>
                <w:szCs w:val="24"/>
                <w:highlight w:val="none"/>
              </w:rPr>
            </w:pPr>
          </w:p>
        </w:tc>
      </w:tr>
    </w:tbl>
    <w:p w14:paraId="75EBCB23">
      <w:pPr>
        <w:jc w:val="center"/>
        <w:rPr>
          <w:rFonts w:hint="eastAsia" w:asciiTheme="majorEastAsia" w:hAnsiTheme="majorEastAsia" w:eastAsiaTheme="majorEastAsia" w:cstheme="majorEastAsia"/>
          <w:sz w:val="24"/>
          <w:szCs w:val="24"/>
          <w:highlight w:val="none"/>
        </w:rPr>
      </w:pPr>
    </w:p>
    <w:p w14:paraId="260E8F34">
      <w:pP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br w:type="page"/>
      </w:r>
    </w:p>
    <w:p w14:paraId="3A5906F2">
      <w:pPr>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二、投标委托代表人资格证明书</w:t>
      </w:r>
    </w:p>
    <w:p w14:paraId="696C4DAC">
      <w:pPr>
        <w:rPr>
          <w:rFonts w:hint="eastAsia" w:asciiTheme="majorEastAsia" w:hAnsiTheme="majorEastAsia" w:eastAsiaTheme="majorEastAsia" w:cstheme="majorEastAsia"/>
          <w:sz w:val="24"/>
          <w:szCs w:val="24"/>
          <w:highlight w:val="none"/>
        </w:rPr>
      </w:pPr>
    </w:p>
    <w:p w14:paraId="43EEEA7D">
      <w:pPr>
        <w:spacing w:line="360" w:lineRule="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单位名称：</w:t>
      </w:r>
    </w:p>
    <w:p w14:paraId="6854D2CD">
      <w:pPr>
        <w:spacing w:line="360" w:lineRule="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地址：</w:t>
      </w:r>
    </w:p>
    <w:p w14:paraId="1827D70E">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姓名：    性别：年龄：  职务：   系委托代表人。为施工、竣工和保修项目，签署上述项目的投标文件、进行合同谈判、签署合同和处理与之有关的一切事务。</w:t>
      </w:r>
    </w:p>
    <w:p w14:paraId="0AD8BA26">
      <w:pPr>
        <w:spacing w:line="360" w:lineRule="auto"/>
        <w:rPr>
          <w:rFonts w:hint="eastAsia" w:asciiTheme="majorEastAsia" w:hAnsiTheme="majorEastAsia" w:eastAsiaTheme="majorEastAsia" w:cstheme="majorEastAsia"/>
          <w:sz w:val="24"/>
          <w:szCs w:val="24"/>
          <w:highlight w:val="none"/>
        </w:rPr>
      </w:pPr>
    </w:p>
    <w:p w14:paraId="679F56F8">
      <w:pPr>
        <w:spacing w:line="360" w:lineRule="auto"/>
        <w:ind w:firstLine="4680" w:firstLineChars="19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投标人（盖章）：   </w:t>
      </w:r>
    </w:p>
    <w:p w14:paraId="57C78D48">
      <w:pPr>
        <w:spacing w:line="360" w:lineRule="auto"/>
        <w:ind w:firstLine="4920" w:firstLineChars="205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年   月  日</w:t>
      </w:r>
    </w:p>
    <w:p w14:paraId="31064154">
      <w:pPr>
        <w:jc w:val="center"/>
        <w:rPr>
          <w:rFonts w:hint="eastAsia" w:asciiTheme="majorEastAsia" w:hAnsiTheme="majorEastAsia" w:eastAsiaTheme="majorEastAsia" w:cstheme="majorEastAsia"/>
          <w:b/>
          <w:sz w:val="24"/>
          <w:szCs w:val="24"/>
          <w:highlight w:val="none"/>
        </w:rPr>
      </w:pPr>
    </w:p>
    <w:p w14:paraId="5EAC8454">
      <w:pPr>
        <w:jc w:val="center"/>
        <w:rPr>
          <w:rFonts w:hint="eastAsia" w:asciiTheme="majorEastAsia" w:hAnsiTheme="majorEastAsia" w:eastAsiaTheme="majorEastAsia" w:cstheme="majorEastAsia"/>
          <w:b/>
          <w:sz w:val="24"/>
          <w:szCs w:val="24"/>
          <w:highlight w:val="none"/>
        </w:rPr>
      </w:pPr>
    </w:p>
    <w:p w14:paraId="3A602EF5">
      <w:pP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br w:type="page"/>
      </w:r>
    </w:p>
    <w:p w14:paraId="12B3DB61">
      <w:pPr>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三、投标承诺书</w:t>
      </w:r>
    </w:p>
    <w:p w14:paraId="7908B79E">
      <w:pPr>
        <w:tabs>
          <w:tab w:val="left" w:pos="5355"/>
        </w:tabs>
        <w:spacing w:before="100" w:beforeAutospacing="1" w:after="100" w:afterAutospacing="1" w:line="480" w:lineRule="auto"/>
        <w:ind w:firstLine="480" w:firstLineChars="20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我司承诺对项目的院内公开招标最终确定的综合评定最优结果表示认可，并承诺不会对福建省肿瘤医院在本项目招标过程中的工作模式以及终止本项目招标的可能提出疑议。</w:t>
      </w:r>
    </w:p>
    <w:p w14:paraId="2642D3EC">
      <w:pPr>
        <w:tabs>
          <w:tab w:val="left" w:pos="5355"/>
        </w:tabs>
        <w:spacing w:before="100" w:beforeAutospacing="1" w:after="100" w:afterAutospacing="1" w:line="48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sz w:val="24"/>
          <w:szCs w:val="24"/>
          <w:highlight w:val="none"/>
        </w:rPr>
        <w:t>我司承诺本投标所有的相关承诺书、投标文件等都作为本项目合同不可分割的部分，并承诺本项目合同、承诺书、投标书、方案等相关资料中发生歧义、冲突的条款、指标均</w:t>
      </w:r>
      <w:bookmarkStart w:id="0" w:name="_GoBack"/>
      <w:bookmarkEnd w:id="0"/>
      <w:r>
        <w:rPr>
          <w:rFonts w:hint="eastAsia" w:asciiTheme="majorEastAsia" w:hAnsiTheme="majorEastAsia" w:eastAsiaTheme="majorEastAsia" w:cstheme="majorEastAsia"/>
          <w:bCs/>
          <w:sz w:val="24"/>
          <w:szCs w:val="24"/>
          <w:highlight w:val="none"/>
        </w:rPr>
        <w:t>以福建省肿瘤医院解释或要求为标准。投标人承诺中标后能够完全配合本项目施工的进度开展工作。</w:t>
      </w:r>
    </w:p>
    <w:p w14:paraId="160C6BA6">
      <w:pPr>
        <w:tabs>
          <w:tab w:val="left" w:pos="5355"/>
        </w:tabs>
        <w:spacing w:before="100" w:beforeAutospacing="1" w:after="100" w:afterAutospacing="1" w:line="48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sz w:val="24"/>
          <w:szCs w:val="24"/>
          <w:highlight w:val="none"/>
        </w:rPr>
        <w:t>我司承诺福建省肿瘤医院在授予我司合同时有权利增加补充相关内容。</w:t>
      </w:r>
    </w:p>
    <w:p w14:paraId="64CD7AA3">
      <w:pPr>
        <w:tabs>
          <w:tab w:val="left" w:pos="5355"/>
        </w:tabs>
        <w:spacing w:before="100" w:beforeAutospacing="1" w:after="100" w:afterAutospacing="1" w:line="48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投标人名称（全称并加公章）：</w:t>
      </w:r>
    </w:p>
    <w:p w14:paraId="610F5162">
      <w:pPr>
        <w:tabs>
          <w:tab w:val="left" w:pos="5355"/>
        </w:tabs>
        <w:spacing w:before="100" w:beforeAutospacing="1" w:after="100" w:afterAutospacing="1" w:line="48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投标人代表签字：</w:t>
      </w:r>
    </w:p>
    <w:p w14:paraId="412B1E2D">
      <w:pPr>
        <w:tabs>
          <w:tab w:val="left" w:pos="5355"/>
        </w:tabs>
        <w:spacing w:before="100" w:beforeAutospacing="1" w:after="100" w:afterAutospacing="1" w:line="480" w:lineRule="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highlight w:val="none"/>
        </w:rPr>
        <w:t>日期：     年    月   日</w:t>
      </w:r>
    </w:p>
    <w:p w14:paraId="6911095B">
      <w:pPr>
        <w:spacing w:line="380" w:lineRule="exact"/>
        <w:rPr>
          <w:rFonts w:hint="eastAsia" w:asciiTheme="majorEastAsia" w:hAnsiTheme="majorEastAsia" w:eastAsiaTheme="majorEastAsia" w:cstheme="majorEastAsia"/>
          <w:sz w:val="24"/>
          <w:szCs w:val="24"/>
          <w:highlight w:val="none"/>
        </w:rPr>
      </w:pPr>
    </w:p>
    <w:p w14:paraId="03F97A7B">
      <w:pPr>
        <w:spacing w:line="380" w:lineRule="exact"/>
        <w:rPr>
          <w:rFonts w:hint="eastAsia" w:asciiTheme="majorEastAsia" w:hAnsiTheme="majorEastAsia" w:eastAsiaTheme="majorEastAsia" w:cstheme="majorEastAsia"/>
          <w:sz w:val="24"/>
          <w:szCs w:val="24"/>
          <w:highlight w:val="none"/>
        </w:rPr>
      </w:pPr>
    </w:p>
    <w:p w14:paraId="366718FA">
      <w:pPr>
        <w:spacing w:line="380" w:lineRule="exact"/>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四、投标方案</w:t>
      </w:r>
    </w:p>
    <w:p w14:paraId="094CA974">
      <w:pPr>
        <w:spacing w:line="380" w:lineRule="exact"/>
        <w:ind w:firstLine="480" w:firstLineChars="200"/>
        <w:rPr>
          <w:rFonts w:hint="eastAsia" w:asciiTheme="majorEastAsia" w:hAnsiTheme="majorEastAsia" w:eastAsiaTheme="majorEastAsia" w:cstheme="majorEastAsia"/>
          <w:sz w:val="24"/>
          <w:szCs w:val="24"/>
          <w:highlight w:val="none"/>
        </w:rPr>
      </w:pPr>
    </w:p>
    <w:p w14:paraId="056CBB4E">
      <w:pPr>
        <w:tabs>
          <w:tab w:val="left" w:pos="1600"/>
        </w:tabs>
        <w:spacing w:line="560" w:lineRule="exact"/>
        <w:ind w:left="330" w:firstLine="240"/>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五、投标人提交的其它材料</w:t>
      </w:r>
    </w:p>
    <w:p w14:paraId="7D951977">
      <w:pPr>
        <w:spacing w:line="220" w:lineRule="atLeast"/>
        <w:rPr>
          <w:rFonts w:hint="eastAsia" w:asciiTheme="majorEastAsia" w:hAnsiTheme="majorEastAsia" w:eastAsiaTheme="majorEastAsia" w:cstheme="majorEastAsia"/>
          <w:sz w:val="24"/>
          <w:szCs w:val="24"/>
          <w:highlight w:val="none"/>
        </w:rPr>
      </w:pPr>
    </w:p>
    <w:p w14:paraId="5A172C05">
      <w:pPr>
        <w:rPr>
          <w:rFonts w:hint="eastAsia" w:asciiTheme="majorEastAsia" w:hAnsiTheme="majorEastAsia" w:eastAsiaTheme="majorEastAsia" w:cstheme="majorEastAsia"/>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50130"/>
    <w:multiLevelType w:val="multilevel"/>
    <w:tmpl w:val="46050130"/>
    <w:lvl w:ilvl="0" w:tentative="0">
      <w:start w:val="1"/>
      <w:numFmt w:val="decimal"/>
      <w:lvlText w:val="%1."/>
      <w:lvlJc w:val="left"/>
      <w:pPr>
        <w:ind w:left="704"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DC28096"/>
    <w:multiLevelType w:val="singleLevel"/>
    <w:tmpl w:val="4DC28096"/>
    <w:lvl w:ilvl="0" w:tentative="0">
      <w:start w:val="2"/>
      <w:numFmt w:val="decimal"/>
      <w:lvlText w:val="%1."/>
      <w:lvlJc w:val="left"/>
      <w:pPr>
        <w:tabs>
          <w:tab w:val="left" w:pos="312"/>
        </w:tabs>
      </w:pPr>
    </w:lvl>
  </w:abstractNum>
  <w:abstractNum w:abstractNumId="2">
    <w:nsid w:val="5C848F9B"/>
    <w:multiLevelType w:val="multilevel"/>
    <w:tmpl w:val="5C848F9B"/>
    <w:lvl w:ilvl="0" w:tentative="0">
      <w:start w:val="1"/>
      <w:numFmt w:val="decimal"/>
      <w:lvlText w:val="%1."/>
      <w:lvlJc w:val="left"/>
      <w:pPr>
        <w:ind w:left="704"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NWUwMzE1MzE5ZTUyYjc3MGExMTZiNzk0OWQyMzIifQ=="/>
  </w:docVars>
  <w:rsids>
    <w:rsidRoot w:val="009F1444"/>
    <w:rsid w:val="00095603"/>
    <w:rsid w:val="0025397F"/>
    <w:rsid w:val="002652F7"/>
    <w:rsid w:val="00377165"/>
    <w:rsid w:val="004128AC"/>
    <w:rsid w:val="004C27EA"/>
    <w:rsid w:val="00525CB2"/>
    <w:rsid w:val="005321F9"/>
    <w:rsid w:val="005D188F"/>
    <w:rsid w:val="005E5394"/>
    <w:rsid w:val="006135B2"/>
    <w:rsid w:val="00655C9F"/>
    <w:rsid w:val="006D5587"/>
    <w:rsid w:val="006F63D4"/>
    <w:rsid w:val="00752992"/>
    <w:rsid w:val="00764EE0"/>
    <w:rsid w:val="007931D0"/>
    <w:rsid w:val="007976D9"/>
    <w:rsid w:val="007A3150"/>
    <w:rsid w:val="007F6BB3"/>
    <w:rsid w:val="00834E18"/>
    <w:rsid w:val="0085745D"/>
    <w:rsid w:val="008B1FD0"/>
    <w:rsid w:val="008C2BD3"/>
    <w:rsid w:val="008C6163"/>
    <w:rsid w:val="00902D0B"/>
    <w:rsid w:val="00985C79"/>
    <w:rsid w:val="009B35EA"/>
    <w:rsid w:val="009F1444"/>
    <w:rsid w:val="00A214F7"/>
    <w:rsid w:val="00A77B37"/>
    <w:rsid w:val="00A82C7E"/>
    <w:rsid w:val="00AB1D5A"/>
    <w:rsid w:val="00B74540"/>
    <w:rsid w:val="00B807EA"/>
    <w:rsid w:val="00C63044"/>
    <w:rsid w:val="00C63CC4"/>
    <w:rsid w:val="00D87839"/>
    <w:rsid w:val="00E9729B"/>
    <w:rsid w:val="00FD5866"/>
    <w:rsid w:val="022E6257"/>
    <w:rsid w:val="05D1148E"/>
    <w:rsid w:val="0E4523C1"/>
    <w:rsid w:val="115D4462"/>
    <w:rsid w:val="117C4118"/>
    <w:rsid w:val="23AE71DE"/>
    <w:rsid w:val="24244A84"/>
    <w:rsid w:val="2F1A271D"/>
    <w:rsid w:val="3F7722E4"/>
    <w:rsid w:val="43C61229"/>
    <w:rsid w:val="44E31BCB"/>
    <w:rsid w:val="46173A14"/>
    <w:rsid w:val="48DE31F8"/>
    <w:rsid w:val="52575B66"/>
    <w:rsid w:val="529474B1"/>
    <w:rsid w:val="52DA7F69"/>
    <w:rsid w:val="59D226A1"/>
    <w:rsid w:val="5D4F53FF"/>
    <w:rsid w:val="5DB1054E"/>
    <w:rsid w:val="69C06A4B"/>
    <w:rsid w:val="6CA55F3F"/>
    <w:rsid w:val="6ED8285B"/>
    <w:rsid w:val="6FC25354"/>
    <w:rsid w:val="703B6F40"/>
    <w:rsid w:val="706A3FC3"/>
    <w:rsid w:val="72987FCC"/>
    <w:rsid w:val="792702FB"/>
    <w:rsid w:val="FEFB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qFormat/>
    <w:uiPriority w:val="0"/>
    <w:pPr>
      <w:keepNext/>
      <w:keepLines/>
      <w:widowControl w:val="0"/>
      <w:adjustRightInd/>
      <w:snapToGri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adjustRightInd/>
      <w:snapToGrid/>
      <w:spacing w:after="0"/>
      <w:ind w:firstLine="420"/>
    </w:pPr>
    <w:rPr>
      <w:rFonts w:ascii="Times New Roman" w:hAnsi="Times New Roman" w:eastAsia="宋体"/>
      <w:sz w:val="20"/>
      <w:szCs w:val="20"/>
    </w:rPr>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6">
    <w:name w:val="Body Text 2"/>
    <w:basedOn w:val="1"/>
    <w:qFormat/>
    <w:uiPriority w:val="0"/>
    <w:pPr>
      <w:spacing w:after="120" w:line="480" w:lineRule="auto"/>
    </w:pPr>
  </w:style>
  <w:style w:type="paragraph" w:styleId="7">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8">
    <w:name w:val="Normal (Web)"/>
    <w:basedOn w:val="1"/>
    <w:unhideWhenUsed/>
    <w:qFormat/>
    <w:uiPriority w:val="99"/>
    <w:pPr>
      <w:spacing w:before="100" w:beforeAutospacing="1" w:after="100" w:afterAutospacing="1"/>
    </w:pPr>
    <w:rPr>
      <w:sz w:val="24"/>
    </w:rPr>
  </w:style>
  <w:style w:type="character" w:styleId="11">
    <w:name w:val="Strong"/>
    <w:basedOn w:val="10"/>
    <w:qFormat/>
    <w:uiPriority w:val="22"/>
    <w:rPr>
      <w:b/>
    </w:rPr>
  </w:style>
  <w:style w:type="character" w:styleId="12">
    <w:name w:val="Hyperlink"/>
    <w:basedOn w:val="10"/>
    <w:qFormat/>
    <w:uiPriority w:val="0"/>
    <w:rPr>
      <w:color w:val="0000FF" w:themeColor="hyperlink"/>
      <w:u w:val="single"/>
      <w14:textFill>
        <w14:solidFill>
          <w14:schemeClr w14:val="hlink"/>
        </w14:solidFill>
      </w14:textFill>
    </w:rPr>
  </w:style>
  <w:style w:type="paragraph" w:customStyle="1" w:styleId="13">
    <w:name w:val="null3"/>
    <w:qFormat/>
    <w:uiPriority w:val="0"/>
    <w:rPr>
      <w:rFonts w:hint="eastAsia" w:ascii="Calibri" w:hAnsi="Calibri" w:eastAsia="宋体" w:cs="Times New Roman"/>
      <w:lang w:val="en-US" w:eastAsia="zh-CN" w:bidi="ar-SA"/>
    </w:rPr>
  </w:style>
  <w:style w:type="character" w:customStyle="1" w:styleId="14">
    <w:name w:val="页眉 Char"/>
    <w:basedOn w:val="10"/>
    <w:link w:val="5"/>
    <w:qFormat/>
    <w:uiPriority w:val="0"/>
    <w:rPr>
      <w:rFonts w:ascii="Tahoma" w:hAnsi="Tahoma" w:eastAsia="微软雅黑"/>
      <w:sz w:val="18"/>
      <w:szCs w:val="18"/>
    </w:rPr>
  </w:style>
  <w:style w:type="character" w:customStyle="1" w:styleId="15">
    <w:name w:val="页脚 Char"/>
    <w:basedOn w:val="10"/>
    <w:link w:val="4"/>
    <w:qFormat/>
    <w:uiPriority w:val="0"/>
    <w:rPr>
      <w:rFonts w:ascii="Tahoma" w:hAnsi="Tahoma" w:eastAsia="微软雅黑"/>
      <w:sz w:val="18"/>
      <w:szCs w:val="18"/>
    </w:rPr>
  </w:style>
  <w:style w:type="character" w:customStyle="1" w:styleId="16">
    <w:name w:val="b-free-read-leaf"/>
    <w:basedOn w:val="10"/>
    <w:qFormat/>
    <w:uiPriority w:val="0"/>
  </w:style>
  <w:style w:type="character" w:customStyle="1" w:styleId="17">
    <w:name w:val="正文缩进 Char"/>
    <w:link w:val="3"/>
    <w:qFormat/>
    <w:uiPriority w:val="0"/>
  </w:style>
  <w:style w:type="character" w:customStyle="1" w:styleId="18">
    <w:name w:val="HTML 预设格式 Char"/>
    <w:basedOn w:val="10"/>
    <w:link w:val="7"/>
    <w:qFormat/>
    <w:uiPriority w:val="0"/>
    <w:rPr>
      <w:rFonts w:ascii="宋体" w:hAnsi="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18</Pages>
  <Words>2381</Words>
  <Characters>2621</Characters>
  <Lines>1</Lines>
  <Paragraphs>1</Paragraphs>
  <TotalTime>196</TotalTime>
  <ScaleCrop>false</ScaleCrop>
  <LinksUpToDate>false</LinksUpToDate>
  <CharactersWithSpaces>2665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2023-06-19T16:23:00Z</dcterms:created>
  <dc:creator>Administrator</dc:creator>
  <cp:lastModifiedBy>WONG</cp:lastModifiedBy>
  <cp:lastPrinted>2025-08-08T06:59:00Z</cp:lastPrinted>
  <dcterms:modified xsi:type="dcterms:W3CDTF">2025-08-13T02:31:19Z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EAA4D868E1DF47FFB4F6AE080ECE23CC_13</vt:lpwstr>
  </property>
  <property fmtid="{D5CDD505-2E9C-101B-9397-08002B2CF9AE}" pid="4" name="KSOTemplateDocerSaveRecord">
    <vt:lpwstr>eyJoZGlkIjoiOTllY2IzMjcxYzZjZWZiMTgyM2M4YzNkYzEwNDI5NDEiLCJ1c2VySWQiOiIyNDg5NDgifQ==</vt:lpwstr>
  </property>
</Properties>
</file>