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E18B6">
      <w:pPr>
        <w:pStyle w:val="3"/>
        <w:numPr>
          <w:ilvl w:val="0"/>
          <w:numId w:val="0"/>
        </w:numPr>
        <w:spacing w:before="0" w:after="0" w:line="240" w:lineRule="auto"/>
        <w:jc w:val="center"/>
        <w:rPr>
          <w:rFonts w:hint="eastAsia" w:ascii="方正小标宋简体" w:hAnsi="方正小标宋简体" w:eastAsia="方正小标宋简体" w:cs="方正小标宋简体"/>
          <w:b w:val="0"/>
          <w:sz w:val="44"/>
          <w:szCs w:val="44"/>
        </w:rPr>
      </w:pPr>
      <w:bookmarkStart w:id="0" w:name="_GoBack"/>
      <w:r>
        <w:rPr>
          <w:rFonts w:hint="eastAsia" w:ascii="方正小标宋简体" w:hAnsi="方正小标宋简体" w:eastAsia="方正小标宋简体" w:cs="方正小标宋简体"/>
          <w:b w:val="0"/>
          <w:sz w:val="44"/>
          <w:szCs w:val="44"/>
        </w:rPr>
        <w:t>福建省肿瘤医院</w:t>
      </w:r>
      <w:r>
        <w:rPr>
          <w:rFonts w:hint="eastAsia" w:ascii="方正小标宋简体" w:hAnsi="方正小标宋简体" w:eastAsia="方正小标宋简体" w:cs="方正小标宋简体"/>
          <w:b w:val="0"/>
          <w:sz w:val="44"/>
          <w:szCs w:val="44"/>
          <w:lang w:val="en-US" w:eastAsia="zh-CN"/>
        </w:rPr>
        <w:t>数据安全防护系统</w:t>
      </w:r>
      <w:r>
        <w:rPr>
          <w:rFonts w:hint="eastAsia" w:ascii="方正小标宋简体" w:hAnsi="方正小标宋简体" w:eastAsia="方正小标宋简体" w:cs="方正小标宋简体"/>
          <w:b w:val="0"/>
          <w:sz w:val="44"/>
          <w:szCs w:val="44"/>
        </w:rPr>
        <w:t>设备</w:t>
      </w:r>
    </w:p>
    <w:p w14:paraId="5C71522B">
      <w:pPr>
        <w:pStyle w:val="3"/>
        <w:numPr>
          <w:ilvl w:val="0"/>
          <w:numId w:val="0"/>
        </w:numPr>
        <w:spacing w:before="0" w:after="0" w:line="240" w:lineRule="auto"/>
        <w:jc w:val="center"/>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网超品牌论证公告</w:t>
      </w:r>
    </w:p>
    <w:p w14:paraId="5358F65D">
      <w:pPr>
        <w:shd w:val="clear" w:color="auto" w:fill="FFFFFF"/>
        <w:adjustRightInd w:val="0"/>
        <w:snapToGrid w:val="0"/>
        <w:spacing w:before="158" w:beforeLines="50" w:line="590" w:lineRule="exact"/>
        <w:jc w:val="center"/>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第一部分 须知前附表</w:t>
      </w:r>
    </w:p>
    <w:tbl>
      <w:tblPr>
        <w:tblStyle w:val="11"/>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14:paraId="2FC8E23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3DD615D">
            <w:pPr>
              <w:widowControl/>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BF4B03D">
            <w:pPr>
              <w:ind w:firstLine="0" w:firstLineChars="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调研报名时间： 2025 年</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8</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 xml:space="preserve">月 </w:t>
            </w:r>
            <w:r>
              <w:rPr>
                <w:rFonts w:hint="eastAsia" w:ascii="仿宋_GB2312" w:hAnsi="仿宋_GB2312" w:eastAsia="仿宋_GB2312" w:cs="仿宋_GB2312"/>
                <w:color w:val="000000"/>
                <w:kern w:val="0"/>
                <w:sz w:val="32"/>
                <w:szCs w:val="32"/>
                <w:u w:val="single"/>
                <w:lang w:val="en-US" w:eastAsia="zh-CN"/>
              </w:rPr>
              <w:t>20</w:t>
            </w:r>
            <w:r>
              <w:rPr>
                <w:rFonts w:hint="eastAsia" w:ascii="仿宋_GB2312" w:hAnsi="仿宋_GB2312" w:eastAsia="仿宋_GB2312" w:cs="仿宋_GB2312"/>
                <w:color w:val="000000"/>
                <w:kern w:val="0"/>
                <w:sz w:val="32"/>
                <w:szCs w:val="32"/>
              </w:rPr>
              <w:t xml:space="preserve">日至 </w:t>
            </w:r>
            <w:r>
              <w:rPr>
                <w:rFonts w:hint="eastAsia" w:ascii="仿宋_GB2312" w:hAnsi="仿宋_GB2312" w:eastAsia="仿宋_GB2312" w:cs="仿宋_GB2312"/>
                <w:color w:val="000000"/>
                <w:kern w:val="0"/>
                <w:sz w:val="32"/>
                <w:szCs w:val="32"/>
                <w:u w:val="single"/>
                <w:lang w:val="en-US" w:eastAsia="zh-CN"/>
              </w:rPr>
              <w:t>8</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26</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 xml:space="preserve">日 </w:t>
            </w:r>
            <w:r>
              <w:rPr>
                <w:rFonts w:hint="eastAsia" w:ascii="仿宋_GB2312" w:hAnsi="仿宋_GB2312" w:eastAsia="仿宋_GB2312" w:cs="仿宋_GB2312"/>
                <w:color w:val="000000"/>
                <w:spacing w:val="-8"/>
                <w:kern w:val="0"/>
                <w:sz w:val="32"/>
                <w:szCs w:val="32"/>
                <w:shd w:val="clear" w:color="auto" w:fill="FFFFFF"/>
              </w:rPr>
              <w:t>(节假日除外)8：00-12：00或14：00-17：</w:t>
            </w:r>
            <w:r>
              <w:rPr>
                <w:rFonts w:hint="eastAsia" w:ascii="仿宋_GB2312" w:hAnsi="仿宋_GB2312" w:eastAsia="仿宋_GB2312" w:cs="仿宋_GB2312"/>
                <w:color w:val="000000"/>
                <w:spacing w:val="-8"/>
                <w:kern w:val="0"/>
                <w:sz w:val="32"/>
                <w:szCs w:val="32"/>
                <w:shd w:val="clear" w:color="auto" w:fill="FFFFFF"/>
                <w:lang w:val="en-US" w:eastAsia="zh-CN"/>
              </w:rPr>
              <w:t>3</w:t>
            </w:r>
            <w:r>
              <w:rPr>
                <w:rFonts w:hint="eastAsia" w:ascii="仿宋_GB2312" w:hAnsi="仿宋_GB2312" w:eastAsia="仿宋_GB2312" w:cs="仿宋_GB2312"/>
                <w:color w:val="000000"/>
                <w:spacing w:val="-8"/>
                <w:kern w:val="0"/>
                <w:sz w:val="32"/>
                <w:szCs w:val="32"/>
                <w:shd w:val="clear" w:color="auto" w:fill="FFFFFF"/>
              </w:rPr>
              <w:t>0(北京时间）</w:t>
            </w:r>
          </w:p>
          <w:p w14:paraId="47F91BEE">
            <w:pPr>
              <w:widowControl/>
              <w:ind w:firstLine="0" w:firstLineChars="0"/>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 2025 年</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8</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 xml:space="preserve">月 </w:t>
            </w:r>
            <w:r>
              <w:rPr>
                <w:rFonts w:hint="eastAsia" w:ascii="仿宋_GB2312" w:hAnsi="仿宋_GB2312" w:eastAsia="仿宋_GB2312" w:cs="仿宋_GB2312"/>
                <w:color w:val="000000"/>
                <w:kern w:val="0"/>
                <w:sz w:val="32"/>
                <w:szCs w:val="32"/>
                <w:u w:val="single"/>
                <w:lang w:val="en-US" w:eastAsia="zh-CN"/>
              </w:rPr>
              <w:t>29</w:t>
            </w:r>
            <w:r>
              <w:rPr>
                <w:rFonts w:hint="eastAsia" w:ascii="仿宋_GB2312" w:hAnsi="仿宋_GB2312" w:eastAsia="仿宋_GB2312" w:cs="仿宋_GB2312"/>
                <w:color w:val="000000"/>
                <w:kern w:val="0"/>
                <w:sz w:val="32"/>
                <w:szCs w:val="32"/>
              </w:rPr>
              <w:t>日 9:00</w:t>
            </w:r>
          </w:p>
        </w:tc>
      </w:tr>
      <w:tr w14:paraId="5EE02E6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22F8F13">
            <w:pPr>
              <w:widowControl/>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07C950D">
            <w:pPr>
              <w:widowControl/>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文件正本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份,副本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份胶装并密封加盖投标人公章。文件未胶装将视为无效。</w:t>
            </w:r>
          </w:p>
        </w:tc>
      </w:tr>
      <w:tr w14:paraId="04787A2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7DBCEF4">
            <w:pPr>
              <w:widowControl/>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22D470B">
            <w:pPr>
              <w:widowControl/>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文件递交处：福建省肿瘤医院网络技术中心</w:t>
            </w:r>
          </w:p>
        </w:tc>
      </w:tr>
      <w:tr w14:paraId="5163272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3D25D20">
            <w:pPr>
              <w:widowControl/>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B38AE33">
            <w:pPr>
              <w:widowControl/>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上述时间、地点如有变动，以单位届时通知为准。</w:t>
            </w:r>
          </w:p>
        </w:tc>
      </w:tr>
      <w:tr w14:paraId="02813B7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8DCF79D">
            <w:pPr>
              <w:widowControl/>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D0DD648">
            <w:pPr>
              <w:widowControl/>
              <w:shd w:val="clear" w:color="auto" w:fill="FFFFFF"/>
              <w:adjustRightInd w:val="0"/>
              <w:snapToGrid w:val="0"/>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shd w:val="clear" w:color="auto" w:fill="FFFFFF"/>
              </w:rPr>
              <w:t>采购报名、采购调研等采购过程中有任何异议，可联系我院监督科室。电话：83660063-8407；83660063-8467。</w:t>
            </w:r>
          </w:p>
        </w:tc>
      </w:tr>
    </w:tbl>
    <w:p w14:paraId="733E625D">
      <w:pPr>
        <w:pStyle w:val="5"/>
        <w:ind w:firstLine="0" w:firstLineChars="0"/>
      </w:pPr>
    </w:p>
    <w:p w14:paraId="503A923C">
      <w:pPr>
        <w:widowControl/>
        <w:shd w:val="clear" w:color="auto" w:fill="FFFFFF"/>
        <w:ind w:firstLine="0" w:firstLineChars="0"/>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地　址： 福建省福州市福马路420号 </w:t>
      </w:r>
    </w:p>
    <w:p w14:paraId="02D6A684">
      <w:pPr>
        <w:widowControl/>
        <w:shd w:val="clear" w:color="auto" w:fill="FFFFFF"/>
        <w:ind w:firstLine="420"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福建省肿瘤医院科研楼四楼网络技术中心</w:t>
      </w:r>
    </w:p>
    <w:p w14:paraId="045006E0">
      <w:pPr>
        <w:widowControl/>
        <w:shd w:val="clear" w:color="auto" w:fill="FFFFFF"/>
        <w:ind w:firstLine="0"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邮　编： 350014　 </w:t>
      </w:r>
    </w:p>
    <w:p w14:paraId="6D4978F2">
      <w:pPr>
        <w:widowControl/>
        <w:shd w:val="clear" w:color="auto" w:fill="FFFFFF"/>
        <w:ind w:firstLine="0"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报名联系电话： 0591-83660063-8822</w:t>
      </w:r>
    </w:p>
    <w:p w14:paraId="5ED44867">
      <w:pPr>
        <w:widowControl/>
        <w:shd w:val="clear" w:color="auto" w:fill="FFFFFF"/>
        <w:ind w:firstLine="0" w:firstLineChars="0"/>
        <w:rPr>
          <w:rFonts w:hint="default" w:ascii="仿宋_GB2312" w:hAnsi="仿宋_GB2312" w:eastAsia="仿宋_GB2312" w:cs="仿宋_GB2312"/>
          <w:bCs/>
          <w:color w:val="000000"/>
          <w:kern w:val="0"/>
          <w:sz w:val="32"/>
          <w:szCs w:val="32"/>
          <w:shd w:val="clear" w:color="auto" w:fill="FFFFFF"/>
          <w:lang w:val="en-US" w:eastAsia="zh-CN"/>
        </w:rPr>
      </w:pPr>
      <w:r>
        <w:rPr>
          <w:rFonts w:hint="eastAsia" w:ascii="仿宋_GB2312" w:hAnsi="仿宋_GB2312" w:eastAsia="仿宋_GB2312" w:cs="仿宋_GB2312"/>
          <w:bCs/>
          <w:color w:val="000000"/>
          <w:kern w:val="0"/>
          <w:sz w:val="32"/>
          <w:szCs w:val="32"/>
          <w:shd w:val="clear" w:color="auto" w:fill="FFFFFF"/>
        </w:rPr>
        <w:t xml:space="preserve">联系人： </w:t>
      </w:r>
      <w:r>
        <w:rPr>
          <w:rFonts w:hint="eastAsia" w:ascii="仿宋_GB2312" w:hAnsi="仿宋_GB2312" w:eastAsia="仿宋_GB2312" w:cs="仿宋_GB2312"/>
          <w:bCs/>
          <w:color w:val="000000"/>
          <w:kern w:val="0"/>
          <w:sz w:val="32"/>
          <w:szCs w:val="32"/>
          <w:shd w:val="clear" w:color="auto" w:fill="FFFFFF"/>
          <w:lang w:val="en-US" w:eastAsia="zh-CN"/>
        </w:rPr>
        <w:t>钱</w:t>
      </w:r>
      <w:r>
        <w:rPr>
          <w:rFonts w:hint="eastAsia" w:ascii="仿宋_GB2312" w:hAnsi="仿宋_GB2312" w:eastAsia="仿宋_GB2312" w:cs="仿宋_GB2312"/>
          <w:bCs/>
          <w:color w:val="000000"/>
          <w:kern w:val="0"/>
          <w:sz w:val="32"/>
          <w:szCs w:val="32"/>
          <w:shd w:val="clear" w:color="auto" w:fill="FFFFFF"/>
        </w:rPr>
        <w:t>工</w:t>
      </w:r>
      <w:r>
        <w:rPr>
          <w:rFonts w:hint="eastAsia" w:ascii="仿宋_GB2312" w:hAnsi="仿宋_GB2312" w:eastAsia="仿宋_GB2312" w:cs="仿宋_GB2312"/>
          <w:bCs/>
          <w:color w:val="000000"/>
          <w:kern w:val="0"/>
          <w:sz w:val="32"/>
          <w:szCs w:val="32"/>
          <w:shd w:val="clear" w:color="auto" w:fill="FFFFFF"/>
          <w:lang w:eastAsia="zh-CN"/>
        </w:rPr>
        <w:t>、</w:t>
      </w:r>
      <w:r>
        <w:rPr>
          <w:rFonts w:hint="eastAsia" w:ascii="仿宋_GB2312" w:hAnsi="仿宋_GB2312" w:eastAsia="仿宋_GB2312" w:cs="仿宋_GB2312"/>
          <w:bCs/>
          <w:color w:val="000000"/>
          <w:kern w:val="0"/>
          <w:sz w:val="32"/>
          <w:szCs w:val="32"/>
          <w:shd w:val="clear" w:color="auto" w:fill="FFFFFF"/>
          <w:lang w:val="en-US" w:eastAsia="zh-CN"/>
        </w:rPr>
        <w:t>郑工</w:t>
      </w:r>
    </w:p>
    <w:p w14:paraId="6F8FE628">
      <w:pPr>
        <w:pStyle w:val="2"/>
        <w:rPr>
          <w:rFonts w:ascii="仿宋_GB2312" w:hAnsi="仿宋_GB2312" w:cs="仿宋_GB2312"/>
          <w:sz w:val="32"/>
          <w:szCs w:val="32"/>
        </w:rPr>
      </w:pPr>
      <w:r>
        <w:rPr>
          <w:rFonts w:hint="eastAsia" w:ascii="仿宋_GB2312" w:hAnsi="仿宋_GB2312" w:cs="仿宋_GB2312"/>
          <w:sz w:val="32"/>
          <w:szCs w:val="32"/>
        </w:rPr>
        <w:br w:type="page"/>
      </w:r>
    </w:p>
    <w:p w14:paraId="1B4E4435">
      <w:pPr>
        <w:shd w:val="clear" w:color="auto" w:fill="FFFFFF"/>
        <w:adjustRightInd w:val="0"/>
        <w:snapToGrid w:val="0"/>
        <w:ind w:firstLine="420"/>
        <w:jc w:val="center"/>
        <w:rPr>
          <w:rFonts w:ascii="黑体" w:hAnsi="黑体" w:eastAsia="黑体"/>
          <w:bCs/>
          <w:color w:val="000000"/>
          <w:kern w:val="0"/>
          <w:sz w:val="32"/>
          <w:szCs w:val="32"/>
          <w:shd w:val="clear" w:color="auto" w:fill="FFFFFF"/>
        </w:rPr>
      </w:pPr>
      <w:r>
        <w:rPr>
          <w:rFonts w:hint="eastAsia" w:ascii="黑体" w:hAnsi="黑体" w:eastAsia="黑体"/>
          <w:bCs/>
          <w:color w:val="000000"/>
          <w:kern w:val="0"/>
          <w:sz w:val="32"/>
          <w:szCs w:val="32"/>
          <w:shd w:val="clear" w:color="auto" w:fill="FFFFFF"/>
        </w:rPr>
        <w:t>第二部分 具体要求</w:t>
      </w:r>
    </w:p>
    <w:p w14:paraId="250043A6">
      <w:pPr>
        <w:shd w:val="clear" w:color="auto" w:fill="FFFFFF"/>
        <w:autoSpaceDE w:val="0"/>
        <w:snapToGrid w:val="0"/>
        <w:spacing w:before="158" w:beforeLines="50" w:line="360" w:lineRule="auto"/>
        <w:rPr>
          <w:rFonts w:ascii="宋体" w:hAnsi="宋体" w:cs="宋体"/>
          <w:b/>
          <w:color w:val="000000"/>
          <w:kern w:val="0"/>
          <w:sz w:val="28"/>
          <w:szCs w:val="28"/>
          <w:shd w:val="clear" w:color="auto" w:fill="FFFFFF"/>
        </w:rPr>
      </w:pPr>
      <w:r>
        <w:rPr>
          <w:rFonts w:hint="eastAsia" w:ascii="宋体" w:hAnsi="宋体" w:cs="宋体"/>
          <w:b/>
          <w:color w:val="000000"/>
          <w:kern w:val="0"/>
          <w:sz w:val="28"/>
          <w:szCs w:val="28"/>
          <w:shd w:val="clear" w:color="auto" w:fill="FFFFFF"/>
        </w:rPr>
        <w:t>一、采购内容</w:t>
      </w:r>
    </w:p>
    <w:tbl>
      <w:tblPr>
        <w:tblStyle w:val="11"/>
        <w:tblpPr w:leftFromText="180" w:rightFromText="180" w:vertAnchor="text" w:horzAnchor="page" w:tblpX="1562" w:tblpY="283"/>
        <w:tblOverlap w:val="never"/>
        <w:tblW w:w="9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7"/>
        <w:gridCol w:w="3178"/>
        <w:gridCol w:w="1590"/>
        <w:gridCol w:w="1894"/>
      </w:tblGrid>
      <w:tr w14:paraId="5AFF0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697" w:type="dxa"/>
            <w:vAlign w:val="center"/>
          </w:tcPr>
          <w:p w14:paraId="39E04884">
            <w:pPr>
              <w:snapToGrid w:val="0"/>
              <w:spacing w:line="312" w:lineRule="auto"/>
              <w:jc w:val="center"/>
              <w:rPr>
                <w:rFonts w:ascii="宋体" w:hAnsi="宋体" w:cs="宋体"/>
                <w:b/>
                <w:bCs/>
                <w:sz w:val="24"/>
              </w:rPr>
            </w:pPr>
            <w:r>
              <w:rPr>
                <w:rFonts w:hint="eastAsia" w:ascii="宋体" w:hAnsi="宋体" w:cs="宋体"/>
                <w:b/>
                <w:bCs/>
                <w:color w:val="000000"/>
                <w:kern w:val="0"/>
                <w:sz w:val="24"/>
              </w:rPr>
              <w:t>合同包</w:t>
            </w:r>
          </w:p>
        </w:tc>
        <w:tc>
          <w:tcPr>
            <w:tcW w:w="3178" w:type="dxa"/>
            <w:vAlign w:val="center"/>
          </w:tcPr>
          <w:p w14:paraId="5AE46727">
            <w:pPr>
              <w:snapToGrid w:val="0"/>
              <w:spacing w:line="312" w:lineRule="auto"/>
              <w:jc w:val="center"/>
              <w:rPr>
                <w:rFonts w:ascii="宋体" w:hAnsi="宋体" w:cs="宋体"/>
                <w:b/>
                <w:bCs/>
                <w:kern w:val="0"/>
                <w:sz w:val="24"/>
              </w:rPr>
            </w:pPr>
            <w:r>
              <w:rPr>
                <w:rFonts w:hint="eastAsia" w:ascii="宋体" w:hAnsi="宋体" w:cs="宋体"/>
                <w:b/>
                <w:bCs/>
                <w:color w:val="000000"/>
                <w:kern w:val="0"/>
                <w:sz w:val="24"/>
              </w:rPr>
              <w:t>名称</w:t>
            </w:r>
          </w:p>
        </w:tc>
        <w:tc>
          <w:tcPr>
            <w:tcW w:w="1590" w:type="dxa"/>
            <w:vAlign w:val="center"/>
          </w:tcPr>
          <w:p w14:paraId="7E877963">
            <w:pPr>
              <w:snapToGrid w:val="0"/>
              <w:spacing w:line="312" w:lineRule="auto"/>
              <w:jc w:val="center"/>
              <w:rPr>
                <w:rFonts w:ascii="宋体" w:hAnsi="宋体" w:cs="宋体"/>
                <w:b/>
                <w:bCs/>
                <w:kern w:val="0"/>
                <w:sz w:val="24"/>
              </w:rPr>
            </w:pPr>
            <w:r>
              <w:rPr>
                <w:rFonts w:hint="eastAsia" w:ascii="宋体" w:hAnsi="宋体" w:cs="宋体"/>
                <w:b/>
                <w:bCs/>
                <w:color w:val="000000"/>
                <w:kern w:val="0"/>
                <w:sz w:val="24"/>
              </w:rPr>
              <w:t>数量</w:t>
            </w:r>
          </w:p>
        </w:tc>
        <w:tc>
          <w:tcPr>
            <w:tcW w:w="1894" w:type="dxa"/>
            <w:vAlign w:val="center"/>
          </w:tcPr>
          <w:p w14:paraId="6B6D89E1">
            <w:pPr>
              <w:snapToGrid w:val="0"/>
              <w:spacing w:line="312" w:lineRule="auto"/>
              <w:jc w:val="center"/>
              <w:rPr>
                <w:rFonts w:ascii="宋体" w:hAnsi="宋体" w:cs="宋体"/>
                <w:b/>
                <w:bCs/>
                <w:kern w:val="0"/>
                <w:sz w:val="24"/>
              </w:rPr>
            </w:pPr>
            <w:r>
              <w:rPr>
                <w:rFonts w:hint="eastAsia" w:ascii="宋体" w:hAnsi="宋体" w:cs="宋体"/>
                <w:b/>
                <w:bCs/>
                <w:color w:val="000000"/>
                <w:kern w:val="0"/>
                <w:sz w:val="24"/>
              </w:rPr>
              <w:t>预算（万元）</w:t>
            </w:r>
          </w:p>
        </w:tc>
      </w:tr>
      <w:tr w14:paraId="4E644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exact"/>
        </w:trPr>
        <w:tc>
          <w:tcPr>
            <w:tcW w:w="2697" w:type="dxa"/>
            <w:vAlign w:val="center"/>
          </w:tcPr>
          <w:p w14:paraId="7B78560C">
            <w:pPr>
              <w:snapToGrid w:val="0"/>
              <w:spacing w:line="312" w:lineRule="auto"/>
              <w:jc w:val="center"/>
              <w:rPr>
                <w:rFonts w:hint="eastAsia" w:ascii="宋体" w:hAnsi="宋体" w:cs="宋体"/>
                <w:b/>
                <w:bCs/>
                <w:color w:val="000000"/>
                <w:kern w:val="0"/>
                <w:sz w:val="22"/>
                <w:szCs w:val="22"/>
                <w:lang w:eastAsia="zh-CN"/>
              </w:rPr>
            </w:pPr>
            <w:r>
              <w:rPr>
                <w:rFonts w:hint="eastAsia" w:ascii="宋体" w:hAnsi="宋体" w:cs="宋体"/>
                <w:b/>
                <w:bCs/>
                <w:color w:val="000000"/>
                <w:kern w:val="0"/>
                <w:sz w:val="22"/>
                <w:szCs w:val="22"/>
                <w:lang w:eastAsia="zh-CN"/>
              </w:rPr>
              <w:t>（</w:t>
            </w:r>
            <w:r>
              <w:rPr>
                <w:rFonts w:hint="eastAsia" w:ascii="宋体" w:hAnsi="宋体" w:cs="宋体"/>
                <w:b/>
                <w:bCs/>
                <w:color w:val="000000"/>
                <w:kern w:val="0"/>
                <w:sz w:val="22"/>
                <w:szCs w:val="22"/>
                <w:lang w:val="en-US" w:eastAsia="zh-CN"/>
              </w:rPr>
              <w:t>一</w:t>
            </w:r>
            <w:r>
              <w:rPr>
                <w:rFonts w:hint="eastAsia" w:ascii="宋体" w:hAnsi="宋体" w:cs="宋体"/>
                <w:b/>
                <w:bCs/>
                <w:color w:val="000000"/>
                <w:kern w:val="0"/>
                <w:sz w:val="22"/>
                <w:szCs w:val="22"/>
                <w:lang w:eastAsia="zh-CN"/>
              </w:rPr>
              <w:t>）</w:t>
            </w:r>
          </w:p>
        </w:tc>
        <w:tc>
          <w:tcPr>
            <w:tcW w:w="3178" w:type="dxa"/>
            <w:vAlign w:val="center"/>
          </w:tcPr>
          <w:p w14:paraId="4A0B23FE">
            <w:pPr>
              <w:snapToGrid w:val="0"/>
              <w:spacing w:line="312" w:lineRule="auto"/>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数据安全防护系统设备（网络入侵防御系统）</w:t>
            </w:r>
          </w:p>
        </w:tc>
        <w:tc>
          <w:tcPr>
            <w:tcW w:w="1590" w:type="dxa"/>
            <w:vAlign w:val="center"/>
          </w:tcPr>
          <w:p w14:paraId="606814C5">
            <w:pPr>
              <w:snapToGrid w:val="0"/>
              <w:spacing w:line="312"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1台</w:t>
            </w:r>
          </w:p>
        </w:tc>
        <w:tc>
          <w:tcPr>
            <w:tcW w:w="1894" w:type="dxa"/>
            <w:shd w:val="clear" w:color="auto" w:fill="auto"/>
            <w:vAlign w:val="center"/>
          </w:tcPr>
          <w:p w14:paraId="3EC908D9">
            <w:pPr>
              <w:snapToGrid w:val="0"/>
              <w:spacing w:line="312" w:lineRule="auto"/>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w:t>
            </w:r>
            <w:r>
              <w:rPr>
                <w:rFonts w:hint="eastAsia" w:ascii="宋体" w:hAnsi="宋体" w:cs="宋体"/>
                <w:kern w:val="0"/>
                <w:sz w:val="24"/>
                <w:lang w:val="en-US" w:eastAsia="zh-CN"/>
              </w:rPr>
              <w:t>5</w:t>
            </w:r>
          </w:p>
        </w:tc>
      </w:tr>
    </w:tbl>
    <w:p w14:paraId="08F0D45A">
      <w:pPr>
        <w:shd w:val="clear" w:color="auto" w:fill="FFFFFF"/>
        <w:autoSpaceDE w:val="0"/>
        <w:snapToGrid w:val="0"/>
        <w:spacing w:before="158" w:beforeLines="50" w:line="360" w:lineRule="auto"/>
        <w:rPr>
          <w:rFonts w:hint="eastAsia" w:ascii="宋体" w:hAnsi="宋体" w:cs="宋体"/>
          <w:b/>
          <w:color w:val="000000"/>
          <w:kern w:val="0"/>
          <w:sz w:val="28"/>
          <w:szCs w:val="28"/>
          <w:shd w:val="clear" w:color="auto" w:fill="FFFFFF"/>
        </w:rPr>
      </w:pPr>
      <w:r>
        <w:rPr>
          <w:rFonts w:hint="eastAsia" w:ascii="宋体" w:hAnsi="宋体" w:cs="宋体"/>
          <w:b/>
          <w:color w:val="000000"/>
          <w:kern w:val="0"/>
          <w:sz w:val="28"/>
          <w:szCs w:val="28"/>
          <w:shd w:val="clear" w:color="auto" w:fill="FFFFFF"/>
        </w:rPr>
        <w:t>二、技术及服务要求</w:t>
      </w:r>
    </w:p>
    <w:p w14:paraId="50043928">
      <w:pPr>
        <w:pStyle w:val="2"/>
        <w:keepNext w:val="0"/>
        <w:keepLines w:val="0"/>
        <w:pageBreakBefore w:val="0"/>
        <w:widowControl w:val="0"/>
        <w:kinsoku/>
        <w:wordWrap/>
        <w:overflowPunct w:val="0"/>
        <w:topLinePunct w:val="0"/>
        <w:autoSpaceDE w:val="0"/>
        <w:autoSpaceDN w:val="0"/>
        <w:bidi w:val="0"/>
        <w:adjustRightInd w:val="0"/>
        <w:snapToGrid w:val="0"/>
        <w:spacing w:before="159" w:beforeLines="50" w:line="360" w:lineRule="auto"/>
        <w:textAlignment w:val="baseline"/>
        <w:outlineLvl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一</w:t>
      </w:r>
      <w:r>
        <w:rPr>
          <w:rFonts w:hint="eastAsia" w:ascii="宋体" w:hAnsi="宋体" w:eastAsia="宋体" w:cs="宋体"/>
          <w:sz w:val="28"/>
          <w:szCs w:val="28"/>
        </w:rPr>
        <w:t>）合同包（</w:t>
      </w:r>
      <w:r>
        <w:rPr>
          <w:rFonts w:hint="eastAsia" w:ascii="宋体" w:hAnsi="宋体" w:eastAsia="宋体" w:cs="宋体"/>
          <w:sz w:val="28"/>
          <w:szCs w:val="28"/>
          <w:lang w:val="en-US" w:eastAsia="zh-CN"/>
        </w:rPr>
        <w:t>一</w:t>
      </w:r>
      <w:r>
        <w:rPr>
          <w:rFonts w:hint="eastAsia" w:ascii="宋体" w:hAnsi="宋体" w:eastAsia="宋体" w:cs="宋体"/>
          <w:sz w:val="28"/>
          <w:szCs w:val="28"/>
        </w:rPr>
        <w:t>）</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888"/>
        <w:gridCol w:w="1227"/>
        <w:gridCol w:w="5396"/>
      </w:tblGrid>
      <w:tr w14:paraId="4C70C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pct"/>
            <w:vAlign w:val="center"/>
          </w:tcPr>
          <w:p w14:paraId="794D0D32">
            <w:pPr>
              <w:snapToGrid w:val="0"/>
              <w:spacing w:line="312" w:lineRule="auto"/>
              <w:jc w:val="center"/>
              <w:rPr>
                <w:rFonts w:ascii="宋体" w:hAnsi="宋体" w:cs="宋体"/>
                <w:b/>
                <w:bCs/>
                <w:kern w:val="0"/>
                <w:sz w:val="22"/>
                <w:szCs w:val="22"/>
              </w:rPr>
            </w:pPr>
            <w:r>
              <w:rPr>
                <w:rFonts w:hint="eastAsia" w:ascii="宋体" w:hAnsi="宋体" w:cs="宋体"/>
                <w:b/>
                <w:bCs/>
                <w:kern w:val="0"/>
                <w:sz w:val="22"/>
                <w:szCs w:val="22"/>
              </w:rPr>
              <w:t>序号</w:t>
            </w:r>
          </w:p>
        </w:tc>
        <w:tc>
          <w:tcPr>
            <w:tcW w:w="1017" w:type="pct"/>
            <w:vAlign w:val="center"/>
          </w:tcPr>
          <w:p w14:paraId="1BF63520">
            <w:pPr>
              <w:snapToGrid w:val="0"/>
              <w:spacing w:line="312" w:lineRule="auto"/>
              <w:jc w:val="center"/>
              <w:rPr>
                <w:rFonts w:ascii="宋体" w:hAnsi="宋体" w:cs="宋体"/>
                <w:b/>
                <w:bCs/>
                <w:kern w:val="0"/>
                <w:sz w:val="22"/>
                <w:szCs w:val="22"/>
              </w:rPr>
            </w:pPr>
            <w:r>
              <w:rPr>
                <w:rFonts w:hint="eastAsia" w:ascii="宋体" w:hAnsi="宋体" w:cs="宋体"/>
                <w:b/>
                <w:bCs/>
                <w:kern w:val="0"/>
                <w:sz w:val="22"/>
                <w:szCs w:val="22"/>
              </w:rPr>
              <w:t>项目</w:t>
            </w:r>
          </w:p>
        </w:tc>
        <w:tc>
          <w:tcPr>
            <w:tcW w:w="661" w:type="pct"/>
            <w:vAlign w:val="center"/>
          </w:tcPr>
          <w:p w14:paraId="31E43A19">
            <w:pPr>
              <w:snapToGrid w:val="0"/>
              <w:spacing w:line="312" w:lineRule="auto"/>
              <w:jc w:val="center"/>
              <w:rPr>
                <w:rFonts w:ascii="宋体" w:hAnsi="宋体" w:cs="宋体"/>
                <w:b/>
                <w:bCs/>
                <w:kern w:val="0"/>
                <w:sz w:val="22"/>
                <w:szCs w:val="22"/>
              </w:rPr>
            </w:pPr>
            <w:r>
              <w:rPr>
                <w:rFonts w:hint="eastAsia" w:ascii="宋体" w:hAnsi="宋体" w:cs="宋体"/>
                <w:b/>
                <w:bCs/>
                <w:kern w:val="0"/>
                <w:sz w:val="22"/>
                <w:szCs w:val="22"/>
              </w:rPr>
              <w:t>数量</w:t>
            </w:r>
          </w:p>
        </w:tc>
        <w:tc>
          <w:tcPr>
            <w:tcW w:w="2906" w:type="pct"/>
            <w:vAlign w:val="center"/>
          </w:tcPr>
          <w:p w14:paraId="262BE5F8">
            <w:pPr>
              <w:snapToGrid w:val="0"/>
              <w:spacing w:line="312" w:lineRule="auto"/>
              <w:jc w:val="center"/>
              <w:rPr>
                <w:rFonts w:ascii="宋体" w:hAnsi="宋体" w:cs="宋体"/>
                <w:b/>
                <w:bCs/>
                <w:kern w:val="0"/>
                <w:sz w:val="22"/>
                <w:szCs w:val="22"/>
              </w:rPr>
            </w:pPr>
            <w:r>
              <w:rPr>
                <w:rFonts w:hint="eastAsia" w:ascii="宋体" w:hAnsi="宋体" w:cs="宋体"/>
                <w:b/>
                <w:bCs/>
                <w:kern w:val="0"/>
                <w:sz w:val="22"/>
                <w:szCs w:val="22"/>
              </w:rPr>
              <w:t>技术参数要求</w:t>
            </w:r>
          </w:p>
        </w:tc>
      </w:tr>
      <w:tr w14:paraId="013D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415" w:type="pct"/>
            <w:vAlign w:val="center"/>
          </w:tcPr>
          <w:p w14:paraId="0A990EEB">
            <w:pPr>
              <w:snapToGrid w:val="0"/>
              <w:spacing w:line="312" w:lineRule="auto"/>
              <w:jc w:val="center"/>
              <w:rPr>
                <w:rFonts w:ascii="宋体" w:hAnsi="宋体" w:cs="宋体"/>
                <w:kern w:val="0"/>
                <w:sz w:val="22"/>
                <w:szCs w:val="22"/>
              </w:rPr>
            </w:pPr>
            <w:r>
              <w:rPr>
                <w:rFonts w:hint="eastAsia" w:ascii="宋体" w:hAnsi="宋体" w:cs="宋体"/>
                <w:kern w:val="0"/>
                <w:sz w:val="22"/>
                <w:szCs w:val="22"/>
              </w:rPr>
              <w:t>1</w:t>
            </w:r>
          </w:p>
        </w:tc>
        <w:tc>
          <w:tcPr>
            <w:tcW w:w="1017" w:type="pct"/>
            <w:vAlign w:val="center"/>
          </w:tcPr>
          <w:p w14:paraId="0C03D203">
            <w:pPr>
              <w:snapToGrid w:val="0"/>
              <w:spacing w:line="312" w:lineRule="auto"/>
              <w:jc w:val="left"/>
              <w:rPr>
                <w:rFonts w:ascii="宋体" w:hAnsi="宋体" w:cs="宋体"/>
                <w:kern w:val="0"/>
                <w:sz w:val="22"/>
                <w:szCs w:val="22"/>
              </w:rPr>
            </w:pPr>
            <w:r>
              <w:rPr>
                <w:rFonts w:hint="eastAsia" w:ascii="宋体" w:hAnsi="宋体" w:eastAsia="宋体" w:cs="宋体"/>
                <w:kern w:val="0"/>
                <w:sz w:val="24"/>
                <w:lang w:val="en-US" w:eastAsia="zh-CN"/>
              </w:rPr>
              <w:t>数据安全防护系统设备（网络入侵防御系统）</w:t>
            </w:r>
          </w:p>
        </w:tc>
        <w:tc>
          <w:tcPr>
            <w:tcW w:w="661" w:type="pct"/>
            <w:vAlign w:val="center"/>
          </w:tcPr>
          <w:p w14:paraId="4FAF6E79">
            <w:pPr>
              <w:snapToGrid w:val="0"/>
              <w:spacing w:line="312" w:lineRule="auto"/>
              <w:jc w:val="both"/>
              <w:rPr>
                <w:rFonts w:ascii="宋体" w:hAnsi="宋体" w:cs="宋体"/>
                <w:kern w:val="0"/>
                <w:sz w:val="22"/>
                <w:szCs w:val="22"/>
              </w:rPr>
            </w:pPr>
            <w:r>
              <w:rPr>
                <w:rFonts w:hint="eastAsia" w:ascii="宋体" w:hAnsi="宋体" w:cs="宋体"/>
                <w:kern w:val="0"/>
                <w:sz w:val="22"/>
                <w:szCs w:val="22"/>
                <w:lang w:val="en-US" w:eastAsia="zh-CN"/>
              </w:rPr>
              <w:t>1</w:t>
            </w:r>
            <w:r>
              <w:rPr>
                <w:rFonts w:hint="eastAsia" w:ascii="宋体" w:hAnsi="宋体" w:cs="宋体"/>
                <w:kern w:val="0"/>
                <w:sz w:val="22"/>
                <w:szCs w:val="22"/>
              </w:rPr>
              <w:t>台</w:t>
            </w:r>
          </w:p>
        </w:tc>
        <w:tc>
          <w:tcPr>
            <w:tcW w:w="2906" w:type="pct"/>
          </w:tcPr>
          <w:p w14:paraId="3FB2017C">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sz w:val="24"/>
                <w:szCs w:val="32"/>
                <w:highlight w:val="yellow"/>
                <w:lang w:val="en-US" w:eastAsia="zh-CN"/>
              </w:rPr>
            </w:pPr>
            <w:r>
              <w:rPr>
                <w:rFonts w:hint="eastAsia"/>
                <w:sz w:val="24"/>
                <w:szCs w:val="32"/>
                <w:highlight w:val="none"/>
                <w:lang w:val="en-US" w:eastAsia="zh-CN"/>
              </w:rPr>
              <w:t>1.模块化设计，标准配置≥6个千兆电口、≥4个SFP接口、≥2个扩展槽；≥2个USB口、≥1个控制口；≥128G SSD、≥2T企业级硬盘。网络吞吐≥6Gbps，IPS吞吐≥1.2Gbps，新建连接≥3万，并发连接≥180万；每秒TCP新建连接数≥18万，最大TCP并发会话数≥200万，整机吞吐率≥10Gbps，IDS吞吐率≥5Gbps；</w:t>
            </w:r>
            <w:r>
              <w:rPr>
                <w:rFonts w:hint="eastAsia" w:ascii="宋体" w:hAnsi="宋体" w:cs="宋体"/>
                <w:kern w:val="0"/>
                <w:sz w:val="24"/>
                <w:highlight w:val="none"/>
              </w:rPr>
              <w:t>三年质保</w:t>
            </w:r>
            <w:r>
              <w:rPr>
                <w:rFonts w:hint="eastAsia" w:ascii="宋体" w:hAnsi="宋体" w:cs="宋体"/>
                <w:kern w:val="0"/>
                <w:sz w:val="24"/>
                <w:highlight w:val="none"/>
                <w:lang w:eastAsia="zh-CN"/>
              </w:rPr>
              <w:t>；</w:t>
            </w:r>
          </w:p>
          <w:p w14:paraId="2FD2FD1A">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firstLine="480" w:firstLineChars="200"/>
              <w:textAlignment w:val="auto"/>
              <w:rPr>
                <w:rFonts w:hint="eastAsia"/>
                <w:sz w:val="24"/>
                <w:szCs w:val="32"/>
                <w:lang w:val="en-US" w:eastAsia="zh-CN"/>
              </w:rPr>
            </w:pPr>
            <w:r>
              <w:rPr>
                <w:rFonts w:hint="eastAsia"/>
                <w:sz w:val="24"/>
                <w:szCs w:val="32"/>
                <w:lang w:val="en-US" w:eastAsia="zh-CN"/>
              </w:rPr>
              <w:t>支持展示选定时间内的恶意外联趋势、恶意外联总数、恶意外联活跃域名统计 Top10、恶意外联源IP Top10、恶意外联关系图、恶意外联类型、恶意外联详细信息；</w:t>
            </w:r>
          </w:p>
          <w:p w14:paraId="2363B583">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firstLine="480" w:firstLineChars="200"/>
              <w:textAlignment w:val="auto"/>
              <w:rPr>
                <w:rFonts w:hint="default"/>
                <w:sz w:val="24"/>
                <w:szCs w:val="32"/>
                <w:lang w:val="en-US" w:eastAsia="zh-CN"/>
              </w:rPr>
            </w:pPr>
            <w:r>
              <w:rPr>
                <w:rFonts w:hint="default"/>
                <w:sz w:val="24"/>
                <w:szCs w:val="32"/>
                <w:lang w:val="en-US" w:eastAsia="zh-CN"/>
              </w:rPr>
              <w:t>展示选定时间内的Web攻击趋势、Web攻击总数、Web攻击源IP Top10、Web攻击目的IP Top10、Web攻击URL统计、Web攻击返回码统计、Web攻击类型统计、Web攻击详情</w:t>
            </w:r>
            <w:r>
              <w:rPr>
                <w:rFonts w:hint="eastAsia"/>
                <w:sz w:val="24"/>
                <w:szCs w:val="32"/>
                <w:lang w:val="en-US" w:eastAsia="zh-CN"/>
              </w:rPr>
              <w:t>；</w:t>
            </w:r>
          </w:p>
          <w:p w14:paraId="31B8AB88">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firstLine="480" w:firstLineChars="200"/>
              <w:textAlignment w:val="auto"/>
              <w:rPr>
                <w:rFonts w:hint="default"/>
                <w:sz w:val="24"/>
                <w:szCs w:val="32"/>
                <w:lang w:val="en-US" w:eastAsia="zh-CN"/>
              </w:rPr>
            </w:pPr>
            <w:r>
              <w:rPr>
                <w:rFonts w:hint="default"/>
                <w:sz w:val="24"/>
                <w:szCs w:val="32"/>
                <w:lang w:val="en-US" w:eastAsia="zh-CN"/>
              </w:rPr>
              <w:t>提供漏洞检测功能，能够识别敏感信息泄漏漏洞、Oracle SQL注入漏洞、MySQL SQL注入漏洞、SQL Server SQL注入漏洞、远程代码执行漏洞、OpenSSL心脏出血漏洞、反序列化漏洞等高危漏洞</w:t>
            </w:r>
            <w:r>
              <w:rPr>
                <w:rFonts w:hint="eastAsia"/>
                <w:sz w:val="24"/>
                <w:szCs w:val="32"/>
                <w:lang w:val="en-US" w:eastAsia="zh-CN"/>
              </w:rPr>
              <w:t>；</w:t>
            </w:r>
          </w:p>
          <w:p w14:paraId="4BF04BA5">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firstLine="480" w:firstLineChars="200"/>
              <w:textAlignment w:val="auto"/>
              <w:rPr>
                <w:rFonts w:hint="default"/>
                <w:sz w:val="24"/>
                <w:szCs w:val="32"/>
                <w:lang w:val="en-US" w:eastAsia="zh-CN"/>
              </w:rPr>
            </w:pPr>
            <w:r>
              <w:rPr>
                <w:rFonts w:hint="default"/>
                <w:sz w:val="24"/>
                <w:szCs w:val="32"/>
                <w:lang w:val="en-US" w:eastAsia="zh-CN"/>
              </w:rPr>
              <w:t>支持自动识别资产，在不影响内部网络的前提下，通过自学习识别内部服务器资产及服务端口，支持HTTP、TELNET、Oracle、SQL Server、MySQL、DNS、FTP等资产服务的自动发现并进行认领</w:t>
            </w:r>
            <w:r>
              <w:rPr>
                <w:rFonts w:hint="eastAsia"/>
                <w:sz w:val="24"/>
                <w:szCs w:val="32"/>
                <w:lang w:val="en-US" w:eastAsia="zh-CN"/>
              </w:rPr>
              <w:t>；</w:t>
            </w:r>
          </w:p>
          <w:p w14:paraId="03A66A25">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firstLine="480" w:firstLineChars="200"/>
              <w:textAlignment w:val="auto"/>
              <w:rPr>
                <w:rFonts w:hint="default"/>
                <w:sz w:val="24"/>
                <w:szCs w:val="32"/>
                <w:lang w:val="en-US" w:eastAsia="zh-CN"/>
              </w:rPr>
            </w:pPr>
            <w:r>
              <w:rPr>
                <w:rFonts w:hint="default"/>
                <w:sz w:val="24"/>
                <w:szCs w:val="32"/>
                <w:lang w:val="en-US" w:eastAsia="zh-CN"/>
              </w:rPr>
              <w:t>事件详情查看中以分类规整方式动态嵌入与之相关的攻击证据，并能实现证据内容的无限次数的钻取。分类方式应包括：尝试获取用户信息、疑似敏感行为、尝试获取用户权限、疑似Web应用攻击、疑似木马活动、病毒扫描、协议异常、网络扫描、异常连接</w:t>
            </w:r>
            <w:r>
              <w:rPr>
                <w:rFonts w:hint="eastAsia"/>
                <w:sz w:val="24"/>
                <w:szCs w:val="32"/>
                <w:lang w:val="en-US" w:eastAsia="zh-CN"/>
              </w:rPr>
              <w:t>；</w:t>
            </w:r>
          </w:p>
          <w:p w14:paraId="7B60CFFC">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0" w:leftChars="0" w:firstLine="480" w:firstLineChars="200"/>
              <w:textAlignment w:val="auto"/>
              <w:rPr>
                <w:rFonts w:hint="eastAsia"/>
                <w:sz w:val="24"/>
                <w:szCs w:val="32"/>
                <w:lang w:val="en-US" w:eastAsia="zh-CN"/>
              </w:rPr>
            </w:pPr>
            <w:r>
              <w:rPr>
                <w:rFonts w:hint="eastAsia"/>
                <w:sz w:val="24"/>
                <w:szCs w:val="32"/>
                <w:lang w:val="en-US" w:eastAsia="zh-CN"/>
              </w:rPr>
              <w:t>当服务器前端部署代理设备或CDN时，通过配置源IP解析规则，获取真实的攻击源IP地址，支持配置规则名称、解析方法、解析字段、代理级数、规则状态等信息；</w:t>
            </w:r>
          </w:p>
          <w:p w14:paraId="3984E168">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0" w:leftChars="0" w:firstLine="480" w:firstLineChars="200"/>
              <w:textAlignment w:val="auto"/>
              <w:rPr>
                <w:rFonts w:hint="default"/>
                <w:sz w:val="24"/>
                <w:szCs w:val="32"/>
                <w:lang w:val="en-US" w:eastAsia="zh-CN"/>
              </w:rPr>
            </w:pPr>
            <w:r>
              <w:rPr>
                <w:rFonts w:hint="eastAsia" w:ascii="宋体" w:hAnsi="宋体" w:cs="宋体"/>
                <w:color w:val="auto"/>
                <w:sz w:val="24"/>
                <w:szCs w:val="32"/>
                <w:highlight w:val="none"/>
              </w:rPr>
              <w:t>支持与我院现有部署的安全感知与运营管理平台</w:t>
            </w:r>
            <w:r>
              <w:rPr>
                <w:rFonts w:hint="eastAsia" w:ascii="宋体" w:hAnsi="宋体" w:cs="宋体"/>
                <w:color w:val="auto"/>
                <w:sz w:val="24"/>
                <w:szCs w:val="32"/>
                <w:highlight w:val="none"/>
                <w:lang w:val="en-US" w:eastAsia="zh-CN"/>
              </w:rPr>
              <w:t>无缝对接</w:t>
            </w:r>
            <w:r>
              <w:rPr>
                <w:rFonts w:hint="eastAsia" w:ascii="宋体" w:hAnsi="宋体" w:cs="宋体"/>
                <w:color w:val="auto"/>
                <w:sz w:val="24"/>
                <w:szCs w:val="32"/>
                <w:highlight w:val="none"/>
              </w:rPr>
              <w:t>，实现分析日志上传，集中分析等</w:t>
            </w:r>
            <w:r>
              <w:rPr>
                <w:rFonts w:hint="eastAsia" w:ascii="宋体" w:hAnsi="宋体" w:cs="宋体"/>
                <w:color w:val="auto"/>
                <w:sz w:val="24"/>
                <w:szCs w:val="32"/>
                <w:highlight w:val="none"/>
                <w:lang w:val="en-US" w:eastAsia="zh-CN"/>
              </w:rPr>
              <w:t>功能</w:t>
            </w:r>
            <w:r>
              <w:rPr>
                <w:rFonts w:hint="eastAsia" w:ascii="宋体" w:hAnsi="宋体" w:cs="宋体"/>
                <w:color w:val="auto"/>
                <w:sz w:val="24"/>
                <w:szCs w:val="32"/>
                <w:highlight w:val="none"/>
              </w:rPr>
              <w:t>，提升</w:t>
            </w:r>
            <w:r>
              <w:rPr>
                <w:rFonts w:hint="eastAsia" w:ascii="宋体" w:hAnsi="宋体" w:cs="宋体"/>
                <w:color w:val="auto"/>
                <w:sz w:val="24"/>
                <w:szCs w:val="32"/>
                <w:highlight w:val="none"/>
                <w:lang w:val="en-US" w:eastAsia="zh-CN"/>
              </w:rPr>
              <w:t>整体安全监测</w:t>
            </w:r>
            <w:r>
              <w:rPr>
                <w:rFonts w:hint="eastAsia" w:ascii="宋体" w:hAnsi="宋体" w:cs="宋体"/>
                <w:color w:val="auto"/>
                <w:sz w:val="24"/>
                <w:szCs w:val="32"/>
                <w:highlight w:val="none"/>
              </w:rPr>
              <w:t>水平；（承担定制接口所需费用</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提供承诺函）</w:t>
            </w:r>
          </w:p>
        </w:tc>
      </w:tr>
    </w:tbl>
    <w:p w14:paraId="4D970382">
      <w:pPr>
        <w:pStyle w:val="2"/>
        <w:numPr>
          <w:ilvl w:val="0"/>
          <w:numId w:val="0"/>
        </w:numPr>
        <w:rPr>
          <w:rFonts w:ascii="仿宋_GB2312" w:hAnsi="仿宋_GB2312" w:cs="仿宋_GB2312"/>
          <w:b/>
          <w:bCs/>
          <w:sz w:val="32"/>
          <w:szCs w:val="32"/>
        </w:rPr>
      </w:pPr>
    </w:p>
    <w:p w14:paraId="32004528">
      <w:pPr>
        <w:pStyle w:val="2"/>
        <w:numPr>
          <w:ilvl w:val="0"/>
          <w:numId w:val="2"/>
        </w:numPr>
        <w:rPr>
          <w:rFonts w:ascii="仿宋_GB2312" w:hAnsi="仿宋_GB2312" w:cs="仿宋_GB2312"/>
          <w:b/>
          <w:bCs/>
          <w:sz w:val="32"/>
          <w:szCs w:val="32"/>
        </w:rPr>
      </w:pPr>
      <w:r>
        <w:rPr>
          <w:rFonts w:hint="eastAsia" w:ascii="仿宋_GB2312" w:hAnsi="仿宋_GB2312" w:cs="仿宋_GB2312"/>
          <w:b/>
          <w:bCs/>
          <w:sz w:val="32"/>
          <w:szCs w:val="32"/>
        </w:rPr>
        <w:t>其他要求</w:t>
      </w:r>
    </w:p>
    <w:p w14:paraId="1E486393">
      <w:pPr>
        <w:pStyle w:val="19"/>
        <w:spacing w:before="0" w:beforeAutospacing="0" w:after="0" w:afterAutospacing="0" w:line="480" w:lineRule="atLeast"/>
        <w:ind w:firstLine="640"/>
        <w:jc w:val="both"/>
      </w:pPr>
      <w:r>
        <w:rPr>
          <w:rStyle w:val="20"/>
          <w:rFonts w:hint="eastAsia" w:ascii="仿宋_GB2312" w:eastAsia="仿宋_GB2312"/>
          <w:sz w:val="32"/>
          <w:szCs w:val="32"/>
        </w:rPr>
        <w:t>1、本项目为交钥匙工程，设备安装、系统集成、软件客户化均由</w:t>
      </w:r>
      <w:r>
        <w:rPr>
          <w:rStyle w:val="20"/>
          <w:rFonts w:hint="eastAsia" w:ascii="仿宋_GB2312" w:eastAsia="仿宋_GB2312"/>
          <w:sz w:val="32"/>
          <w:szCs w:val="32"/>
          <w:lang w:val="en-US" w:eastAsia="zh-CN"/>
        </w:rPr>
        <w:t>采购人</w:t>
      </w:r>
      <w:r>
        <w:rPr>
          <w:rStyle w:val="20"/>
          <w:rFonts w:hint="eastAsia" w:ascii="仿宋_GB2312" w:eastAsia="仿宋_GB2312"/>
          <w:sz w:val="32"/>
          <w:szCs w:val="32"/>
        </w:rPr>
        <w:t>负责。提供各设备上架调试、系统集成等软硬件安装安装工作，同时结合医院现有设备及应用情况，实施现有及本项目规划、等保安全、系统集成、数据迁移、协助完成医院评审工作包括但不限于三级等保评审、电子病历评审、互联互通评审等各项工作。</w:t>
      </w:r>
    </w:p>
    <w:p w14:paraId="627AFC9D">
      <w:pPr>
        <w:pStyle w:val="19"/>
        <w:spacing w:before="0" w:beforeAutospacing="0" w:after="0" w:afterAutospacing="0" w:line="480" w:lineRule="atLeast"/>
        <w:ind w:firstLine="640"/>
        <w:jc w:val="both"/>
        <w:rPr>
          <w:highlight w:val="none"/>
        </w:rPr>
      </w:pPr>
      <w:r>
        <w:rPr>
          <w:rStyle w:val="20"/>
          <w:rFonts w:hint="eastAsia" w:ascii="仿宋_GB2312" w:eastAsia="仿宋_GB2312"/>
          <w:sz w:val="32"/>
          <w:szCs w:val="32"/>
        </w:rPr>
        <w:t>2、本项目系统需符合《信息安全技术网络安全等级保护基本要求》GB/T22239-2019（三级）要求（下文简称：三级等保2.0），并在三级等保2.0评审中协助完成本系统评审工作。</w:t>
      </w:r>
    </w:p>
    <w:p w14:paraId="7AD01E8E">
      <w:pPr>
        <w:spacing w:line="315" w:lineRule="atLeas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kern w:val="0"/>
          <w:sz w:val="32"/>
          <w:szCs w:val="32"/>
          <w:highlight w:val="none"/>
        </w:rPr>
        <w:t>3.</w:t>
      </w:r>
      <w:r>
        <w:rPr>
          <w:rFonts w:hint="eastAsia" w:ascii="仿宋_GB2312" w:hAnsi="仿宋_GB2312" w:eastAsia="仿宋_GB2312" w:cs="仿宋_GB2312"/>
          <w:color w:val="auto"/>
          <w:kern w:val="0"/>
          <w:sz w:val="32"/>
          <w:szCs w:val="32"/>
          <w:highlight w:val="none"/>
        </w:rPr>
        <w:t>为保证对接兼容性，供应商须承诺本次采购的</w:t>
      </w:r>
      <w:r>
        <w:rPr>
          <w:rFonts w:hint="eastAsia" w:ascii="仿宋_GB2312" w:hAnsi="仿宋_GB2312" w:eastAsia="仿宋_GB2312" w:cs="仿宋_GB2312"/>
          <w:color w:val="auto"/>
          <w:kern w:val="0"/>
          <w:sz w:val="32"/>
          <w:szCs w:val="32"/>
          <w:highlight w:val="none"/>
          <w:lang w:eastAsia="zh-CN"/>
        </w:rPr>
        <w:t>网络入侵检测系统</w:t>
      </w:r>
      <w:r>
        <w:rPr>
          <w:rFonts w:hint="eastAsia" w:ascii="仿宋_GB2312" w:hAnsi="仿宋_GB2312" w:eastAsia="仿宋_GB2312" w:cs="仿宋_GB2312"/>
          <w:color w:val="auto"/>
          <w:kern w:val="0"/>
          <w:sz w:val="32"/>
          <w:szCs w:val="32"/>
          <w:highlight w:val="none"/>
        </w:rPr>
        <w:t>支持与医院</w:t>
      </w:r>
      <w:r>
        <w:rPr>
          <w:rFonts w:hint="eastAsia" w:ascii="仿宋_GB2312" w:hAnsi="仿宋_GB2312" w:eastAsia="仿宋_GB2312" w:cs="仿宋_GB2312"/>
          <w:color w:val="auto"/>
          <w:kern w:val="0"/>
          <w:sz w:val="32"/>
          <w:szCs w:val="32"/>
          <w:highlight w:val="none"/>
          <w:lang w:val="en-US" w:eastAsia="zh-CN"/>
        </w:rPr>
        <w:t>现有</w:t>
      </w:r>
      <w:r>
        <w:rPr>
          <w:rFonts w:hint="eastAsia" w:ascii="仿宋_GB2312" w:hAnsi="仿宋_GB2312" w:eastAsia="仿宋_GB2312" w:cs="仿宋_GB2312"/>
          <w:color w:val="auto"/>
          <w:kern w:val="0"/>
          <w:sz w:val="32"/>
          <w:szCs w:val="32"/>
          <w:highlight w:val="none"/>
        </w:rPr>
        <w:t>的安全感知与运营管理平台对接，实现分析日志上传，集中分析等功能，提升</w:t>
      </w:r>
      <w:r>
        <w:rPr>
          <w:rFonts w:hint="eastAsia" w:ascii="仿宋_GB2312" w:hAnsi="仿宋_GB2312" w:eastAsia="仿宋_GB2312" w:cs="仿宋_GB2312"/>
          <w:color w:val="auto"/>
          <w:kern w:val="0"/>
          <w:sz w:val="32"/>
          <w:szCs w:val="32"/>
          <w:highlight w:val="none"/>
          <w:lang w:val="en-US" w:eastAsia="zh-CN"/>
        </w:rPr>
        <w:t>整体的安全监测</w:t>
      </w:r>
      <w:r>
        <w:rPr>
          <w:rFonts w:hint="eastAsia" w:ascii="仿宋_GB2312" w:hAnsi="仿宋_GB2312" w:eastAsia="仿宋_GB2312" w:cs="仿宋_GB2312"/>
          <w:color w:val="auto"/>
          <w:kern w:val="0"/>
          <w:sz w:val="32"/>
          <w:szCs w:val="32"/>
          <w:highlight w:val="none"/>
        </w:rPr>
        <w:t>水平，并承担接口定制所需费用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若涉及对医院现有系统平台进行改造的，经采购人同意后，产生的费用由成交人自行承担。</w:t>
      </w:r>
    </w:p>
    <w:p w14:paraId="4A2B608A">
      <w:pPr>
        <w:spacing w:line="315"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none"/>
        </w:rPr>
        <w:t>4.</w:t>
      </w:r>
      <w:r>
        <w:rPr>
          <w:rFonts w:hint="eastAsia" w:ascii="仿宋_GB2312" w:hAnsi="仿宋_GB2312" w:eastAsia="仿宋_GB2312" w:cs="仿宋_GB2312"/>
          <w:kern w:val="0"/>
          <w:sz w:val="32"/>
          <w:szCs w:val="32"/>
        </w:rPr>
        <w:t>本项目涉及的安全设备安装调试并经验收合格后，应对采购方的相关人员提供关于系统应用时技术和操作方面的培训。相关培训费用应包含在投标总价中。</w:t>
      </w:r>
    </w:p>
    <w:p w14:paraId="571042A6">
      <w:pPr>
        <w:pStyle w:val="2"/>
        <w:numPr>
          <w:ilvl w:val="0"/>
          <w:numId w:val="2"/>
        </w:numPr>
        <w:rPr>
          <w:rFonts w:ascii="仿宋_GB2312" w:hAnsi="仿宋_GB2312" w:cs="仿宋_GB2312"/>
          <w:b/>
          <w:bCs/>
          <w:sz w:val="32"/>
          <w:szCs w:val="32"/>
        </w:rPr>
      </w:pPr>
      <w:r>
        <w:rPr>
          <w:rFonts w:hint="eastAsia" w:ascii="仿宋_GB2312" w:hAnsi="仿宋_GB2312" w:cs="仿宋_GB2312"/>
          <w:b/>
          <w:bCs/>
          <w:sz w:val="32"/>
          <w:szCs w:val="32"/>
        </w:rPr>
        <w:t>调研说明</w:t>
      </w:r>
    </w:p>
    <w:p w14:paraId="64DEBCAE">
      <w:pPr>
        <w:shd w:val="solid" w:color="FFFFFF" w:fill="auto"/>
        <w:autoSpaceDN w:val="0"/>
        <w:spacing w:line="560" w:lineRule="exact"/>
        <w:ind w:firstLine="640"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报名参加本次调研的供应商、厂家需提供如下相关资料。</w:t>
      </w:r>
    </w:p>
    <w:p w14:paraId="7AF48CAB">
      <w:pPr>
        <w:spacing w:line="315" w:lineRule="atLeas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1、报名请携带加盖公章的项目文件回执单、营业执照复印件、公司简介。</w:t>
      </w:r>
    </w:p>
    <w:p w14:paraId="1F860055">
      <w:pPr>
        <w:shd w:val="clear" w:color="auto" w:fill="FFFFFF"/>
        <w:spacing w:line="500" w:lineRule="atLeast"/>
        <w:ind w:firstLine="608" w:firstLineChars="200"/>
        <w:rPr>
          <w:rFonts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14:paraId="4620072D">
      <w:pPr>
        <w:shd w:val="clear" w:color="auto" w:fill="FFFFFF"/>
        <w:spacing w:line="500" w:lineRule="atLeast"/>
        <w:ind w:firstLine="608" w:firstLineChars="200"/>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14:paraId="35A9C540">
      <w:pPr>
        <w:shd w:val="clear" w:color="auto" w:fill="FFFFFF"/>
        <w:spacing w:line="500" w:lineRule="atLeast"/>
        <w:ind w:firstLine="608" w:firstLineChars="200"/>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4、提供业绩清单及近3年省内同类项目中标书</w:t>
      </w:r>
      <w:r>
        <w:rPr>
          <w:rFonts w:hint="eastAsia" w:ascii="仿宋_GB2312" w:hAnsi="仿宋_GB2312" w:eastAsia="仿宋_GB2312" w:cs="仿宋_GB2312"/>
          <w:color w:val="000000"/>
          <w:spacing w:val="-8"/>
          <w:kern w:val="0"/>
          <w:sz w:val="32"/>
          <w:szCs w:val="32"/>
          <w:shd w:val="clear" w:color="auto" w:fill="FFFFFF"/>
          <w:lang w:eastAsia="zh-CN"/>
        </w:rPr>
        <w:t>（</w:t>
      </w:r>
      <w:r>
        <w:rPr>
          <w:rFonts w:hint="eastAsia" w:ascii="仿宋_GB2312" w:hAnsi="仿宋_GB2312" w:eastAsia="仿宋_GB2312" w:cs="仿宋_GB2312"/>
          <w:color w:val="000000"/>
          <w:spacing w:val="-8"/>
          <w:kern w:val="0"/>
          <w:sz w:val="32"/>
          <w:szCs w:val="32"/>
          <w:shd w:val="clear" w:color="auto" w:fill="FFFFFF"/>
          <w:lang w:val="en-US" w:eastAsia="zh-CN"/>
        </w:rPr>
        <w:t>如有</w:t>
      </w:r>
      <w:r>
        <w:rPr>
          <w:rFonts w:hint="eastAsia" w:ascii="仿宋_GB2312" w:hAnsi="仿宋_GB2312" w:eastAsia="仿宋_GB2312" w:cs="仿宋_GB2312"/>
          <w:color w:val="000000"/>
          <w:spacing w:val="-8"/>
          <w:kern w:val="0"/>
          <w:sz w:val="32"/>
          <w:szCs w:val="32"/>
          <w:shd w:val="clear" w:color="auto" w:fill="FFFFFF"/>
          <w:lang w:eastAsia="zh-CN"/>
        </w:rPr>
        <w:t>）</w:t>
      </w:r>
      <w:r>
        <w:rPr>
          <w:rFonts w:hint="eastAsia" w:ascii="仿宋_GB2312" w:hAnsi="仿宋_GB2312" w:eastAsia="仿宋_GB2312" w:cs="仿宋_GB2312"/>
          <w:color w:val="000000"/>
          <w:spacing w:val="-8"/>
          <w:kern w:val="0"/>
          <w:sz w:val="32"/>
          <w:szCs w:val="32"/>
          <w:shd w:val="clear" w:color="auto" w:fill="FFFFFF"/>
        </w:rPr>
        <w:t>；</w:t>
      </w:r>
    </w:p>
    <w:p w14:paraId="52D921E1">
      <w:pPr>
        <w:shd w:val="clear" w:color="auto" w:fill="FFFFFF"/>
        <w:spacing w:line="500" w:lineRule="atLeast"/>
        <w:ind w:firstLine="608" w:firstLineChars="200"/>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5、本调研会的报价仅做为本项目公开招标的预算限价；不做参与投标的限制条件；</w:t>
      </w:r>
    </w:p>
    <w:p w14:paraId="19C54B76">
      <w:pPr>
        <w:shd w:val="clear" w:color="auto" w:fill="FFFFFF"/>
        <w:spacing w:line="500" w:lineRule="atLeast"/>
        <w:ind w:firstLine="608" w:firstLineChars="200"/>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6、上述各参数将做为本项目招标的主要参数，不代表本项目公开招标的最终参数；</w:t>
      </w:r>
    </w:p>
    <w:p w14:paraId="2E32F678">
      <w:pPr>
        <w:shd w:val="clear" w:color="auto" w:fill="FFFFFF"/>
        <w:spacing w:line="500" w:lineRule="atLeast"/>
        <w:ind w:firstLine="608" w:firstLineChars="200"/>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7、参加调研会的公司应准备PPT材料（含方案介绍、安全能力、应用案例、报价等）、技术参数等材料，每公司讲解时间30分钟（含答疑10分钟）；同时上述材料须交予院方留档（提供U盘留档）。</w:t>
      </w:r>
    </w:p>
    <w:p w14:paraId="7CC30B3A">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7AACB8C1">
      <w:pPr>
        <w:shd w:val="solid" w:color="FFFFFF" w:fill="auto"/>
        <w:autoSpaceDN w:val="0"/>
        <w:spacing w:line="420" w:lineRule="atLeast"/>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color w:val="000000"/>
          <w:sz w:val="32"/>
          <w:szCs w:val="32"/>
          <w:shd w:val="clear" w:color="auto" w:fill="FFFFFF"/>
        </w:rPr>
        <w:t>项目文件回执单</w:t>
      </w:r>
    </w:p>
    <w:p w14:paraId="4547493C">
      <w:pPr>
        <w:shd w:val="solid" w:color="FFFFFF" w:fill="auto"/>
        <w:autoSpaceDN w:val="0"/>
        <w:spacing w:line="420" w:lineRule="atLeas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请有意向参与的公司在项目公示期内携带回执单至福建省肿瘤医院网络技术中心报名。</w:t>
      </w:r>
    </w:p>
    <w:tbl>
      <w:tblPr>
        <w:tblStyle w:val="11"/>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14:paraId="5BF8BA9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14:paraId="51302CAE">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5967CBF7">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项目名称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53531CEC">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0B13703F">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品牌及型号</w:t>
            </w:r>
          </w:p>
        </w:tc>
      </w:tr>
      <w:tr w14:paraId="1C38364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14:paraId="7E43707E">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4A3F5173">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53B63B42">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73F0FADD">
            <w:pPr>
              <w:shd w:val="solid" w:color="FFFFFF" w:fill="auto"/>
              <w:autoSpaceDN w:val="0"/>
              <w:spacing w:line="420" w:lineRule="atLeast"/>
              <w:rPr>
                <w:rFonts w:ascii="仿宋_GB2312" w:hAnsi="仿宋_GB2312" w:eastAsia="仿宋_GB2312" w:cs="仿宋_GB2312"/>
                <w:bCs/>
                <w:sz w:val="28"/>
                <w:szCs w:val="28"/>
                <w:shd w:val="clear" w:color="auto" w:fill="FFFFFF"/>
              </w:rPr>
            </w:pPr>
          </w:p>
        </w:tc>
      </w:tr>
      <w:tr w14:paraId="60D4225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14:paraId="461CE4BF">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06130851">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1580A8D0">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2FA493BA">
            <w:pPr>
              <w:shd w:val="solid" w:color="FFFFFF" w:fill="auto"/>
              <w:autoSpaceDN w:val="0"/>
              <w:spacing w:line="420" w:lineRule="atLeast"/>
              <w:rPr>
                <w:rFonts w:ascii="仿宋_GB2312" w:hAnsi="仿宋_GB2312" w:eastAsia="仿宋_GB2312" w:cs="仿宋_GB2312"/>
                <w:bCs/>
                <w:sz w:val="28"/>
                <w:szCs w:val="28"/>
                <w:shd w:val="clear" w:color="auto" w:fill="FFFFFF"/>
              </w:rPr>
            </w:pPr>
          </w:p>
        </w:tc>
      </w:tr>
    </w:tbl>
    <w:p w14:paraId="055E622A">
      <w:pPr>
        <w:shd w:val="solid" w:color="FFFFFF" w:fill="auto"/>
        <w:autoSpaceDN w:val="0"/>
        <w:spacing w:line="420" w:lineRule="atLeast"/>
        <w:rPr>
          <w:rFonts w:ascii="仿宋_GB2312" w:hAnsi="仿宋_GB2312" w:eastAsia="仿宋_GB2312" w:cs="仿宋_GB2312"/>
          <w:bCs/>
          <w:sz w:val="32"/>
          <w:szCs w:val="32"/>
          <w:shd w:val="clear" w:color="auto" w:fill="FFFFFF"/>
        </w:rPr>
      </w:pPr>
    </w:p>
    <w:p w14:paraId="03D17839">
      <w:pPr>
        <w:shd w:val="solid" w:color="FFFFFF" w:fill="auto"/>
        <w:autoSpaceDN w:val="0"/>
        <w:spacing w:line="500" w:lineRule="exact"/>
        <w:rPr>
          <w:rFonts w:ascii="仿宋_GB2312" w:hAnsi="仿宋_GB2312" w:eastAsia="仿宋_GB2312" w:cs="仿宋_GB2312"/>
          <w:bCs/>
          <w:sz w:val="32"/>
          <w:szCs w:val="32"/>
          <w:shd w:val="clear" w:color="auto" w:fill="FFFFFF"/>
        </w:rPr>
      </w:pPr>
    </w:p>
    <w:p w14:paraId="0C793704">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公司名称：</w:t>
      </w:r>
    </w:p>
    <w:p w14:paraId="567D03A4">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联系人：　 </w:t>
      </w:r>
    </w:p>
    <w:p w14:paraId="559FB545">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联系电话：</w:t>
      </w:r>
    </w:p>
    <w:p w14:paraId="5EBBDEA4">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公司盖章：</w:t>
      </w:r>
    </w:p>
    <w:p w14:paraId="6D05A2D1">
      <w:pPr>
        <w:shd w:val="solid" w:color="FFFFFF" w:fill="auto"/>
        <w:autoSpaceDN w:val="0"/>
        <w:spacing w:line="500" w:lineRule="exact"/>
        <w:rPr>
          <w:rFonts w:ascii="仿宋_GB2312" w:hAnsi="仿宋_GB2312" w:eastAsia="仿宋_GB2312" w:cs="仿宋_GB2312"/>
          <w:bCs/>
          <w:sz w:val="32"/>
          <w:szCs w:val="32"/>
          <w:shd w:val="clear" w:color="auto" w:fill="FFFFFF"/>
        </w:rPr>
      </w:pPr>
    </w:p>
    <w:p w14:paraId="30061F2A">
      <w:pPr>
        <w:pStyle w:val="2"/>
        <w:rPr>
          <w:rFonts w:ascii="仿宋_GB2312" w:hAnsi="仿宋_GB2312" w:cs="仿宋_GB2312"/>
          <w:bCs/>
          <w:sz w:val="32"/>
          <w:szCs w:val="32"/>
          <w:shd w:val="clear" w:color="auto" w:fill="FFFFFF"/>
        </w:rPr>
      </w:pPr>
    </w:p>
    <w:p w14:paraId="61C8D2E4">
      <w:pPr>
        <w:pStyle w:val="2"/>
        <w:rPr>
          <w:rFonts w:ascii="仿宋_GB2312" w:hAnsi="仿宋_GB2312" w:cs="仿宋_GB2312"/>
          <w:sz w:val="32"/>
          <w:szCs w:val="32"/>
        </w:rPr>
      </w:pPr>
      <w:r>
        <w:rPr>
          <w:rFonts w:hint="eastAsia" w:ascii="仿宋_GB2312" w:hAnsi="仿宋_GB2312" w:cs="仿宋_GB2312"/>
          <w:sz w:val="32"/>
          <w:szCs w:val="32"/>
        </w:rPr>
        <w:t xml:space="preserve">                                        福建省肿瘤医院</w:t>
      </w:r>
    </w:p>
    <w:p w14:paraId="229D5F32">
      <w:pPr>
        <w:pStyle w:val="2"/>
        <w:rPr>
          <w:rFonts w:ascii="仿宋_GB2312" w:hAnsi="仿宋_GB2312" w:cs="仿宋_GB2312"/>
          <w:sz w:val="32"/>
          <w:szCs w:val="32"/>
        </w:rPr>
      </w:pPr>
      <w:r>
        <w:rPr>
          <w:rFonts w:hint="eastAsia" w:ascii="仿宋_GB2312" w:hAnsi="仿宋_GB2312" w:cs="仿宋_GB2312"/>
          <w:sz w:val="32"/>
          <w:szCs w:val="32"/>
        </w:rPr>
        <w:t xml:space="preserve">                                           年  月  日</w:t>
      </w:r>
    </w:p>
    <w:bookmarkEnd w:id="0"/>
    <w:sectPr>
      <w:footerReference r:id="rId3" w:type="default"/>
      <w:pgSz w:w="12240" w:h="15840"/>
      <w:pgMar w:top="1134" w:right="1587" w:bottom="1134"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AF0FA">
    <w:pPr>
      <w:pStyle w:val="8"/>
    </w:pPr>
    <w:r>
      <w:rPr>
        <w:rFonts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162560"/>
              <wp:effectExtent l="0" t="0" r="0" b="0"/>
              <wp:wrapNone/>
              <wp:docPr id="845755442" name="Quad Arrow 1025"/>
              <wp:cNvGraphicFramePr/>
              <a:graphic xmlns:a="http://schemas.openxmlformats.org/drawingml/2006/main">
                <a:graphicData uri="http://schemas.microsoft.com/office/word/2010/wordprocessingShape">
                  <wps:wsp>
                    <wps:cNvSpPr>
                      <a:spLocks noChangeArrowheads="1"/>
                    </wps:cNvSpPr>
                    <wps:spPr bwMode="auto">
                      <a:xfrm>
                        <a:off x="0" y="0"/>
                        <a:ext cx="67945" cy="162560"/>
                      </a:xfrm>
                      <a:prstGeom prst="rect">
                        <a:avLst/>
                      </a:prstGeom>
                      <a:noFill/>
                      <a:ln>
                        <a:noFill/>
                      </a:ln>
                    </wps:spPr>
                    <wps:txbx>
                      <w:txbxContent>
                        <w:p w14:paraId="41CDDED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Quad Arrow 1025" o:spid="_x0000_s1026" o:spt="1" style="position:absolute;left:0pt;margin-top:0pt;height:12.8pt;width:5.35pt;mso-position-horizontal:center;mso-position-horizontal-relative:margin;mso-wrap-style:none;z-index:251659264;mso-width-relative:page;mso-height-relative:page;" filled="f" stroked="f" coordsize="21600,21600" o:gfxdata="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cWkyP0QAAAAMBAAAPAAAAAAAAAAEAIAAAACIAAABkcnMvZG93bnJldi54&#10;bWxQSwECFAAUAAAACACHTuJAinJ9fwECAAADBAAADgAAAAAAAAABACAAAAAgAQAAZHJzL2Uyb0Rv&#10;Yy54bWxQSwUGAAAAAAYABgBZAQAAkwUAAAAA&#10;">
              <v:fill on="f" focussize="0,0"/>
              <v:stroke on="f"/>
              <v:imagedata o:title=""/>
              <o:lock v:ext="edit" aspectratio="f"/>
              <v:textbox inset="0mm,0mm,0mm,0mm" style="mso-fit-shape-to-text:t;">
                <w:txbxContent>
                  <w:p w14:paraId="41CDDED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7C324"/>
    <w:multiLevelType w:val="singleLevel"/>
    <w:tmpl w:val="CFE7C324"/>
    <w:lvl w:ilvl="0" w:tentative="0">
      <w:start w:val="2"/>
      <w:numFmt w:val="decimal"/>
      <w:lvlText w:val="%1."/>
      <w:lvlJc w:val="left"/>
      <w:pPr>
        <w:tabs>
          <w:tab w:val="left" w:pos="312"/>
        </w:tabs>
      </w:pPr>
    </w:lvl>
  </w:abstractNum>
  <w:abstractNum w:abstractNumId="1">
    <w:nsid w:val="53551602"/>
    <w:multiLevelType w:val="singleLevel"/>
    <w:tmpl w:val="5355160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kNzQ4ZWFiZmQ4NTRhOWRkZTk3YTMwMjlmMmZhYmUifQ=="/>
  </w:docVars>
  <w:rsids>
    <w:rsidRoot w:val="00BF320F"/>
    <w:rsid w:val="000E347C"/>
    <w:rsid w:val="0011129F"/>
    <w:rsid w:val="0030271C"/>
    <w:rsid w:val="00662DEF"/>
    <w:rsid w:val="00702590"/>
    <w:rsid w:val="00705F2F"/>
    <w:rsid w:val="00AF2541"/>
    <w:rsid w:val="00B0415B"/>
    <w:rsid w:val="00BF320F"/>
    <w:rsid w:val="00D340C3"/>
    <w:rsid w:val="00D77789"/>
    <w:rsid w:val="00DD4211"/>
    <w:rsid w:val="00ED3A19"/>
    <w:rsid w:val="019B1886"/>
    <w:rsid w:val="03E9678C"/>
    <w:rsid w:val="08F0518B"/>
    <w:rsid w:val="0E193959"/>
    <w:rsid w:val="11C73B0B"/>
    <w:rsid w:val="152C1153"/>
    <w:rsid w:val="17487711"/>
    <w:rsid w:val="1936112E"/>
    <w:rsid w:val="1FCA53B9"/>
    <w:rsid w:val="206C01E7"/>
    <w:rsid w:val="25236198"/>
    <w:rsid w:val="253A6E03"/>
    <w:rsid w:val="288C7A13"/>
    <w:rsid w:val="32F56799"/>
    <w:rsid w:val="35CD1307"/>
    <w:rsid w:val="35F26FC0"/>
    <w:rsid w:val="39DA0497"/>
    <w:rsid w:val="3DBD17B8"/>
    <w:rsid w:val="421F01BD"/>
    <w:rsid w:val="445A051A"/>
    <w:rsid w:val="461A38BB"/>
    <w:rsid w:val="473477ED"/>
    <w:rsid w:val="4BAE7A7B"/>
    <w:rsid w:val="4CCC0194"/>
    <w:rsid w:val="4E3941DC"/>
    <w:rsid w:val="4FBB7FCB"/>
    <w:rsid w:val="51C00046"/>
    <w:rsid w:val="55A85A0B"/>
    <w:rsid w:val="5B13351B"/>
    <w:rsid w:val="5D4763CB"/>
    <w:rsid w:val="5D85055A"/>
    <w:rsid w:val="60247DFB"/>
    <w:rsid w:val="67723AC6"/>
    <w:rsid w:val="6D3E5103"/>
    <w:rsid w:val="6EC00891"/>
    <w:rsid w:val="724114CC"/>
    <w:rsid w:val="73D82DD5"/>
    <w:rsid w:val="743C4B95"/>
    <w:rsid w:val="74C05A5F"/>
    <w:rsid w:val="789428E4"/>
    <w:rsid w:val="79202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autoRedefine/>
    <w:qFormat/>
    <w:uiPriority w:val="0"/>
    <w:pPr>
      <w:keepNext/>
      <w:keepLines/>
      <w:spacing w:line="576" w:lineRule="auto"/>
      <w:outlineLvl w:val="0"/>
    </w:pPr>
    <w:rPr>
      <w:b/>
      <w:kern w:val="44"/>
      <w:sz w:val="44"/>
    </w:rPr>
  </w:style>
  <w:style w:type="paragraph" w:styleId="4">
    <w:name w:val="heading 2"/>
    <w:basedOn w:val="1"/>
    <w:next w:val="1"/>
    <w:autoRedefine/>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13">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rFonts w:eastAsia="仿宋_GB2312"/>
      <w:kern w:val="28"/>
      <w:sz w:val="24"/>
      <w:szCs w:val="20"/>
    </w:rPr>
  </w:style>
  <w:style w:type="paragraph" w:styleId="5">
    <w:name w:val="Normal Indent"/>
    <w:basedOn w:val="1"/>
    <w:qFormat/>
    <w:uiPriority w:val="0"/>
    <w:pPr>
      <w:ind w:firstLine="420"/>
    </w:pPr>
  </w:style>
  <w:style w:type="paragraph" w:styleId="6">
    <w:name w:val="Body Text"/>
    <w:basedOn w:val="1"/>
    <w:next w:val="7"/>
    <w:autoRedefine/>
    <w:unhideWhenUsed/>
    <w:qFormat/>
    <w:uiPriority w:val="99"/>
    <w:rPr>
      <w:rFonts w:ascii="仿宋_GB2312" w:eastAsia="仿宋_GB2312"/>
      <w:sz w:val="32"/>
    </w:rPr>
  </w:style>
  <w:style w:type="paragraph" w:customStyle="1" w:styleId="7">
    <w:name w:val="引用1"/>
    <w:basedOn w:val="1"/>
    <w:next w:val="1"/>
    <w:autoRedefine/>
    <w:qFormat/>
    <w:uiPriority w:val="29"/>
    <w:pPr>
      <w:spacing w:beforeLines="50" w:afterLines="50" w:line="360" w:lineRule="auto"/>
    </w:pPr>
    <w:rPr>
      <w:i/>
      <w:iCs/>
      <w:color w:val="000000"/>
      <w:lang w:val="zh-CN"/>
    </w:r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Normal (Web)"/>
    <w:basedOn w:val="1"/>
    <w:autoRedefine/>
    <w:qFormat/>
    <w:uiPriority w:val="0"/>
    <w:pPr>
      <w:spacing w:line="336" w:lineRule="auto"/>
      <w:jc w:val="left"/>
    </w:pPr>
    <w:rPr>
      <w:rFonts w:ascii="宋体" w:hAnsi="宋体"/>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autoRedefine/>
    <w:qFormat/>
    <w:uiPriority w:val="0"/>
    <w:rPr>
      <w:b/>
    </w:rPr>
  </w:style>
  <w:style w:type="paragraph" w:customStyle="1" w:styleId="15">
    <w:name w:val="xl35"/>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customStyle="1" w:styleId="16">
    <w:name w:val="列表段落1"/>
    <w:basedOn w:val="1"/>
    <w:autoRedefine/>
    <w:qFormat/>
    <w:uiPriority w:val="34"/>
    <w:pPr>
      <w:ind w:firstLine="420" w:firstLineChars="200"/>
    </w:pPr>
  </w:style>
  <w:style w:type="paragraph" w:customStyle="1" w:styleId="17">
    <w:name w:val="p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8">
    <w:name w:val="页眉 字符"/>
    <w:basedOn w:val="13"/>
    <w:link w:val="9"/>
    <w:autoRedefine/>
    <w:qFormat/>
    <w:uiPriority w:val="0"/>
    <w:rPr>
      <w:rFonts w:ascii="Calibri" w:hAnsi="Calibri" w:cs="黑体"/>
      <w:kern w:val="2"/>
      <w:sz w:val="18"/>
      <w:szCs w:val="18"/>
    </w:rPr>
  </w:style>
  <w:style w:type="paragraph" w:customStyle="1" w:styleId="19">
    <w:name w:val="p16"/>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0">
    <w:name w:val="b-free-read-leaf"/>
    <w:basedOn w:val="13"/>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1873</Words>
  <Characters>2165</Characters>
  <Lines>24</Lines>
  <Paragraphs>6</Paragraphs>
  <TotalTime>4</TotalTime>
  <ScaleCrop>false</ScaleCrop>
  <LinksUpToDate>false</LinksUpToDate>
  <CharactersWithSpaces>2295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2024-04-18T02:02:00Z</dcterms:created>
  <dc:creator>Admin</dc:creator>
  <cp:lastModifiedBy>网络办金</cp:lastModifiedBy>
  <cp:lastPrinted>2023-06-20T07:45:00Z</cp:lastPrinted>
  <dcterms:modified xsi:type="dcterms:W3CDTF">2025-08-20T02:35:28Z</dcterms:modified>
  <dc:title>设备科：</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1F526CA30D9047E6B359773796F13775_13</vt:lpwstr>
  </property>
  <property fmtid="{D5CDD505-2E9C-101B-9397-08002B2CF9AE}" pid="4" name="KSOTemplateDocerSaveRecord">
    <vt:lpwstr>eyJoZGlkIjoiMzcyYzQ4MzExOWIxM2ZmZWE3MDIzNjczNzVlZjFmOWYiLCJ1c2VySWQiOiIxNzAwODQwNTc2In0=</vt:lpwstr>
  </property>
</Properties>
</file>