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：关于医院各系统信创改造硬件部分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(服务器)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404"/>
        <w:gridCol w:w="1364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 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widowControl/>
        <w:numPr>
          <w:ilvl w:val="0"/>
          <w:numId w:val="0"/>
        </w:numPr>
        <w:spacing w:line="315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根据资源需求评估，本次建设的国产化资源池按照内网区和前置区划分。</w:t>
      </w:r>
    </w:p>
    <w:p>
      <w:pPr>
        <w:pStyle w:val="11"/>
        <w:spacing w:line="360" w:lineRule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1、合同包（一）</w:t>
      </w:r>
    </w:p>
    <w:tbl>
      <w:tblPr>
        <w:tblStyle w:val="8"/>
        <w:tblW w:w="8235" w:type="dxa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175"/>
        <w:gridCol w:w="4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技术参数要求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ARM服务器（内网）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1、配置≥2颗国产ARM架构处理器（每CPU≥2.6GHz主频，≥48核）；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2、配置≥512GB内存；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C86服务器（内网）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2、配置≥512GB内存；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5、配置≥2*GE电口，≥4*10GE光口（含光模块），≥2块双端口32Gb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ARM服务器（内网）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ARM服务器（前置）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1、配置≥2颗国产ARM架构处理器（每CPU≥2.6GHz主频，≥48核）；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C86服务器（前置）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13"/>
        <w:ind w:left="480" w:firstLine="0" w:firstLineChars="0"/>
        <w:rPr>
          <w:rFonts w:hint="eastAsia" w:ascii="宋体" w:hAnsi="宋体"/>
          <w:b/>
          <w:bCs/>
        </w:rPr>
      </w:pPr>
      <w:bookmarkStart w:id="2" w:name="OLE_LINK8"/>
    </w:p>
    <w:bookmarkEnd w:id="2"/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异构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虚拟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化平台虚拟机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迁移、协助完成医院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各类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评审工作包括但不限于三级等保评审、电子病历评审、互联互通评审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国产化符合性测试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本合同内所有项目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5年保修期内的维修及服务费用等，本预算价为含税开票价格。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4605FA6"/>
    <w:rsid w:val="058966AC"/>
    <w:rsid w:val="0B98416D"/>
    <w:rsid w:val="0E9E2A8C"/>
    <w:rsid w:val="15E056A4"/>
    <w:rsid w:val="18290286"/>
    <w:rsid w:val="193E200C"/>
    <w:rsid w:val="1E4363C8"/>
    <w:rsid w:val="1F135208"/>
    <w:rsid w:val="22025A7A"/>
    <w:rsid w:val="2A070FB7"/>
    <w:rsid w:val="2D4B6E91"/>
    <w:rsid w:val="2E187B0B"/>
    <w:rsid w:val="32A5351E"/>
    <w:rsid w:val="34081C5C"/>
    <w:rsid w:val="34DB3F3B"/>
    <w:rsid w:val="37426867"/>
    <w:rsid w:val="3C6C7DE2"/>
    <w:rsid w:val="41FB5FEB"/>
    <w:rsid w:val="44F60F76"/>
    <w:rsid w:val="4B0C61BF"/>
    <w:rsid w:val="6B250CC2"/>
    <w:rsid w:val="6DF91BC6"/>
    <w:rsid w:val="79EE2BC7"/>
    <w:rsid w:val="7A456C06"/>
    <w:rsid w:val="7ACB4CB6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1885</Words>
  <Characters>2306</Characters>
  <Lines>0</Lines>
  <Paragraphs>0</Paragraphs>
  <TotalTime>14</TotalTime>
  <ScaleCrop>false</ScaleCrop>
  <LinksUpToDate>false</LinksUpToDate>
  <CharactersWithSpaces>2454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2025-11-05T04:17:37Z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278559C0FF87441CA83D0ED0F3DB2C17_13</vt:lpwstr>
  </property>
  <property fmtid="{D5CDD505-2E9C-101B-9397-08002B2CF9AE}" pid="4" name="KSOTemplateDocerSaveRecord">
    <vt:lpwstr>eyJoZGlkIjoiMjJkZWIxYTU2ZTk5MmI4NjMyMGVkMjg1NGY0ZDg4NjgiLCJ1c2VySWQiOiIzODY1MjIxMjIifQ==</vt:lpwstr>
  </property>
</Properties>
</file>