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rPr>
        <w:t>福建省肿瘤医院采购调研公告</w:t>
      </w:r>
    </w:p>
    <w:p>
      <w:pPr>
        <w:widowControl/>
        <w:shd w:val="clear" w:color="auto" w:fill="FFFFFF"/>
        <w:adjustRightInd w:val="0"/>
        <w:snapToGrid w:val="0"/>
        <w:spacing w:before="158" w:beforeLines="50" w:line="590" w:lineRule="exac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11"/>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9"/>
              <w:widowControl/>
              <w:spacing w:line="360"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项目名称：病理技术质控全流程管理系统项目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before="150" w:line="560" w:lineRule="exact"/>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调研报名时间： 202</w:t>
            </w:r>
            <w:r>
              <w:rPr>
                <w:rFonts w:hint="eastAsia" w:ascii="仿宋_GB2312" w:hAnsi="仿宋_GB2312" w:eastAsia="仿宋_GB2312" w:cs="仿宋_GB2312"/>
                <w:color w:val="000000"/>
                <w:kern w:val="0"/>
                <w:sz w:val="32"/>
                <w:szCs w:val="32"/>
                <w:highlight w:val="none"/>
                <w:lang w:val="en-US" w:eastAsia="zh-CN"/>
              </w:rPr>
              <w:t>5</w:t>
            </w:r>
            <w:r>
              <w:rPr>
                <w:rFonts w:hint="eastAsia" w:ascii="仿宋_GB2312" w:hAnsi="仿宋_GB2312" w:eastAsia="仿宋_GB2312" w:cs="仿宋_GB2312"/>
                <w:color w:val="000000"/>
                <w:kern w:val="0"/>
                <w:sz w:val="32"/>
                <w:szCs w:val="32"/>
                <w:highlight w:val="none"/>
              </w:rPr>
              <w:t xml:space="preserve"> 年</w:t>
            </w:r>
            <w:r>
              <w:rPr>
                <w:rFonts w:hint="eastAsia" w:ascii="仿宋_GB2312" w:hAnsi="仿宋_GB2312" w:eastAsia="仿宋_GB2312" w:cs="仿宋_GB2312"/>
                <w:color w:val="000000"/>
                <w:kern w:val="0"/>
                <w:sz w:val="32"/>
                <w:szCs w:val="32"/>
                <w:highlight w:val="none"/>
                <w:u w:val="single"/>
                <w:lang w:val="en-US" w:eastAsia="zh-CN"/>
              </w:rPr>
              <w:t>11</w:t>
            </w:r>
            <w:r>
              <w:rPr>
                <w:rFonts w:hint="eastAsia" w:ascii="仿宋_GB2312" w:hAnsi="仿宋_GB2312" w:eastAsia="仿宋_GB2312" w:cs="仿宋_GB2312"/>
                <w:color w:val="000000"/>
                <w:kern w:val="0"/>
                <w:sz w:val="32"/>
                <w:szCs w:val="32"/>
                <w:highlight w:val="none"/>
              </w:rPr>
              <w:t xml:space="preserve">月 </w:t>
            </w:r>
            <w:r>
              <w:rPr>
                <w:rFonts w:hint="eastAsia" w:ascii="仿宋_GB2312" w:hAnsi="仿宋_GB2312" w:eastAsia="仿宋_GB2312" w:cs="仿宋_GB2312"/>
                <w:color w:val="000000"/>
                <w:kern w:val="0"/>
                <w:sz w:val="32"/>
                <w:szCs w:val="32"/>
                <w:highlight w:val="none"/>
                <w:u w:val="single"/>
                <w:lang w:val="en-US" w:eastAsia="zh-CN"/>
              </w:rPr>
              <w:t>24</w:t>
            </w:r>
            <w:r>
              <w:rPr>
                <w:rFonts w:hint="eastAsia" w:ascii="仿宋_GB2312" w:hAnsi="仿宋_GB2312" w:eastAsia="仿宋_GB2312" w:cs="仿宋_GB2312"/>
                <w:color w:val="000000"/>
                <w:kern w:val="0"/>
                <w:sz w:val="32"/>
                <w:szCs w:val="32"/>
                <w:highlight w:val="none"/>
              </w:rPr>
              <w:t xml:space="preserve">日至 </w:t>
            </w:r>
            <w:r>
              <w:rPr>
                <w:rFonts w:hint="eastAsia" w:ascii="仿宋_GB2312" w:hAnsi="仿宋_GB2312" w:eastAsia="仿宋_GB2312" w:cs="仿宋_GB2312"/>
                <w:color w:val="000000"/>
                <w:kern w:val="0"/>
                <w:sz w:val="32"/>
                <w:szCs w:val="32"/>
                <w:highlight w:val="none"/>
                <w:u w:val="single"/>
                <w:lang w:val="en-US" w:eastAsia="zh-CN"/>
              </w:rPr>
              <w:t>11</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lang w:val="en-US" w:eastAsia="zh-CN"/>
              </w:rPr>
              <w:t>28</w:t>
            </w:r>
            <w:r>
              <w:rPr>
                <w:rFonts w:hint="eastAsia" w:ascii="仿宋_GB2312" w:hAnsi="仿宋_GB2312" w:eastAsia="仿宋_GB2312" w:cs="仿宋_GB2312"/>
                <w:color w:val="000000"/>
                <w:kern w:val="0"/>
                <w:sz w:val="32"/>
                <w:szCs w:val="32"/>
                <w:highlight w:val="none"/>
              </w:rPr>
              <w:t xml:space="preserve">日 </w:t>
            </w:r>
            <w:r>
              <w:rPr>
                <w:rFonts w:hint="eastAsia" w:ascii="仿宋_GB2312" w:hAnsi="仿宋_GB2312" w:eastAsia="仿宋_GB2312" w:cs="仿宋_GB2312"/>
                <w:color w:val="000000"/>
                <w:spacing w:val="-8"/>
                <w:kern w:val="0"/>
                <w:sz w:val="32"/>
                <w:szCs w:val="32"/>
                <w:highlight w:val="none"/>
                <w:shd w:val="clear" w:color="auto" w:fill="FFFFFF"/>
              </w:rPr>
              <w:t>(节假日除外)8：00-12：00或14：00-17：00(北京时间）</w:t>
            </w:r>
          </w:p>
          <w:p>
            <w:pPr>
              <w:widowControl/>
              <w:spacing w:line="315" w:lineRule="atLeas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highlight w:val="none"/>
              </w:rPr>
              <w:t>调研会时间： 202</w:t>
            </w:r>
            <w:r>
              <w:rPr>
                <w:rFonts w:hint="eastAsia" w:ascii="仿宋_GB2312" w:hAnsi="仿宋_GB2312" w:eastAsia="仿宋_GB2312" w:cs="仿宋_GB2312"/>
                <w:color w:val="000000"/>
                <w:kern w:val="0"/>
                <w:sz w:val="32"/>
                <w:szCs w:val="32"/>
                <w:highlight w:val="none"/>
                <w:lang w:val="en-US" w:eastAsia="zh-CN"/>
              </w:rPr>
              <w:t>5</w:t>
            </w:r>
            <w:r>
              <w:rPr>
                <w:rFonts w:hint="eastAsia" w:ascii="仿宋_GB2312" w:hAnsi="仿宋_GB2312" w:eastAsia="仿宋_GB2312" w:cs="仿宋_GB2312"/>
                <w:color w:val="000000"/>
                <w:kern w:val="0"/>
                <w:sz w:val="32"/>
                <w:szCs w:val="32"/>
                <w:highlight w:val="none"/>
              </w:rPr>
              <w:t xml:space="preserve"> 年</w:t>
            </w:r>
            <w:r>
              <w:rPr>
                <w:rFonts w:hint="eastAsia" w:ascii="仿宋_GB2312" w:hAnsi="仿宋_GB2312" w:eastAsia="仿宋_GB2312" w:cs="仿宋_GB2312"/>
                <w:color w:val="000000"/>
                <w:kern w:val="0"/>
                <w:sz w:val="32"/>
                <w:szCs w:val="32"/>
                <w:highlight w:val="none"/>
                <w:u w:val="single"/>
                <w:lang w:val="en-US" w:eastAsia="zh-CN"/>
              </w:rPr>
              <w:t>12</w:t>
            </w:r>
            <w:r>
              <w:rPr>
                <w:rFonts w:hint="eastAsia" w:ascii="仿宋_GB2312" w:hAnsi="仿宋_GB2312" w:eastAsia="仿宋_GB2312" w:cs="仿宋_GB2312"/>
                <w:color w:val="000000"/>
                <w:kern w:val="0"/>
                <w:sz w:val="32"/>
                <w:szCs w:val="32"/>
                <w:highlight w:val="none"/>
              </w:rPr>
              <w:t xml:space="preserve">月 </w:t>
            </w:r>
            <w:r>
              <w:rPr>
                <w:rFonts w:hint="eastAsia" w:ascii="仿宋_GB2312" w:hAnsi="仿宋_GB2312" w:eastAsia="仿宋_GB2312" w:cs="仿宋_GB2312"/>
                <w:color w:val="000000"/>
                <w:kern w:val="0"/>
                <w:sz w:val="32"/>
                <w:szCs w:val="32"/>
                <w:highlight w:val="none"/>
                <w:u w:val="single"/>
                <w:lang w:val="en-US" w:eastAsia="zh-CN"/>
              </w:rPr>
              <w:t>01</w:t>
            </w:r>
            <w:r>
              <w:rPr>
                <w:rFonts w:hint="eastAsia" w:ascii="仿宋_GB2312" w:hAnsi="仿宋_GB2312" w:eastAsia="仿宋_GB2312" w:cs="仿宋_GB2312"/>
                <w:color w:val="000000"/>
                <w:kern w:val="0"/>
                <w:sz w:val="32"/>
                <w:szCs w:val="32"/>
                <w:highlight w:val="none"/>
              </w:rPr>
              <w:t xml:space="preserve">日 </w:t>
            </w:r>
            <w:r>
              <w:rPr>
                <w:rFonts w:hint="eastAsia" w:ascii="仿宋_GB2312" w:hAnsi="仿宋_GB2312" w:eastAsia="仿宋_GB2312" w:cs="仿宋_GB2312"/>
                <w:color w:val="000000"/>
                <w:kern w:val="0"/>
                <w:sz w:val="32"/>
                <w:szCs w:val="32"/>
                <w:highlight w:val="none"/>
                <w:lang w:val="en-US" w:eastAsia="zh-CN"/>
              </w:rPr>
              <w:t>14</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3</w:t>
            </w:r>
            <w:r>
              <w:rPr>
                <w:rFonts w:hint="eastAsia" w:ascii="仿宋_GB2312" w:hAnsi="仿宋_GB2312" w:eastAsia="仿宋_GB2312" w:cs="仿宋_GB2312"/>
                <w:color w:val="000000"/>
                <w:kern w:val="0"/>
                <w:sz w:val="32"/>
                <w:szCs w:val="32"/>
                <w:highlight w:val="none"/>
              </w:rPr>
              <w:t>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line="336" w:lineRule="auto"/>
        <w:rPr>
          <w:rFonts w:ascii="仿宋_GB2312" w:hAnsi="仿宋_GB2312" w:eastAsia="仿宋_GB2312" w:cs="仿宋_GB2312"/>
          <w:bCs/>
          <w:color w:val="000000"/>
          <w:kern w:val="0"/>
          <w:sz w:val="32"/>
          <w:szCs w:val="32"/>
          <w:shd w:val="clear" w:color="auto" w:fill="FFFFFF"/>
        </w:rPr>
      </w:pPr>
    </w:p>
    <w:p>
      <w:pPr>
        <w:widowControl/>
        <w:shd w:val="clear" w:color="auto" w:fill="FFFFFF"/>
        <w:spacing w:line="336"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widowControl/>
        <w:shd w:val="clear" w:color="auto" w:fill="FFFFFF"/>
        <w:spacing w:line="336" w:lineRule="auto"/>
        <w:ind w:left="1260" w:firstLine="42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widowControl/>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pPr>
        <w:widowControl/>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pPr>
        <w:widowControl/>
        <w:shd w:val="clear" w:color="auto" w:fill="FFFFFF"/>
        <w:spacing w:line="440" w:lineRule="atLeast"/>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val="en-US" w:eastAsia="zh-CN"/>
        </w:rPr>
        <w:t>郑</w:t>
      </w:r>
      <w:r>
        <w:rPr>
          <w:rFonts w:hint="eastAsia" w:ascii="仿宋_GB2312" w:hAnsi="仿宋_GB2312" w:eastAsia="仿宋_GB2312" w:cs="仿宋_GB2312"/>
          <w:bCs/>
          <w:color w:val="000000"/>
          <w:kern w:val="0"/>
          <w:sz w:val="32"/>
          <w:szCs w:val="32"/>
          <w:shd w:val="clear" w:color="auto" w:fill="FFFFFF"/>
        </w:rPr>
        <w:t>工</w:t>
      </w:r>
      <w:r>
        <w:rPr>
          <w:rFonts w:hint="eastAsia"/>
        </w:rPr>
        <w:br w:type="page"/>
      </w:r>
    </w:p>
    <w:p>
      <w:pPr>
        <w:widowControl/>
        <w:shd w:val="clear" w:color="auto" w:fill="FFFFFF"/>
        <w:adjustRightInd w:val="0"/>
        <w:snapToGrid w:val="0"/>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widowControl/>
        <w:shd w:val="clear" w:color="auto" w:fill="FFFFFF"/>
        <w:spacing w:line="440" w:lineRule="atLeast"/>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11"/>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3828"/>
        <w:gridCol w:w="1701"/>
        <w:gridCol w:w="20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1809" w:type="dxa"/>
            <w:vAlign w:val="center"/>
          </w:tcPr>
          <w:p>
            <w:pPr>
              <w:widowControl/>
              <w:spacing w:after="158" w:afterLines="50"/>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3828" w:type="dxa"/>
            <w:vAlign w:val="center"/>
          </w:tcPr>
          <w:p>
            <w:pPr>
              <w:widowControl/>
              <w:spacing w:after="158" w:afterLines="50"/>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701" w:type="dxa"/>
            <w:vAlign w:val="center"/>
          </w:tcPr>
          <w:p>
            <w:pPr>
              <w:widowControl/>
              <w:spacing w:after="158" w:afterLines="50"/>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2021" w:type="dxa"/>
            <w:vAlign w:val="center"/>
          </w:tcPr>
          <w:p>
            <w:pPr>
              <w:widowControl/>
              <w:spacing w:after="158" w:afterLines="50"/>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1809" w:type="dxa"/>
            <w:vAlign w:val="center"/>
          </w:tcPr>
          <w:p>
            <w:pPr>
              <w:widowControl/>
              <w:spacing w:after="158" w:afterLines="5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3828" w:type="dxa"/>
            <w:vAlign w:val="center"/>
          </w:tcPr>
          <w:p>
            <w:pPr>
              <w:jc w:val="center"/>
              <w:rPr>
                <w:rFonts w:ascii="仿宋" w:hAnsi="仿宋" w:eastAsia="仿宋" w:cs="仿宋"/>
                <w:color w:val="000000"/>
                <w:kern w:val="0"/>
                <w:sz w:val="24"/>
              </w:rPr>
            </w:pPr>
            <w:r>
              <w:rPr>
                <w:rFonts w:hint="eastAsia" w:ascii="仿宋" w:hAnsi="仿宋" w:eastAsia="仿宋" w:cs="仿宋"/>
                <w:bCs/>
                <w:sz w:val="24"/>
              </w:rPr>
              <w:t>病理技术质控全流程管理系统项目</w:t>
            </w:r>
          </w:p>
        </w:tc>
        <w:tc>
          <w:tcPr>
            <w:tcW w:w="1701" w:type="dxa"/>
            <w:vAlign w:val="center"/>
          </w:tcPr>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1项</w:t>
            </w:r>
          </w:p>
        </w:tc>
        <w:tc>
          <w:tcPr>
            <w:tcW w:w="2021" w:type="dxa"/>
            <w:vAlign w:val="center"/>
          </w:tcPr>
          <w:p>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4</w:t>
            </w:r>
            <w:r>
              <w:rPr>
                <w:rFonts w:ascii="仿宋" w:hAnsi="仿宋" w:eastAsia="仿宋" w:cs="仿宋"/>
                <w:color w:val="000000"/>
                <w:sz w:val="24"/>
              </w:rPr>
              <w:t>3</w:t>
            </w:r>
          </w:p>
        </w:tc>
      </w:tr>
    </w:tbl>
    <w:p>
      <w:pPr>
        <w:keepNext/>
        <w:widowControl/>
        <w:shd w:val="clear" w:color="auto" w:fill="FFFFFF"/>
        <w:autoSpaceDE w:val="0"/>
        <w:spacing w:before="120" w:after="120"/>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pPr>
        <w:pStyle w:val="15"/>
        <w:numPr>
          <w:ilvl w:val="0"/>
          <w:numId w:val="0"/>
        </w:numPr>
        <w:rPr>
          <w:rFonts w:hint="eastAsia" w:ascii="华文楷体" w:hAnsi="华文楷体" w:eastAsia="华文楷体" w:cs="华文楷体"/>
        </w:rPr>
      </w:pPr>
      <w:r>
        <w:rPr>
          <w:rFonts w:hint="eastAsia" w:ascii="华文楷体" w:hAnsi="华文楷体" w:eastAsia="华文楷体" w:cs="华文楷体"/>
        </w:rPr>
        <w:t>1、合同包（一）</w:t>
      </w:r>
    </w:p>
    <w:tbl>
      <w:tblPr>
        <w:tblStyle w:val="11"/>
        <w:tblW w:w="942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2126"/>
        <w:gridCol w:w="6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tcPr>
          <w:p>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2126" w:type="dxa"/>
          </w:tcPr>
          <w:p>
            <w:pPr>
              <w:jc w:val="center"/>
              <w:rPr>
                <w:rFonts w:hint="eastAsia" w:ascii="仿宋" w:hAnsi="仿宋" w:eastAsia="仿宋" w:cs="仿宋"/>
                <w:sz w:val="28"/>
                <w:szCs w:val="28"/>
              </w:rPr>
            </w:pPr>
            <w:r>
              <w:rPr>
                <w:rFonts w:hint="eastAsia" w:ascii="仿宋" w:hAnsi="仿宋" w:eastAsia="仿宋" w:cs="仿宋"/>
                <w:sz w:val="28"/>
                <w:szCs w:val="28"/>
              </w:rPr>
              <w:t>项目</w:t>
            </w:r>
          </w:p>
        </w:tc>
        <w:tc>
          <w:tcPr>
            <w:tcW w:w="6261" w:type="dxa"/>
          </w:tcPr>
          <w:p>
            <w:pPr>
              <w:jc w:val="center"/>
              <w:rPr>
                <w:rFonts w:hint="eastAsia" w:ascii="仿宋" w:hAnsi="仿宋" w:eastAsia="仿宋" w:cs="仿宋"/>
                <w:sz w:val="28"/>
                <w:szCs w:val="28"/>
              </w:rPr>
            </w:pPr>
            <w:r>
              <w:rPr>
                <w:rFonts w:hint="eastAsia" w:ascii="仿宋" w:hAnsi="仿宋" w:eastAsia="仿宋" w:cs="仿宋"/>
                <w:sz w:val="28"/>
                <w:szCs w:val="28"/>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restart"/>
            <w:vAlign w:val="center"/>
          </w:tcPr>
          <w:p>
            <w:pPr>
              <w:jc w:val="center"/>
              <w:rPr>
                <w:rFonts w:hint="eastAsia" w:ascii="仿宋" w:hAnsi="仿宋" w:eastAsia="仿宋" w:cs="仿宋"/>
                <w:sz w:val="28"/>
                <w:szCs w:val="28"/>
              </w:rPr>
            </w:pPr>
            <w:r>
              <w:rPr>
                <w:rFonts w:hint="eastAsia" w:ascii="仿宋" w:hAnsi="仿宋" w:eastAsia="仿宋" w:cs="仿宋"/>
                <w:sz w:val="28"/>
                <w:szCs w:val="28"/>
              </w:rPr>
              <w:t>病理技术质控全流程管理系统</w:t>
            </w: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支持先进的B/S架构一体化设计，可兼容windows操作系统或国产操作系统运行，提升系统的适用性和灵活性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可适配主流的SQL Server、Oracle数据库，同时可适配达梦、南大通用等国产数据库，确保数据库选择的多样性与数据迁移的平滑性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系统建设需遵循技术先进、安全稳定、高度可扩展原则，采用微服务架构或模块化设计，便于功能扩展与升级，适应医院规模的快速扩展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需具备丰富的全院信息化互联经验，系统接口定制严格遵循国际及行业标准（如HL7等），同时支持WebService、MQ+XML等主流对接方式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可提供嵌套式权限配置体系，满足不同岗位用户的个性化需求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在取材环节可实现取材医生在取材结束后扫描当前病例所有包埋盒，验证包埋盒是否与当前取材病例的取材明细一致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可实现在每个冰冻切片工位配备独立运行程序，可通过扫描工牌或输入用户名密码进行登录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可进行取材质量评价，如“翻盖”、“丢失”、“无组织”等情况，并可进行相应取材质量的查询统计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在每个包埋工位配备独立运行程序，可通过扫描工牌或输入用户名密码进行登录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在扫描有特别说明的包埋盒二维码时，可自动进行语音播报。语音播报的项目内容可由用户进行自定义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可对已进行过质量评价的每一个蜡块可以记录处理结果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在每个切片工位配备独立运行程序，可通过扫描工牌或输入用户名密码进行登录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以列表或卡片形式自动提示当前病理号的其他蜡块的切片情况，可进行切片删除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可在单个切片工位上实现扫描包埋盒上的二维码标签，直接从技术医嘱信息中提取病例信息、医嘱名称等内容并打印当前蜡块所有的技术医嘱玻片二维码标签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在每个免疫组化工位配备独立运行程序，可通过扫描工牌或输入用户名密码进行登录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可实现在单个免疫组化工位上扫描包埋盒上的二维码标签，直接从特检医嘱信息中提取病例信息、标记物名称等内容并打印当前蜡块所有的免疫组化医嘱玻片二维码标签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sz w:val="28"/>
                <w:szCs w:val="28"/>
              </w:rPr>
            </w:pPr>
          </w:p>
        </w:tc>
        <w:tc>
          <w:tcPr>
            <w:tcW w:w="2126" w:type="dxa"/>
            <w:vMerge w:val="continue"/>
          </w:tcPr>
          <w:p>
            <w:pPr>
              <w:jc w:val="center"/>
              <w:rPr>
                <w:rFonts w:hint="eastAsia" w:ascii="仿宋" w:hAnsi="仿宋" w:eastAsia="仿宋" w:cs="仿宋"/>
                <w:sz w:val="28"/>
                <w:szCs w:val="28"/>
              </w:rPr>
            </w:pPr>
          </w:p>
        </w:tc>
        <w:tc>
          <w:tcPr>
            <w:tcW w:w="6261" w:type="dxa"/>
          </w:tcPr>
          <w:p>
            <w:pPr>
              <w:jc w:val="left"/>
              <w:rPr>
                <w:rFonts w:hint="eastAsia" w:ascii="仿宋" w:hAnsi="仿宋" w:eastAsia="仿宋" w:cs="仿宋"/>
                <w:sz w:val="28"/>
                <w:szCs w:val="28"/>
              </w:rPr>
            </w:pPr>
            <w:r>
              <w:rPr>
                <w:rFonts w:hint="eastAsia" w:ascii="仿宋" w:hAnsi="仿宋" w:eastAsia="仿宋" w:cs="仿宋"/>
                <w:sz w:val="28"/>
                <w:szCs w:val="28"/>
              </w:rPr>
              <w:t>可自动提示当前登录用户所有被诊断医师免疫组化切片质量评价过的病例列表，可进行原因分析和处理结果的录入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pPr>
              <w:pStyle w:val="19"/>
              <w:numPr>
                <w:ilvl w:val="0"/>
                <w:numId w:val="2"/>
              </w:numPr>
              <w:ind w:firstLineChars="0"/>
              <w:jc w:val="center"/>
              <w:rPr>
                <w:rFonts w:hint="eastAsia" w:ascii="仿宋" w:hAnsi="仿宋" w:eastAsia="仿宋" w:cs="仿宋"/>
                <w:b w:val="0"/>
                <w:bCs w:val="0"/>
                <w:color w:val="000000" w:themeColor="text1"/>
                <w:sz w:val="28"/>
                <w:szCs w:val="28"/>
                <w14:textFill>
                  <w14:solidFill>
                    <w14:schemeClr w14:val="tx1"/>
                  </w14:solidFill>
                </w14:textFill>
              </w:rPr>
            </w:pPr>
          </w:p>
        </w:tc>
        <w:tc>
          <w:tcPr>
            <w:tcW w:w="2126" w:type="dxa"/>
            <w:vMerge w:val="continue"/>
          </w:tcPr>
          <w:p>
            <w:pPr>
              <w:jc w:val="center"/>
              <w:rPr>
                <w:rFonts w:hint="eastAsia" w:ascii="仿宋" w:hAnsi="仿宋" w:eastAsia="仿宋" w:cs="仿宋"/>
                <w:b w:val="0"/>
                <w:bCs w:val="0"/>
                <w:color w:val="000000" w:themeColor="text1"/>
                <w:sz w:val="28"/>
                <w:szCs w:val="28"/>
                <w14:textFill>
                  <w14:solidFill>
                    <w14:schemeClr w14:val="tx1"/>
                  </w14:solidFill>
                </w14:textFill>
              </w:rPr>
            </w:pPr>
          </w:p>
        </w:tc>
        <w:tc>
          <w:tcPr>
            <w:tcW w:w="6261" w:type="dxa"/>
          </w:tcPr>
          <w:p>
            <w:pPr>
              <w:jc w:val="left"/>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数据交互：需实现对接科室现有系统的所有业务数据</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同时与</w:t>
            </w:r>
            <w:r>
              <w:rPr>
                <w:rFonts w:hint="eastAsia" w:ascii="仿宋" w:hAnsi="仿宋" w:eastAsia="仿宋" w:cs="仿宋"/>
                <w:b w:val="0"/>
                <w:bCs w:val="0"/>
                <w:color w:val="000000" w:themeColor="text1"/>
                <w:sz w:val="28"/>
                <w:szCs w:val="28"/>
                <w:lang w:val="en-US" w:eastAsia="zh-CN"/>
                <w14:textFill>
                  <w14:solidFill>
                    <w14:schemeClr w14:val="tx1"/>
                  </w14:solidFill>
                </w14:textFill>
              </w:rPr>
              <w:t>相应的玻片打号机、包埋盒打号机、数字扫描仪、免疫组化仪等相关设备进行</w:t>
            </w:r>
            <w:r>
              <w:rPr>
                <w:rFonts w:hint="eastAsia" w:ascii="仿宋" w:hAnsi="仿宋" w:eastAsia="仿宋" w:cs="仿宋"/>
                <w:b w:val="0"/>
                <w:bCs w:val="0"/>
                <w:color w:val="000000" w:themeColor="text1"/>
                <w:sz w:val="28"/>
                <w:szCs w:val="28"/>
                <w14:textFill>
                  <w14:solidFill>
                    <w14:schemeClr w14:val="tx1"/>
                  </w14:solidFill>
                </w14:textFill>
              </w:rPr>
              <w:t>对接，保障科室业务正常运行</w:t>
            </w:r>
            <w:r>
              <w:rPr>
                <w:rFonts w:hint="eastAsia" w:ascii="仿宋" w:hAnsi="仿宋" w:eastAsia="仿宋" w:cs="仿宋"/>
                <w:b w:val="0"/>
                <w:bCs w:val="0"/>
                <w:color w:val="000000" w:themeColor="text1"/>
                <w:sz w:val="28"/>
                <w:szCs w:val="28"/>
                <w:lang w:eastAsia="zh-CN"/>
                <w14:textFill>
                  <w14:solidFill>
                    <w14:schemeClr w14:val="tx1"/>
                  </w14:solidFill>
                </w14:textFill>
              </w:rPr>
              <w:t>。</w:t>
            </w:r>
          </w:p>
        </w:tc>
      </w:tr>
    </w:tbl>
    <w:p>
      <w:pPr>
        <w:rPr>
          <w:rFonts w:ascii="仿宋_GB2312" w:hAnsi="仿宋_GB2312" w:eastAsia="仿宋_GB2312" w:cs="仿宋_GB2312"/>
          <w:b/>
          <w:bCs/>
          <w:sz w:val="32"/>
          <w:szCs w:val="32"/>
        </w:rPr>
      </w:pPr>
    </w:p>
    <w:p>
      <w:pPr>
        <w:numPr>
          <w:ilvl w:val="0"/>
          <w:numId w:val="3"/>
        </w:num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其他要求</w:t>
      </w:r>
    </w:p>
    <w:p>
      <w:pPr>
        <w:numPr>
          <w:ilvl w:val="0"/>
          <w:numId w:val="0"/>
        </w:numPr>
        <w:wordWrap/>
        <w:spacing w:before="0" w:after="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1、本项目系统须同时覆盖我院滨海院区，功能与技术要求与本部院区一致。应结合我院实际医疗及管理需要，对系统进行客户化修改，包括但不限于结合医院实际管理需求。</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由于本项目系统需符合国产化要求，不得使用主管部门禁止使用的操作系统及数据库，必须配备正版的国产化操作系统、数据库、中间件及前端国产化工作站。同时本项目验收前按政策或是按院方需要提供有资质的第三方公司开展的密码应用安全性测评、信息技术应用创新符合性测试，并提供相关的证明。暂时未能实现的，后续政策要求时不再另行收费，并在投标文件中出具承诺函。</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3、本项目系统需符合《信息安全技术网络安全等级保护基本要求》GB/T22239-2019（三级）要求（简称：三级等保2.0）及密码应用安全性评估，并在以上评审中协助完成本系统评审工作。</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三年内免费实施政策性国家、省市各平台的数据接口、数据上传等服务及免费实施国密改造、国产化改造，包括但不限于：福建省卫健委居民健康综合服务平台、福建省三医一网数据上报平台、福建省检查检验结果互联互通互认平台、福建省卫健委多码融合项目等，产生相应指标，推送至医疗平台接口中（涉及其他系统，应与其他系统配合实施）。</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5、本项目系统应提供与医院HIS，电子病历、危急值平台、报告平台、麻醉耗材、患者360（含HIS360、CDR360）等系统无缝集成接口，符合电子病历6级、医院的互联互通5级、智慧医院4级的建设要求。</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6、本项目为交钥匙工程，本项目系统与各业务系统及设备的数据接口由中标人自行负责。本项目涉及院内现有各业务系统接口的，采购人不再向中标人支付接口费用。</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8、根据国家《医院信息系统功能规范》第十二条以及国家信息化建设审计要求，必须提供完整的总体设计报告、需求分析说明书、上线测试报告、操作使用手册、系统维护手册等。</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本项目系统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11、与医院现有CA数字签名功能实现对接，满足医院各法规需要。</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12、本项目系统若需接入医院APP(实现院外移动端查询)，则中标人应提供H5接口，并支付相应接口费用（不超过3万元），是否需接入医院APP以项目验收时采购人需求为准。</w:t>
      </w:r>
    </w:p>
    <w:p>
      <w:pPr>
        <w:pStyle w:val="18"/>
        <w:numPr>
          <w:ilvl w:val="0"/>
          <w:numId w:val="0"/>
        </w:numPr>
        <w:wordWrap/>
        <w:spacing w:before="0" w:beforeAutospacing="0" w:after="0" w:afterAutospacing="0" w:line="360" w:lineRule="auto"/>
        <w:ind w:right="0" w:rightChars="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w:t>
      </w:r>
      <w:bookmarkStart w:id="0" w:name="OLE_LINK1"/>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同时，乙方须如实向甲方提供数据库管理员的用户名、密码以及相关用户权限信息，不得隐瞒。不得通过任何技术手段限制系统内容，数据表结构不得加密，且必须如实提供给甲方。</w:t>
      </w:r>
      <w:bookmarkEnd w:id="0"/>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14、本项目软件部分按总价进行报价，不能以安装工作站数量进行报价。</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15、本项目需完成旧系统中的历史数据导入，旧系统中非自动产生的数据（如手工输入值等），在新系统中可不体现或以默认值体现。若有涉及接口费用，由中标方负责，采购人不再向中标人支付接口费用。</w:t>
      </w:r>
    </w:p>
    <w:p>
      <w:pPr>
        <w:pStyle w:val="18"/>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16、本项目软件版面色彩、风格等应按医院要求设计制作；软件标题只能出现医院logo及系统名称，不能出现公司名称，公司名称允许在帮助（help）的关于（about）中出现。具体版面另行通知。</w:t>
      </w:r>
    </w:p>
    <w:p>
      <w:pPr>
        <w:pStyle w:val="15"/>
        <w:numPr>
          <w:numId w:val="0"/>
        </w:numPr>
        <w:ind w:leftChars="0"/>
      </w:pPr>
      <w:bookmarkStart w:id="1" w:name="_GoBack"/>
      <w:bookmarkEnd w:id="1"/>
      <w:r>
        <w:rPr>
          <w:rFonts w:hint="eastAsia" w:ascii="仿宋_GB2312" w:hAnsi="仿宋_GB2312" w:eastAsia="仿宋_GB2312" w:cs="仿宋_GB2312"/>
          <w:color w:val="auto"/>
          <w:sz w:val="32"/>
          <w:szCs w:val="32"/>
          <w:lang w:val="en-US" w:eastAsia="zh-CN"/>
        </w:rPr>
        <w:t>17、本项目系统安装调试并经验收合格后，应对采购方的相关人员提供关于系统应用时技术和操作方面的培训。相关培训费用应包含在投标总价中</w:t>
      </w:r>
      <w:r>
        <w:rPr>
          <w:rFonts w:hint="eastAsia"/>
        </w:rPr>
        <w:t>。</w:t>
      </w:r>
    </w:p>
    <w:p>
      <w:pPr>
        <w:pStyle w:val="15"/>
        <w:numPr>
          <w:ilvl w:val="0"/>
          <w:numId w:val="0"/>
        </w:numPr>
      </w:pPr>
    </w:p>
    <w:p>
      <w:pPr>
        <w:numPr>
          <w:ilvl w:val="0"/>
          <w:numId w:val="3"/>
        </w:num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调研说明</w:t>
      </w:r>
    </w:p>
    <w:p>
      <w:pPr>
        <w:shd w:val="solid" w:color="FFFFFF" w:fill="auto"/>
        <w:autoSpaceDN w:val="0"/>
        <w:spacing w:line="560" w:lineRule="exact"/>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widowControl/>
        <w:spacing w:line="315"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r>
        <w:rPr>
          <w:rFonts w:hint="eastAsia" w:ascii="仿宋_GB2312" w:hAnsi="仿宋_GB2312" w:eastAsia="仿宋_GB2312" w:cs="仿宋_GB2312"/>
          <w:bCs/>
          <w:sz w:val="32"/>
          <w:szCs w:val="32"/>
          <w:shd w:val="clear" w:color="auto" w:fill="FFFFFF"/>
        </w:rPr>
        <w:t>提供设备彩页、相关三证等）</w:t>
      </w:r>
      <w:r>
        <w:rPr>
          <w:rFonts w:hint="eastAsia" w:ascii="仿宋_GB2312" w:hAnsi="仿宋_GB2312" w:eastAsia="仿宋_GB2312" w:cs="仿宋_GB2312"/>
          <w:color w:val="000000"/>
          <w:kern w:val="0"/>
          <w:sz w:val="32"/>
          <w:szCs w:val="32"/>
        </w:rPr>
        <w:t>。</w:t>
      </w:r>
    </w:p>
    <w:p>
      <w:pPr>
        <w:widowControl/>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5"/>
        <w:numPr>
          <w:ilvl w:val="0"/>
          <w:numId w:val="0"/>
        </w:numPr>
        <w:rPr>
          <w:shd w:val="clear" w:color="auto" w:fill="FFFFFF"/>
        </w:rPr>
      </w:pPr>
      <w:r>
        <w:rPr>
          <w:rFonts w:hint="eastAsia"/>
          <w:shd w:val="clear" w:color="auto" w:fill="FFFFFF"/>
        </w:rPr>
        <w:t>4、</w:t>
      </w:r>
      <w:r>
        <w:rPr>
          <w:rFonts w:hint="eastAsia"/>
          <w:color w:val="000000" w:themeColor="text1"/>
          <w:shd w:val="clear" w:color="auto" w:fill="FFFFFF"/>
          <w14:textFill>
            <w14:solidFill>
              <w14:schemeClr w14:val="tx1"/>
            </w14:solidFill>
          </w14:textFill>
        </w:rPr>
        <w:t>提供业绩清单及近3年省内同类项目中标书</w:t>
      </w:r>
    </w:p>
    <w:p>
      <w:pPr>
        <w:pStyle w:val="15"/>
        <w:numPr>
          <w:ilvl w:val="0"/>
          <w:numId w:val="0"/>
        </w:numPr>
        <w:rPr>
          <w:shd w:val="clear" w:color="auto" w:fill="FFFFFF"/>
        </w:rPr>
      </w:pPr>
      <w:r>
        <w:rPr>
          <w:rFonts w:hint="eastAsia"/>
          <w:shd w:val="clear" w:color="auto" w:fill="FFFFFF"/>
        </w:rPr>
        <w:t>5、本调研会的报价仅做为本项目公开招标的预算限价；不做参与投标的限制条件；</w:t>
      </w:r>
    </w:p>
    <w:p>
      <w:pPr>
        <w:pStyle w:val="15"/>
        <w:numPr>
          <w:ilvl w:val="0"/>
          <w:numId w:val="0"/>
        </w:numPr>
        <w:rPr>
          <w:shd w:val="clear" w:color="auto" w:fill="FFFFFF"/>
        </w:rPr>
      </w:pPr>
      <w:r>
        <w:rPr>
          <w:rFonts w:hint="eastAsia"/>
          <w:shd w:val="clear" w:color="auto" w:fill="FFFFFF"/>
        </w:rPr>
        <w:t>6、上述各参数将做为本项目招标的主要参数，不代表本项目公开招标的最终参数；</w:t>
      </w:r>
    </w:p>
    <w:p>
      <w:pPr>
        <w:pStyle w:val="15"/>
        <w:numPr>
          <w:ilvl w:val="0"/>
          <w:numId w:val="0"/>
        </w:numPr>
        <w:rPr>
          <w:rFonts w:hint="eastAsia"/>
          <w:shd w:val="clear" w:color="auto" w:fill="FFFFFF"/>
        </w:rPr>
      </w:pPr>
      <w:r>
        <w:rPr>
          <w:rFonts w:hint="eastAsia"/>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5"/>
      </w:pPr>
      <w:r>
        <w:rPr>
          <w:rFonts w:hint="eastAsia"/>
        </w:rPr>
        <w:br w:type="page"/>
      </w:r>
    </w:p>
    <w:p>
      <w:pPr>
        <w:shd w:val="solid" w:color="FFFFFF" w:fill="auto"/>
        <w:autoSpaceDN w:val="0"/>
        <w:spacing w:line="420" w:lineRule="atLeast"/>
        <w:jc w:val="center"/>
        <w:rPr>
          <w:rFonts w:ascii="仿宋_GB2312" w:hAnsi="仿宋_GB2312" w:eastAsia="仿宋_GB2312" w:cs="仿宋_GB2312"/>
          <w:b/>
          <w:color w:val="000000"/>
          <w:sz w:val="32"/>
          <w:szCs w:val="32"/>
          <w:shd w:val="clear" w:color="auto" w:fill="FFFFFF"/>
        </w:rPr>
      </w:pPr>
    </w:p>
    <w:p>
      <w:pPr>
        <w:shd w:val="solid" w:color="FFFFFF" w:fill="auto"/>
        <w:autoSpaceDN w:val="0"/>
        <w:spacing w:line="420" w:lineRule="atLeas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11"/>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bl>
    <w:p>
      <w:pPr>
        <w:shd w:val="solid" w:color="FFFFFF" w:fill="auto"/>
        <w:autoSpaceDN w:val="0"/>
        <w:spacing w:line="420" w:lineRule="atLeas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联系人：</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pStyle w:val="15"/>
        <w:numPr>
          <w:ilvl w:val="0"/>
          <w:numId w:val="0"/>
        </w:numPr>
        <w:rPr>
          <w:rFonts w:hint="eastAsia"/>
          <w:shd w:val="clear" w:color="auto" w:fill="FFFFFF"/>
        </w:rPr>
      </w:pPr>
    </w:p>
    <w:p>
      <w:pPr>
        <w:pStyle w:val="15"/>
        <w:numPr>
          <w:ilvl w:val="0"/>
          <w:numId w:val="0"/>
        </w:numPr>
      </w:pPr>
      <w:r>
        <w:rPr>
          <w:rFonts w:hint="eastAsia"/>
        </w:rPr>
        <w:t xml:space="preserve">                                        福建省肿瘤医院</w:t>
      </w:r>
    </w:p>
    <w:p>
      <w:pPr>
        <w:pStyle w:val="15"/>
        <w:numPr>
          <w:ilvl w:val="0"/>
          <w:numId w:val="0"/>
        </w:numPr>
      </w:pPr>
      <w:r>
        <w:rPr>
          <w:rFonts w:hint="eastAsia"/>
        </w:rPr>
        <w:t xml:space="preserve">                                           年  月  日</w:t>
      </w:r>
    </w:p>
    <w:sectPr>
      <w:footerReference r:id="rId3"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45B35"/>
    <w:multiLevelType w:val="multilevel"/>
    <w:tmpl w:val="14C45B35"/>
    <w:lvl w:ilvl="0" w:tentative="0">
      <w:start w:val="1"/>
      <w:numFmt w:val="decimal"/>
      <w:pStyle w:val="15"/>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C536308"/>
    <w:multiLevelType w:val="multilevel"/>
    <w:tmpl w:val="4C536308"/>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3551602"/>
    <w:multiLevelType w:val="singleLevel"/>
    <w:tmpl w:val="53551602"/>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zZiNjE1N2NiNDY1MjdjNTllOWUxMWU4Y2ZiZGQifQ=="/>
  </w:docVars>
  <w:rsids>
    <w:rsidRoot w:val="007F5E91"/>
    <w:rsid w:val="00056FD3"/>
    <w:rsid w:val="00064CF7"/>
    <w:rsid w:val="000668D0"/>
    <w:rsid w:val="0006752C"/>
    <w:rsid w:val="00145059"/>
    <w:rsid w:val="001450F5"/>
    <w:rsid w:val="00151F0B"/>
    <w:rsid w:val="001C529E"/>
    <w:rsid w:val="00222D5E"/>
    <w:rsid w:val="00276A66"/>
    <w:rsid w:val="002E34EF"/>
    <w:rsid w:val="00304242"/>
    <w:rsid w:val="003344FC"/>
    <w:rsid w:val="003471EE"/>
    <w:rsid w:val="0037008D"/>
    <w:rsid w:val="003C6828"/>
    <w:rsid w:val="0041496F"/>
    <w:rsid w:val="004215C8"/>
    <w:rsid w:val="00443A94"/>
    <w:rsid w:val="00453B7D"/>
    <w:rsid w:val="0046074A"/>
    <w:rsid w:val="00475968"/>
    <w:rsid w:val="00477292"/>
    <w:rsid w:val="00495B0B"/>
    <w:rsid w:val="00495C79"/>
    <w:rsid w:val="004D66FE"/>
    <w:rsid w:val="004F229F"/>
    <w:rsid w:val="00552C87"/>
    <w:rsid w:val="00591F5D"/>
    <w:rsid w:val="005B4571"/>
    <w:rsid w:val="00614AF3"/>
    <w:rsid w:val="006349EF"/>
    <w:rsid w:val="00644982"/>
    <w:rsid w:val="00682E22"/>
    <w:rsid w:val="00687F93"/>
    <w:rsid w:val="006B2FCE"/>
    <w:rsid w:val="006C5F5C"/>
    <w:rsid w:val="006E5489"/>
    <w:rsid w:val="007065CD"/>
    <w:rsid w:val="00732792"/>
    <w:rsid w:val="00750EF9"/>
    <w:rsid w:val="00755478"/>
    <w:rsid w:val="007C1C5B"/>
    <w:rsid w:val="007D1A45"/>
    <w:rsid w:val="007F5E91"/>
    <w:rsid w:val="008315EE"/>
    <w:rsid w:val="00831908"/>
    <w:rsid w:val="008A3C60"/>
    <w:rsid w:val="00926A96"/>
    <w:rsid w:val="00953081"/>
    <w:rsid w:val="009546D8"/>
    <w:rsid w:val="009B7643"/>
    <w:rsid w:val="009C50DA"/>
    <w:rsid w:val="00A856E3"/>
    <w:rsid w:val="00A92D36"/>
    <w:rsid w:val="00A93842"/>
    <w:rsid w:val="00AE1E79"/>
    <w:rsid w:val="00AF60EB"/>
    <w:rsid w:val="00B1766D"/>
    <w:rsid w:val="00B64394"/>
    <w:rsid w:val="00BF5172"/>
    <w:rsid w:val="00BF7BAC"/>
    <w:rsid w:val="00C647B9"/>
    <w:rsid w:val="00C853A3"/>
    <w:rsid w:val="00D84BFC"/>
    <w:rsid w:val="00DB0365"/>
    <w:rsid w:val="00DE7B40"/>
    <w:rsid w:val="00E71FBE"/>
    <w:rsid w:val="00EC5704"/>
    <w:rsid w:val="00ED5137"/>
    <w:rsid w:val="00EE3263"/>
    <w:rsid w:val="00FB3EE7"/>
    <w:rsid w:val="00FD162F"/>
    <w:rsid w:val="072B1ACF"/>
    <w:rsid w:val="167334FD"/>
    <w:rsid w:val="2580275F"/>
    <w:rsid w:val="2A1D36D9"/>
    <w:rsid w:val="53637E9A"/>
    <w:rsid w:val="5E6D4CD6"/>
    <w:rsid w:val="72BC0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ascii="仿宋_GB2312" w:eastAsia="仿宋_GB2312"/>
      <w:sz w:val="32"/>
    </w:rPr>
  </w:style>
  <w:style w:type="paragraph" w:customStyle="1" w:styleId="3">
    <w:name w:val="引用1"/>
    <w:basedOn w:val="1"/>
    <w:next w:val="1"/>
    <w:qFormat/>
    <w:uiPriority w:val="29"/>
    <w:pPr>
      <w:spacing w:beforeLines="50" w:afterLines="50" w:line="360" w:lineRule="auto"/>
    </w:pPr>
    <w:rPr>
      <w:i/>
      <w:iCs/>
      <w:color w:val="000000"/>
      <w:lang w:val="zh-CN"/>
    </w:rPr>
  </w:style>
  <w:style w:type="paragraph" w:styleId="6">
    <w:name w:val="annotation text"/>
    <w:basedOn w:val="1"/>
    <w:link w:val="20"/>
    <w:qFormat/>
    <w:uiPriority w:val="0"/>
    <w:pPr>
      <w:jc w:val="left"/>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line="336" w:lineRule="auto"/>
      <w:jc w:val="left"/>
    </w:pPr>
    <w:rPr>
      <w:rFonts w:ascii="宋体" w:hAnsi="宋体"/>
      <w:kern w:val="0"/>
      <w:sz w:val="24"/>
    </w:rPr>
  </w:style>
  <w:style w:type="paragraph" w:styleId="10">
    <w:name w:val="annotation subject"/>
    <w:basedOn w:val="6"/>
    <w:next w:val="6"/>
    <w:link w:val="21"/>
    <w:uiPriority w:val="0"/>
    <w:rPr>
      <w:b/>
      <w:bCs/>
    </w:rPr>
  </w:style>
  <w:style w:type="character" w:styleId="13">
    <w:name w:val="Strong"/>
    <w:qFormat/>
    <w:uiPriority w:val="0"/>
    <w:rPr>
      <w:b/>
    </w:rPr>
  </w:style>
  <w:style w:type="character" w:styleId="14">
    <w:name w:val="annotation reference"/>
    <w:basedOn w:val="12"/>
    <w:qFormat/>
    <w:uiPriority w:val="0"/>
    <w:rPr>
      <w:sz w:val="21"/>
      <w:szCs w:val="21"/>
    </w:rPr>
  </w:style>
  <w:style w:type="paragraph" w:customStyle="1" w:styleId="15">
    <w:name w:val="Fließtext"/>
    <w:basedOn w:val="1"/>
    <w:qFormat/>
    <w:uiPriority w:val="0"/>
    <w:pPr>
      <w:numPr>
        <w:ilvl w:val="0"/>
        <w:numId w:val="1"/>
      </w:numPr>
      <w:overflowPunct w:val="0"/>
      <w:autoSpaceDE w:val="0"/>
      <w:autoSpaceDN w:val="0"/>
      <w:adjustRightInd w:val="0"/>
      <w:textAlignment w:val="baseline"/>
    </w:pPr>
    <w:rPr>
      <w:rFonts w:ascii="仿宋_GB2312" w:hAnsi="仿宋_GB2312" w:eastAsia="仿宋_GB2312" w:cs="仿宋_GB2312"/>
      <w:kern w:val="0"/>
      <w:sz w:val="32"/>
      <w:szCs w:val="32"/>
    </w:rPr>
  </w:style>
  <w:style w:type="paragraph" w:customStyle="1" w:styleId="16">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7">
    <w:name w:val="列表段落1"/>
    <w:basedOn w:val="1"/>
    <w:qFormat/>
    <w:uiPriority w:val="34"/>
    <w:pPr>
      <w:ind w:firstLine="420" w:firstLineChars="200"/>
    </w:pPr>
  </w:style>
  <w:style w:type="paragraph" w:customStyle="1" w:styleId="18">
    <w:name w:val="p0"/>
    <w:basedOn w:val="1"/>
    <w:qFormat/>
    <w:uiPriority w:val="0"/>
    <w:pPr>
      <w:widowControl/>
      <w:spacing w:before="100" w:beforeAutospacing="1" w:after="100" w:afterAutospacing="1"/>
      <w:jc w:val="left"/>
    </w:pPr>
    <w:rPr>
      <w:rFonts w:ascii="宋体" w:hAnsi="宋体" w:cs="宋体"/>
      <w:kern w:val="0"/>
      <w:sz w:val="24"/>
    </w:rPr>
  </w:style>
  <w:style w:type="paragraph" w:styleId="19">
    <w:name w:val="List Paragraph"/>
    <w:basedOn w:val="1"/>
    <w:qFormat/>
    <w:uiPriority w:val="34"/>
    <w:pPr>
      <w:widowControl/>
      <w:spacing w:line="360" w:lineRule="auto"/>
      <w:ind w:firstLine="420" w:firstLineChars="200"/>
      <w:jc w:val="left"/>
    </w:pPr>
    <w:rPr>
      <w:rFonts w:ascii="Times New Roman" w:hAnsi="Times New Roman" w:cstheme="minorBidi"/>
      <w:sz w:val="24"/>
    </w:rPr>
  </w:style>
  <w:style w:type="character" w:customStyle="1" w:styleId="20">
    <w:name w:val="批注文字 字符"/>
    <w:basedOn w:val="12"/>
    <w:link w:val="6"/>
    <w:qFormat/>
    <w:uiPriority w:val="0"/>
    <w:rPr>
      <w:rFonts w:ascii="Calibri" w:hAnsi="Calibri" w:cs="黑体"/>
      <w:kern w:val="2"/>
      <w:sz w:val="21"/>
      <w:szCs w:val="24"/>
    </w:rPr>
  </w:style>
  <w:style w:type="character" w:customStyle="1" w:styleId="21">
    <w:name w:val="批注主题 字符"/>
    <w:basedOn w:val="20"/>
    <w:link w:val="10"/>
    <w:qFormat/>
    <w:uiPriority w:val="0"/>
    <w:rPr>
      <w:rFonts w:ascii="Calibri" w:hAnsi="Calibri" w:cs="黑体"/>
      <w:b/>
      <w:bCs/>
      <w:kern w:val="2"/>
      <w:sz w:val="21"/>
      <w:szCs w:val="24"/>
    </w:rPr>
  </w:style>
  <w:style w:type="character" w:customStyle="1" w:styleId="22">
    <w:name w:val="页眉 字符"/>
    <w:basedOn w:val="12"/>
    <w:link w:val="8"/>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2652</Words>
  <Characters>2874</Characters>
  <Lines>73</Lines>
  <Paragraphs>92</Paragraphs>
  <TotalTime>0</TotalTime>
  <ScaleCrop>false</ScaleCrop>
  <LinksUpToDate>false</LinksUpToDate>
  <CharactersWithSpaces>2999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2023-05-30T06:42:00Z</dcterms:created>
  <dc:creator>Admin</dc:creator>
  <cp:lastModifiedBy>蓝风</cp:lastModifiedBy>
  <cp:lastPrinted>2023-06-20T07:45:00Z</cp:lastPrinted>
  <dcterms:modified xsi:type="dcterms:W3CDTF">2025-11-21T09:42:18Z</dcterms:modified>
  <dc:title>设备科：</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782B80C22AFB4AFE800578DF784F8503_13</vt:lpwstr>
  </property>
  <property fmtid="{D5CDD505-2E9C-101B-9397-08002B2CF9AE}" pid="4" name="KSOTemplateDocerSaveRecord">
    <vt:lpwstr>eyJoZGlkIjoiYTA3NmYyZDlmYzExOWY0NzFhYmMzYmNmMDdhZTk4N2YiLCJ1c2VySWQiOiI0MjU1NjEwMzQifQ==</vt:lpwstr>
  </property>
</Properties>
</file>