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bookmarkStart w:id="0" w:name="_GoBack"/>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wordWrap/>
              <w:spacing w:before="0" w:after="0" w:line="360" w:lineRule="auto"/>
              <w:ind w:left="0" w:leftChars="0" w:right="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color w:val="000000"/>
                <w:kern w:val="0"/>
                <w:sz w:val="28"/>
                <w:szCs w:val="28"/>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bidi w:val="0"/>
              <w:ind w:left="0" w:leftChars="0" w:firstLine="0" w:firstLineChars="0"/>
              <w:jc w:val="center"/>
              <w:rPr>
                <w:rFonts w:hint="eastAsia"/>
                <w:sz w:val="28"/>
                <w:szCs w:val="28"/>
                <w:lang w:val="en-US" w:eastAsia="zh-CN"/>
              </w:rPr>
            </w:pPr>
            <w:r>
              <w:rPr>
                <w:rFonts w:hint="eastAsia"/>
                <w:sz w:val="28"/>
                <w:szCs w:val="28"/>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w:t>
            </w:r>
            <w:r>
              <w:rPr>
                <w:rFonts w:hint="eastAsia" w:ascii="仿宋_GB2312" w:hAnsi="仿宋_GB2312" w:eastAsia="仿宋_GB2312" w:cs="仿宋_GB2312"/>
                <w:color w:val="000000"/>
                <w:kern w:val="0"/>
                <w:sz w:val="28"/>
                <w:szCs w:val="28"/>
                <w:lang w:val="en-US" w:eastAsia="zh-CN"/>
              </w:rPr>
              <w:t>名称</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福建省肿瘤医院互联网医院维保项目</w:t>
            </w:r>
            <w:r>
              <w:rPr>
                <w:rFonts w:hint="eastAsia" w:ascii="仿宋_GB2312" w:hAnsi="仿宋_GB2312" w:eastAsia="仿宋_GB2312" w:cs="仿宋_GB2312"/>
                <w:color w:val="000000"/>
                <w:kern w:val="0"/>
                <w:sz w:val="28"/>
                <w:szCs w:val="28"/>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bidi w:val="0"/>
              <w:ind w:left="0" w:leftChars="0" w:firstLine="0" w:firstLineChars="0"/>
              <w:jc w:val="center"/>
              <w:rPr>
                <w:rFonts w:hint="eastAsia"/>
                <w:sz w:val="28"/>
                <w:szCs w:val="28"/>
                <w:lang w:val="en-US" w:eastAsia="zh-CN"/>
              </w:rPr>
            </w:pPr>
            <w:r>
              <w:rPr>
                <w:rFonts w:hint="eastAsia"/>
                <w:sz w:val="28"/>
                <w:szCs w:val="28"/>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0" w:after="0" w:line="360" w:lineRule="auto"/>
              <w:ind w:left="0" w:leftChars="0" w:right="0"/>
              <w:jc w:val="both"/>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调研报名时间：</w:t>
            </w:r>
            <w:r>
              <w:rPr>
                <w:rFonts w:hint="eastAsia" w:ascii="仿宋_GB2312" w:hAnsi="仿宋_GB2312" w:eastAsia="仿宋_GB2312" w:cs="仿宋_GB2312"/>
                <w:color w:val="000000"/>
                <w:kern w:val="0"/>
                <w:sz w:val="28"/>
                <w:szCs w:val="28"/>
                <w:lang w:val="en-US" w:eastAsia="zh-CN"/>
              </w:rPr>
              <w:t xml:space="preserve"> 2025 </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u w:val="single"/>
                <w:lang w:val="en-US" w:eastAsia="zh-CN"/>
              </w:rPr>
              <w:t>12</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10</w:t>
            </w:r>
            <w:r>
              <w:rPr>
                <w:rFonts w:hint="eastAsia" w:ascii="仿宋_GB2312" w:hAnsi="仿宋_GB2312" w:eastAsia="仿宋_GB2312" w:cs="仿宋_GB2312"/>
                <w:color w:val="000000"/>
                <w:kern w:val="0"/>
                <w:sz w:val="28"/>
                <w:szCs w:val="28"/>
              </w:rPr>
              <w:t>日</w:t>
            </w:r>
            <w:r>
              <w:rPr>
                <w:rFonts w:hint="eastAsia" w:ascii="仿宋_GB2312" w:hAnsi="仿宋_GB2312" w:eastAsia="仿宋_GB2312" w:cs="仿宋_GB2312"/>
                <w:color w:val="000000"/>
                <w:kern w:val="0"/>
                <w:sz w:val="28"/>
                <w:szCs w:val="28"/>
                <w:lang w:val="en-US" w:eastAsia="zh-CN"/>
              </w:rPr>
              <w:t xml:space="preserve">至 </w:t>
            </w:r>
            <w:r>
              <w:rPr>
                <w:rFonts w:hint="eastAsia" w:ascii="仿宋_GB2312" w:hAnsi="仿宋_GB2312" w:eastAsia="仿宋_GB2312" w:cs="仿宋_GB2312"/>
                <w:color w:val="000000"/>
                <w:kern w:val="0"/>
                <w:sz w:val="28"/>
                <w:szCs w:val="28"/>
                <w:u w:val="single"/>
                <w:lang w:val="en-US" w:eastAsia="zh-CN"/>
              </w:rPr>
              <w:t>12</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u w:val="single"/>
                <w:lang w:val="en-US" w:eastAsia="zh-CN"/>
              </w:rPr>
              <w:t>16</w:t>
            </w:r>
            <w:r>
              <w:rPr>
                <w:rFonts w:hint="eastAsia" w:ascii="仿宋_GB2312" w:hAnsi="仿宋_GB2312" w:eastAsia="仿宋_GB2312" w:cs="仿宋_GB2312"/>
                <w:color w:val="000000"/>
                <w:kern w:val="0"/>
                <w:sz w:val="28"/>
                <w:szCs w:val="28"/>
              </w:rPr>
              <w:t>日</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spacing w:val="-8"/>
                <w:kern w:val="0"/>
                <w:sz w:val="28"/>
                <w:szCs w:val="28"/>
                <w:shd w:val="clear" w:color="auto" w:fill="FFFFFF"/>
              </w:rPr>
              <w:t>(节假日除外)8：00-12：00或14：00-17：</w:t>
            </w:r>
            <w:r>
              <w:rPr>
                <w:rFonts w:hint="eastAsia" w:ascii="仿宋_GB2312" w:hAnsi="仿宋_GB2312" w:eastAsia="仿宋_GB2312" w:cs="仿宋_GB2312"/>
                <w:color w:val="000000"/>
                <w:spacing w:val="-8"/>
                <w:kern w:val="0"/>
                <w:sz w:val="28"/>
                <w:szCs w:val="28"/>
                <w:shd w:val="clear" w:color="auto" w:fill="FFFFFF"/>
                <w:lang w:val="en-US" w:eastAsia="zh-CN"/>
              </w:rPr>
              <w:t>0</w:t>
            </w:r>
            <w:r>
              <w:rPr>
                <w:rFonts w:hint="eastAsia" w:ascii="仿宋_GB2312" w:hAnsi="仿宋_GB2312" w:eastAsia="仿宋_GB2312" w:cs="仿宋_GB2312"/>
                <w:color w:val="000000"/>
                <w:spacing w:val="-8"/>
                <w:kern w:val="0"/>
                <w:sz w:val="28"/>
                <w:szCs w:val="28"/>
                <w:shd w:val="clear" w:color="auto" w:fill="FFFFFF"/>
              </w:rPr>
              <w:t>0</w:t>
            </w:r>
            <w:r>
              <w:rPr>
                <w:rFonts w:hint="eastAsia" w:ascii="仿宋_GB2312" w:hAnsi="仿宋_GB2312" w:eastAsia="仿宋_GB2312" w:cs="仿宋_GB2312"/>
                <w:color w:val="000000"/>
                <w:spacing w:val="-8"/>
                <w:kern w:val="0"/>
                <w:sz w:val="28"/>
                <w:szCs w:val="28"/>
                <w:shd w:val="clear" w:color="auto" w:fill="FFFFFF"/>
                <w:lang w:val="en-US" w:eastAsia="zh-CN"/>
              </w:rPr>
              <w:t>(北京时间）</w:t>
            </w:r>
          </w:p>
          <w:p>
            <w:pPr>
              <w:widowControl/>
              <w:wordWrap/>
              <w:spacing w:before="0" w:after="0" w:line="360" w:lineRule="auto"/>
              <w:ind w:left="0" w:leftChars="0" w:right="0"/>
              <w:jc w:val="both"/>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调研会时间：</w:t>
            </w:r>
            <w:r>
              <w:rPr>
                <w:rFonts w:hint="eastAsia" w:ascii="仿宋_GB2312" w:hAnsi="仿宋_GB2312" w:eastAsia="仿宋_GB2312" w:cs="仿宋_GB2312"/>
                <w:color w:val="000000"/>
                <w:kern w:val="0"/>
                <w:sz w:val="28"/>
                <w:szCs w:val="28"/>
                <w:u w:val="none" w:color="auto"/>
                <w:lang w:val="en-US" w:eastAsia="zh-CN"/>
              </w:rPr>
              <w:t xml:space="preserve"> 2025 </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u w:val="single"/>
                <w:lang w:val="en-US" w:eastAsia="zh-CN"/>
              </w:rPr>
              <w:t>12</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17</w:t>
            </w:r>
            <w:r>
              <w:rPr>
                <w:rFonts w:hint="eastAsia" w:ascii="仿宋_GB2312" w:hAnsi="仿宋_GB2312" w:eastAsia="仿宋_GB2312" w:cs="仿宋_GB2312"/>
                <w:color w:val="000000"/>
                <w:kern w:val="0"/>
                <w:sz w:val="28"/>
                <w:szCs w:val="28"/>
              </w:rPr>
              <w:t>日</w:t>
            </w:r>
            <w:r>
              <w:rPr>
                <w:rFonts w:hint="eastAsia" w:ascii="仿宋_GB2312" w:hAnsi="仿宋_GB2312" w:eastAsia="仿宋_GB2312" w:cs="仿宋_GB2312"/>
                <w:color w:val="000000"/>
                <w:kern w:val="0"/>
                <w:sz w:val="28"/>
                <w:szCs w:val="28"/>
                <w:lang w:val="en-US" w:eastAsia="zh-CN"/>
              </w:rPr>
              <w:t xml:space="preserve">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bidi w:val="0"/>
              <w:ind w:left="0" w:leftChars="0" w:firstLine="0" w:firstLineChars="0"/>
              <w:jc w:val="center"/>
              <w:rPr>
                <w:rFonts w:hint="eastAsia"/>
                <w:sz w:val="28"/>
                <w:szCs w:val="28"/>
                <w:lang w:val="en-US" w:eastAsia="zh-CN"/>
              </w:rPr>
            </w:pPr>
            <w:r>
              <w:rPr>
                <w:rFonts w:hint="eastAsia"/>
                <w:sz w:val="28"/>
                <w:szCs w:val="28"/>
                <w:lang w:val="en-US" w:eastAsia="zh-CN"/>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highlight w:val="none"/>
                <w:lang w:val="en-US" w:eastAsia="zh-CN"/>
              </w:rPr>
              <w:t>投标</w:t>
            </w:r>
            <w:r>
              <w:rPr>
                <w:rFonts w:hint="eastAsia" w:ascii="仿宋_GB2312" w:hAnsi="仿宋_GB2312" w:eastAsia="仿宋_GB2312" w:cs="仿宋_GB2312"/>
                <w:color w:val="000000"/>
                <w:sz w:val="28"/>
                <w:szCs w:val="28"/>
                <w:highlight w:val="none"/>
              </w:rPr>
              <w:t>文件正本</w:t>
            </w:r>
            <w:r>
              <w:rPr>
                <w:rFonts w:hint="eastAsia" w:ascii="仿宋_GB2312" w:hAnsi="仿宋_GB2312" w:eastAsia="仿宋_GB2312" w:cs="仿宋_GB2312"/>
                <w:bCs/>
                <w:color w:val="000000"/>
                <w:sz w:val="28"/>
                <w:szCs w:val="28"/>
                <w:highlight w:val="none"/>
                <w:u w:val="single"/>
              </w:rPr>
              <w:t>壹</w:t>
            </w:r>
            <w:r>
              <w:rPr>
                <w:rFonts w:hint="eastAsia" w:ascii="仿宋_GB2312" w:hAnsi="仿宋_GB2312" w:eastAsia="仿宋_GB2312" w:cs="仿宋_GB2312"/>
                <w:color w:val="000000"/>
                <w:sz w:val="28"/>
                <w:szCs w:val="28"/>
                <w:highlight w:val="none"/>
              </w:rPr>
              <w:t>份,副本</w:t>
            </w:r>
            <w:r>
              <w:rPr>
                <w:rFonts w:hint="eastAsia" w:ascii="仿宋_GB2312" w:hAnsi="仿宋_GB2312" w:eastAsia="仿宋_GB2312" w:cs="仿宋_GB2312"/>
                <w:bCs/>
                <w:color w:val="000000"/>
                <w:sz w:val="28"/>
                <w:szCs w:val="28"/>
                <w:highlight w:val="none"/>
                <w:u w:val="single"/>
              </w:rPr>
              <w:t>壹</w:t>
            </w:r>
            <w:r>
              <w:rPr>
                <w:rFonts w:hint="eastAsia" w:ascii="仿宋_GB2312" w:hAnsi="仿宋_GB2312" w:eastAsia="仿宋_GB2312" w:cs="仿宋_GB2312"/>
                <w:color w:val="000000"/>
                <w:sz w:val="28"/>
                <w:szCs w:val="28"/>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bidi w:val="0"/>
              <w:ind w:left="0" w:leftChars="0" w:firstLine="0" w:firstLineChars="0"/>
              <w:jc w:val="center"/>
              <w:rPr>
                <w:rFonts w:hint="eastAsia"/>
                <w:sz w:val="28"/>
                <w:szCs w:val="28"/>
                <w:lang w:val="en-US" w:eastAsia="zh-CN"/>
              </w:rPr>
            </w:pPr>
            <w:r>
              <w:rPr>
                <w:rFonts w:hint="eastAsia"/>
                <w:sz w:val="28"/>
                <w:szCs w:val="28"/>
                <w:lang w:val="en-US" w:eastAsia="zh-CN"/>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rPr>
              <w:t>投标</w:t>
            </w:r>
            <w:r>
              <w:rPr>
                <w:rFonts w:hint="eastAsia" w:ascii="仿宋_GB2312" w:hAnsi="仿宋_GB2312" w:eastAsia="仿宋_GB2312" w:cs="仿宋_GB2312"/>
                <w:color w:val="000000"/>
                <w:kern w:val="0"/>
                <w:sz w:val="28"/>
                <w:szCs w:val="28"/>
              </w:rPr>
              <w:t>文件递交处：福建省肿瘤医院</w:t>
            </w:r>
            <w:r>
              <w:rPr>
                <w:rFonts w:hint="eastAsia" w:ascii="仿宋_GB2312" w:hAnsi="仿宋_GB2312" w:eastAsia="仿宋_GB2312" w:cs="仿宋_GB2312"/>
                <w:color w:val="000000"/>
                <w:kern w:val="0"/>
                <w:sz w:val="28"/>
                <w:szCs w:val="28"/>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bidi w:val="0"/>
              <w:ind w:left="0" w:leftChars="0" w:firstLine="0" w:firstLineChars="0"/>
              <w:jc w:val="center"/>
              <w:rPr>
                <w:rFonts w:hint="eastAsia"/>
                <w:sz w:val="28"/>
                <w:szCs w:val="28"/>
                <w:lang w:val="en-US" w:eastAsia="zh-CN"/>
              </w:rPr>
            </w:pPr>
            <w:r>
              <w:rPr>
                <w:rFonts w:hint="eastAsia"/>
                <w:sz w:val="28"/>
                <w:szCs w:val="28"/>
                <w:lang w:val="en-US" w:eastAsia="zh-CN"/>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kern w:val="0"/>
                <w:sz w:val="28"/>
                <w:szCs w:val="28"/>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bidi w:val="0"/>
              <w:ind w:left="0" w:leftChars="0" w:firstLine="0" w:firstLineChars="0"/>
              <w:jc w:val="center"/>
              <w:rPr>
                <w:rFonts w:hint="eastAsia"/>
                <w:sz w:val="28"/>
                <w:szCs w:val="28"/>
                <w:lang w:val="en-US" w:eastAsia="zh-CN"/>
              </w:rPr>
            </w:pPr>
            <w:r>
              <w:rPr>
                <w:rFonts w:hint="eastAsia"/>
                <w:sz w:val="28"/>
                <w:szCs w:val="28"/>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color w:val="000000"/>
                <w:kern w:val="0"/>
                <w:sz w:val="28"/>
                <w:szCs w:val="28"/>
                <w:shd w:val="clear" w:color="auto" w:fill="FFFFFF"/>
              </w:rPr>
              <w:t>采购报名、采购调研等采购过程中有任何异议，可联系我院监督科室。电话：83660063-8407；83660063-8467。</w:t>
            </w:r>
          </w:p>
        </w:tc>
      </w:tr>
    </w:tbl>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28"/>
          <w:szCs w:val="28"/>
          <w:shd w:val="clear" w:color="auto" w:fill="FFFFFF"/>
          <w:lang w:val="en-US" w:eastAsia="zh-CN"/>
        </w:rPr>
      </w:pPr>
      <w:r>
        <w:rPr>
          <w:rFonts w:hint="eastAsia" w:ascii="仿宋_GB2312" w:hAnsi="仿宋_GB2312" w:eastAsia="仿宋_GB2312" w:cs="仿宋_GB2312"/>
          <w:b w:val="0"/>
          <w:bCs/>
          <w:color w:val="000000"/>
          <w:kern w:val="0"/>
          <w:sz w:val="28"/>
          <w:szCs w:val="28"/>
          <w:shd w:val="clear" w:color="auto" w:fill="FFFFFF"/>
        </w:rPr>
        <w:t>地　址： 福建省福州市福马路420号</w:t>
      </w:r>
      <w:r>
        <w:rPr>
          <w:rFonts w:hint="eastAsia" w:ascii="仿宋_GB2312" w:hAnsi="仿宋_GB2312" w:eastAsia="仿宋_GB2312" w:cs="仿宋_GB2312"/>
          <w:b w:val="0"/>
          <w:bCs/>
          <w:color w:val="000000"/>
          <w:kern w:val="0"/>
          <w:sz w:val="28"/>
          <w:szCs w:val="28"/>
          <w:shd w:val="clear" w:color="auto" w:fill="FFFFFF"/>
          <w:lang w:val="en-US" w:eastAsia="zh-CN"/>
        </w:rPr>
        <w:t xml:space="preserve"> </w:t>
      </w:r>
    </w:p>
    <w:p>
      <w:pPr>
        <w:widowControl/>
        <w:shd w:val="clear" w:color="auto" w:fill="FFFFFF"/>
        <w:wordWrap/>
        <w:spacing w:before="0" w:after="0" w:line="360" w:lineRule="auto"/>
        <w:ind w:right="0"/>
        <w:jc w:val="both"/>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000000"/>
          <w:kern w:val="0"/>
          <w:sz w:val="28"/>
          <w:szCs w:val="28"/>
          <w:shd w:val="clear" w:color="auto" w:fill="FFFFFF"/>
          <w:lang w:val="en-US" w:eastAsia="zh-CN"/>
        </w:rPr>
        <w:t>福建</w:t>
      </w:r>
      <w:r>
        <w:rPr>
          <w:rFonts w:hint="eastAsia" w:ascii="仿宋_GB2312" w:hAnsi="仿宋_GB2312" w:eastAsia="仿宋_GB2312" w:cs="仿宋_GB2312"/>
          <w:b w:val="0"/>
          <w:bCs/>
          <w:color w:val="000000"/>
          <w:kern w:val="0"/>
          <w:sz w:val="28"/>
          <w:szCs w:val="28"/>
          <w:shd w:val="clear" w:color="auto" w:fill="FFFFFF"/>
        </w:rPr>
        <w:t>省肿瘤医院</w:t>
      </w:r>
      <w:r>
        <w:rPr>
          <w:rFonts w:hint="eastAsia" w:ascii="仿宋_GB2312" w:hAnsi="仿宋_GB2312" w:eastAsia="仿宋_GB2312" w:cs="仿宋_GB2312"/>
          <w:b w:val="0"/>
          <w:bCs/>
          <w:color w:val="000000"/>
          <w:kern w:val="0"/>
          <w:sz w:val="28"/>
          <w:szCs w:val="28"/>
          <w:shd w:val="clear" w:color="auto" w:fill="FFFFFF"/>
          <w:lang w:val="en-US" w:eastAsia="zh-CN"/>
        </w:rPr>
        <w:t>科研楼四楼网络技术中心</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color w:val="000000"/>
          <w:kern w:val="0"/>
          <w:sz w:val="28"/>
          <w:szCs w:val="28"/>
          <w:shd w:val="clear" w:color="auto" w:fill="FFFFFF"/>
        </w:rPr>
        <w:t>邮　编： 350014　 </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color w:val="000000"/>
          <w:kern w:val="0"/>
          <w:sz w:val="28"/>
          <w:szCs w:val="28"/>
          <w:shd w:val="clear" w:color="auto" w:fill="FFFFFF"/>
          <w:lang w:val="en-US" w:eastAsia="zh-CN"/>
        </w:rPr>
        <w:t>报名联系</w:t>
      </w:r>
      <w:r>
        <w:rPr>
          <w:rFonts w:hint="eastAsia" w:ascii="仿宋_GB2312" w:hAnsi="仿宋_GB2312" w:eastAsia="仿宋_GB2312" w:cs="仿宋_GB2312"/>
          <w:b w:val="0"/>
          <w:bCs/>
          <w:color w:val="000000"/>
          <w:kern w:val="0"/>
          <w:sz w:val="28"/>
          <w:szCs w:val="28"/>
          <w:shd w:val="clear" w:color="auto" w:fill="FFFFFF"/>
        </w:rPr>
        <w:t>电话： 0591-83660063-8822</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28"/>
          <w:szCs w:val="28"/>
          <w:shd w:val="clear" w:color="auto" w:fill="FFFFFF"/>
        </w:rPr>
        <w:t xml:space="preserve">联系人： </w:t>
      </w:r>
      <w:r>
        <w:rPr>
          <w:rFonts w:hint="eastAsia" w:ascii="仿宋_GB2312" w:hAnsi="仿宋_GB2312" w:eastAsia="仿宋_GB2312" w:cs="仿宋_GB2312"/>
          <w:b w:val="0"/>
          <w:bCs/>
          <w:color w:val="000000"/>
          <w:kern w:val="0"/>
          <w:sz w:val="28"/>
          <w:szCs w:val="28"/>
          <w:shd w:val="clear" w:color="auto" w:fill="FFFFFF"/>
          <w:lang w:val="en-US" w:eastAsia="zh-CN"/>
        </w:rPr>
        <w:t>曾工、郑 工</w:t>
      </w:r>
    </w:p>
    <w:p>
      <w:pPr>
        <w:pStyle w:val="11"/>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Style w:val="8"/>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4"/>
        <w:gridCol w:w="4255"/>
        <w:gridCol w:w="1567"/>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3" w:type="pct"/>
            <w:vAlign w:val="center"/>
          </w:tcPr>
          <w:p>
            <w:pPr>
              <w:bidi w:val="0"/>
              <w:spacing w:line="360" w:lineRule="auto"/>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合同包</w:t>
            </w:r>
          </w:p>
        </w:tc>
        <w:tc>
          <w:tcPr>
            <w:tcW w:w="2294" w:type="pct"/>
            <w:vAlign w:val="center"/>
          </w:tcPr>
          <w:p>
            <w:pPr>
              <w:bidi w:val="0"/>
              <w:spacing w:line="360" w:lineRule="auto"/>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 称</w:t>
            </w:r>
          </w:p>
        </w:tc>
        <w:tc>
          <w:tcPr>
            <w:tcW w:w="845" w:type="pct"/>
            <w:vAlign w:val="center"/>
          </w:tcPr>
          <w:p>
            <w:pPr>
              <w:bidi w:val="0"/>
              <w:spacing w:line="360" w:lineRule="auto"/>
              <w:ind w:left="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1016" w:type="pct"/>
            <w:vAlign w:val="center"/>
          </w:tcPr>
          <w:p>
            <w:pPr>
              <w:bidi w:val="0"/>
              <w:spacing w:line="360" w:lineRule="auto"/>
              <w:ind w:left="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4"/>
            <w:vAlign w:val="center"/>
          </w:tcPr>
          <w:p>
            <w:pPr>
              <w:bidi w:val="0"/>
              <w:spacing w:line="360" w:lineRule="auto"/>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3" w:type="pct"/>
            <w:vAlign w:val="center"/>
          </w:tcPr>
          <w:p>
            <w:pPr>
              <w:bidi w:val="0"/>
              <w:spacing w:line="360" w:lineRule="auto"/>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294" w:type="pct"/>
            <w:shd w:val="clear" w:color="auto" w:fill="auto"/>
            <w:vAlign w:val="center"/>
          </w:tcPr>
          <w:p>
            <w:pPr>
              <w:bidi w:val="0"/>
              <w:spacing w:line="360" w:lineRule="auto"/>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互联网医院维保项目</w:t>
            </w:r>
          </w:p>
        </w:tc>
        <w:tc>
          <w:tcPr>
            <w:tcW w:w="845" w:type="pct"/>
            <w:shd w:val="clear" w:color="auto" w:fill="auto"/>
            <w:vAlign w:val="center"/>
          </w:tcPr>
          <w:p>
            <w:pPr>
              <w:bidi w:val="0"/>
              <w:spacing w:line="360" w:lineRule="auto"/>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1016" w:type="pct"/>
            <w:vAlign w:val="center"/>
          </w:tcPr>
          <w:p>
            <w:pPr>
              <w:bidi w:val="0"/>
              <w:spacing w:line="360" w:lineRule="auto"/>
              <w:ind w:left="0" w:leftChars="0"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r>
    </w:tbl>
    <w:p>
      <w:pPr>
        <w:rPr>
          <w:rFonts w:hint="eastAsia"/>
          <w:lang w:val="en-US" w:eastAsia="zh-CN"/>
        </w:rPr>
      </w:pPr>
    </w:p>
    <w:p>
      <w:pPr>
        <w:keepNext/>
        <w:widowControl/>
        <w:numPr>
          <w:ilvl w:val="0"/>
          <w:numId w:val="1"/>
        </w:numPr>
        <w:shd w:val="clear" w:color="auto" w:fill="FFFFFF"/>
        <w:wordWrap/>
        <w:autoSpaceDE w:val="0"/>
        <w:spacing w:before="0" w:after="0" w:line="360" w:lineRule="auto"/>
        <w:ind w:left="-640" w:leftChars="0" w:right="0" w:firstLineChars="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技术功能及服务要求</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（一）维保期：1年；</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（二）服务内容</w:t>
      </w:r>
    </w:p>
    <w:p>
      <w:pPr>
        <w:bidi w:val="0"/>
        <w:ind w:left="0" w:leftChars="0"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维保期内，为医院提供以下服务内容以保证系统能够正常运行使用：</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提供客服热线及网络（邮件、微信）等渠道受理问题反馈</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提供7*24小时响应服务，系统出现故障应在24小时内由专业技术人员通过电话或网络等远程方式受理反馈的问题，根据故障现象，分析问题原因，做出初步判断后双方协商确认问题解决时间</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对系统使用科室提出的关于系统使用、操作流程等问题进行解释和答复</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（4）协助客户建立数据备份，保存及恢复。</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对系统涉及的第三方软件开发商做好相应的程序排错等配合工作</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 提供定期的售后电话回访服务</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 建立客户档案，跟踪客户使用情况</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（8）对系统软件定期进行检查、分析和测试，输出检查分析报告。 </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（9）对软件系统定期进行版本检查，在必要时升级。 </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（10）协助客户做重要节假日系统保障工作。  </w:t>
      </w:r>
    </w:p>
    <w:p>
      <w:pPr>
        <w:bidi w:val="0"/>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（三）对“系统”的功能要求</w:t>
      </w:r>
    </w:p>
    <w:tbl>
      <w:tblPr>
        <w:tblStyle w:val="8"/>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79"/>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979" w:type="dxa"/>
            <w:vAlign w:val="center"/>
          </w:tcPr>
          <w:p>
            <w:pPr>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6715" w:type="dxa"/>
            <w:vAlign w:val="center"/>
          </w:tcPr>
          <w:p>
            <w:pPr>
              <w:bidi w:val="0"/>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互联网医院平台基础功能</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互联网医院平台用于实现对患者的互联网诊疗管理。具备系统管理、主数据管理、业务数据查询、护理预约管理、系统日志管理等功能，同时实现与其他业务系统的数据交换。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系统管理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系统管理指的是应用系统的权限分配管理和系统登陆管理，应用系统应具备完善的权限和登陆管理，平台具备以“菜单功能”的权限设置，应用系统以集成化、多功能的操作界面展示，必须具备以“操作功能”的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权限管理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完整的权限管理：包含角色设置，功能权限的分配，功能权限支持按树结点形式展示，方便系统管理员勾选结点进行角色对应权限的分配功能。具备停用功能：由系统管理员对已有角色或已有功能权限进行停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配置管理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对系统相关运行参数进行配置管理的功能，诸如：新增用户默认密码、物流配送请求地址、省监管平台接口调用地址、调用账号、调用秘钥、短信通道调用地址、调用账号、调用密码、支持医生自定义常用语，支持设置平台默认常用语，支持常用语的分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主数据管理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主数据管理指的是应用系统各类基础数据的定义、维护管理。各字典必须同时具备院内编码、国家编码。主数据管理主要包括医疗机构、科室、人员信息、患者信息、护理预约项目、满意度调查、药品目录、药店企业等各类主数据。主数据管理各功能包括新增、删除、修改、查询等基本功能；各业务数据必须具备必要的结构化、非结构化数据项；具备系统已有数据项的高级组合查询功能，具备查询结果的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医疗机构名称</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列表显示展示医疗机构完整数据项，诸如：机构代码、机构名称、机构状态、所属区域、机构类型、机构等级、机构联系人、机构联系人电话等。具备根据机构代码、机构名称等关键字进行机构排序，导出列表中的机构数据，查看机构详情，注销已有机构信息，支持机构信息批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科室名称</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科室名称完整数据项，诸如：科室编码、科室名称、位置分布、科室负责人、联系电话等。具备根据科室编码、科室名称等关键字进行科室排序，导出列表中的科室数据，查看科室详情，停用已有科室名称，支持科室信息批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人员信息</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具备完整的人员信息管理，包括人员分类、所属科室、工作状态、人员基本信息、医疗执业信息以及人员简介等，能够支持批量注册、批量修改人员信息功能。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排班列表</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针对互联网医院线上诊疗业务，支持对接医院院内排班系统，获取和展示完整的、灵活的排班，诸如按科室、医生、时段等条件排班。支持对接医院院内号源系统，获取和展示，诸如：号源序号、号源时段、号源归属等，具备与院内号源系统的双向数据交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患者信息列表</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患者信息的完整各数据项，诸如：患者住院(门诊)号、姓名、性别、出生日期、婚姻状态、联系人、患者来源、联系电话、科室名称、身份证号、职业、工作单位、所属地区等。支持通过患者姓名、联系电话、身份证号查询患者信息支持查看患者信息来源、患者标签、患者就诊记录、线上病历、线上处方。支持与院内电子病历对接，查看患者门诊病历、住院病历、门诊处方、检查报告、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基础数据</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具备基础数据维护管理功能，诸如：医院简介、就医指南、特色医技、各类患者告知模板、护理耗材项目等维护。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诊疗服务项目</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诊疗服务项目包括了医生诊疗及护理诊疗，系统必须具备诊疗服务项目管理。各诊疗服务项目必须具备完整的数据项，诸如：项目分类、项目编码、项目名称、项目单价、项目描述以及国家项目编码以及项目状态等；护理服务项目同时还必须支持图片等。诊疗服务项目必须具备完整的服务管理功能，诸如排序、检索、组合等。诊疗服务项目应具备多级的服务项目名称与收费项目的绑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满意度调查</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具备满意度调查的完整各数据项，诸如：满意度标题、满意度统计类型、页面类型、满意度调查文章类型、停用标记、生效日期等。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医生常用语</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具备医生常用语的完整各数据项，诸如：常用语代码、常用语名称、停用标记、排序码、分类等。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药品目录</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支持医院配置互联网电子处方药品/配送处方药品目录，提供药品的上下架、查询、药品目录导出等服务。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配送企业管理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配送企业管理功能，具备完整的配送企业各数据项，诸如：企业代码、企业名称、是否支持开票、是否支持拆零，药店地址、热线电话、停用标记、药店负责人、负责人联系电话。具备互联网医院平台各相关主数据、院内系统主数据、配送企业主数据的自动对应及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业务数据查询处方查询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具备根据购药订单号、真实处方单号、支付流水号、零售系统订单号、就诊人姓名精确查询或根据订单创建时间段、配送商模糊匹配查询，重置查询条件，导出数据。支持点击处方记录，进查看处方单详情，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具备护理预约查询功能，能查询医院所有的订单。支持按医院、预约状态、预约日期筛选。支持点击任一预约记录，进入预约记录详情页，可查询预约记录所有信息。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支付记录查询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完善的支付记录查询功能，诸如：支付通道、支付状态、支付账号交易流水号、系统单号、支付时间、请求时间，回调时间等。支持按支付通道、支付状态、交易流水号、请求时间等关键字筛选。具备点击任一支付记录后进行退款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患者信息查询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显示该完整患者的个人基本信息：诸如：门诊号(住院号)、患者姓名、患者性别、出生日期、民族、婚否、证件类型、证件号码、患者身份、医保标志等。具备显示及管理完整的诊断记录：诸如：门诊诊断、出院诊断以及各诊断的时间、人员等。</w:t>
            </w:r>
            <w:r>
              <w:rPr>
                <w:rFonts w:hint="eastAsia" w:ascii="仿宋_GB2312" w:hAnsi="仿宋_GB2312" w:eastAsia="仿宋_GB2312" w:cs="仿宋_GB2312"/>
                <w:sz w:val="28"/>
                <w:szCs w:val="28"/>
                <w:lang w:val="en-US" w:eastAsia="en-US"/>
              </w:rPr>
              <w:t>具备显示完整的门诊挂号诊疗记录、入出院记录。诸如：挂号时间、挂号科室、入院时间、出院时间、入院病区、出院病区、出院床号等。具备选择门诊诊疗记录、入出院记录后，能浏览本次诊疗的完整诊疗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预约记录查询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完善的预约记录查询功能，诸如：预约日期、挂号科室、挂号医生、预约状态、就诊人、联系电话等。支持按预约日期、预约状态、联系电话等关键字筛选具备点击任一预约记录后查看预约记录详细信息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管理主要用于护理中心对患者在互联网医院预约的护理项目进行管理时使用，主要包含预约受理、预约处理、拒单、取消等功能。具备患者支付后且服务开始前，在后台进行修改上门时间操作，并通过系统消息提醒修改时间至患者和对应护士账号。具备订单确认后且服务开始前，在后台进行修改上门护士操作，修改成功并通过系统消息提醒派单信息至对应护士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护理预约受理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将患者端预约的项目进行列表展示，包括上门服务地址、预约项目、上门服务时间、病历及资料图片、基本信息要求描述、预约人、联系电话等数据项。护理派单人员选择要处理的订单，查看订单详情，根据当前医护人员的承单能力进行评估并处理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护理预约处理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护理订单处理为接单时，可选择护士进行护理预约派定，支持同一护理预约记录，可选择1-多名护士进行派单。支持按当前护士在订单预约时段接单状态及出诊状态，进行派单选择，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护理预约拒单</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支持将护理预约记录标记为拒单的功能，护理订单处理为拒绝订单时，需要提交拒单原因。支持提交后，将护理预约记录变更为已拒绝，患者收到变动通知(消息提醒/短信),同时支付的费用在1-3个工作日原路退回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护理预约取消</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接单后，如因护士等原因无法进行后续服务，可在订单详情进行订单取消；订单取消后，患者收到变动通知(消息提醒/短信),支付的费用在1-3个工作日原路退回。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系统日志管理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6.1登录日志管理具备完善的系统登陆日志管理，诸如：工作站IP、用户登陆时间、退出时间、登陆方式以及非法用户登陆日志等。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权限修改日志管理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各数据表基础数据项的完整性，诸如：数据的创建人、创建时间、最后修改人、最后修改时间等。具备应用系统数据修改痕迹管理，各项核心业务的数据修改必须以日志形式保存，数据修改日志有“数据基础信息”、"修改前数据”、“修改后数据”、“修改人”、“修改时间”五个部分核心数据项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接口交互日志管理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数据交互时特别是数据集交互模式下的接口日志及日志管理：诸如：交互时间、交互操作员、交互状态、交互内容、返回状态、返回内容等。具备以数据表(视图)模式的数据交换，并以符合诊疗规范的格式浏览相应的数据。具备以应用系统服务接口模式的数据交换，并以符合诊疗规范的格式浏览相应的数据。具备数据交换一致性纠错处理，诸如：未完成或出现错误的数据交换，系统应能在指定的时间内重复进行数据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省监管平台上传日志管理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与省监管平台接口对接的日志管理，诸如：请求时间、请求接口名请求内容、返回状态、返回内容等。具备按请求时间、返回状态等关键字进行日志查询功能。具备接口请求一致性纠错处理，诸如：未完成或出现错误的数据交换，系统能在指定的时间内重复进行数据上传或管理员通过系统功能重新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短信发送记录管理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具备短信发送记录管理功能，诸如：发送业务类型(比如登录、找回密码等)发送时间，发送内容、接收手机号，发送状态等，具备针对某种业务类型，设置在某时间内只发送一次短信的功能。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患者端功能</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患者端，搭建独立的微信小程序，患者端系统主要用于患者在使用互联网诊疗全流程服务时使用，具备诊疗服务、处方管理、护理预约管理、个人中心、医院信息等功能，同时实现全流程的、就医诊断服务。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诊疗服务</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诊疗服务主要用于患者在进行互联网相关诊疗服务操作时使用，诸如：在线建档、预约挂号、缴费、预约咨询、在线诊疗等，部分功能与现有医院互联网服务重叠时以现有医院互联网服务为参照。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在线建档</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通过对接线下院内接口，实现在线申请就诊卡功能，患者可在线申请就诊卡，输入就诊人证件号、姓名、手机号等信息后，建立档案。支持通过人脸识别、OCR识别比对等方式完成建档用户的实名认证。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预约挂号</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实现互联网医院号源预约服务，实现患者互联网医院预约挂号，线上完成支付的功能。具备按预约日期、预约科室等查询号源，通过点击某个具体医生能显示预约医生的相关信息、包含医生头像、医生姓名、医生职称、医生简介等，具备预约挂号记录查看功能，查询与管理挂号预约记录，包含预约状态、预约医生、预约时间、预约号。具备取消预约功能，患者能提前一天对已预约的号源进行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门诊报到</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通过对接线下院内接口，实现门诊报到功能，实现患者在就诊前到达医院指定距离范围之内，可以在线进行门诊报到，无需再前往医院线下取号报到，减轻医院线下科室报到处的压力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自助缴费</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通过对接线下院内接口，实现自助缴费功能，通过选择就诊人、就诊卡后显示该就诊人待缴费列表，可进行费用明细查看，并进行在线缴费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排队叫号</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实现排队叫号功能。支持患者到院报到后，可查询患者就诊的实时排队信息，随时了解前面有几个人等待就诊，从容安排就诊到位时间。具备提醒业务设置功能，通过设置指定的提醒号，及时通知用户就诊，避免错过就诊时间，省却患者排队之苦，减少大厅候诊人数，营造温馨舒适的就医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门诊缴费历史查询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通过对接线下院内接口，实现门诊缴费历史查询功能，包含缴费时间、缴费金额、缴费状态、就诊人等数据项。具备按缴费时间进行数据筛选功能，并查看缴费详情信息。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检验报告查询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实现检验报告查询功能。支持患者可以用手机即时查询(通过选择就诊人或者扫描报告凭条上的条形码或二维码)、按检验日期等条件查询检验报告单记录。支持查询检验结果的文字报告，支持显示检验项目异常值提醒(偏高或偏低),其中异常值用红色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检查报告查询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通过对接线下院内接口，实现检查报告查询功能。支持患者可以用手机即时查询(通过选择就诊人或者扫描报告凭条上的条形码或二维码)、按检查日期等条件查询检查报告单记录。支持查询检查结果的文字报告。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用药信息查询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通过对接线下院内接口，支持患者可查询在医院的住院门诊带药信息功能包括药品规格，药品说明，用药指导等。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住院费用查询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通过对接线下院内接口，支持查询历次住院期间产生费用以及明细的功能可具体到每一天的费用详情。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住院预交金充值</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通过对接线下院内接口，支持患者住院账户预交金充值功能，包含充值时间、充值金额、充值方式等，支持账户预交金余额查询、预交金充值记录查询等功能。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护理项目预约</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护理项目预约功能，患者通过护理项目列表，选择某个项目后，查看项目具体介绍内容。支持下单功能，填写下单必填信息信息，包括上门服务地址、就诊人信息、上门服务时间、病历及资料图片、基本信息要求描述。支持电话咨询，患者点击后，可直接拨打医院护士上门服务电话。支持查看护理项目服务须知，并查看上门护理知情同意内容；患者同意并勾选后，可进入护理项目预约提交流程。支持选择上门时间：选择当前时间之后的上门时间；如时间段已约满，则显示“已满”,无法预约；每个时间段号源默认5个，支持服务端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护理项目预约支付</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具备护理项目预约支付功能，患者提交完护理预约项目后通过调用支持接口，进行护理项目预约的支付。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服务评价</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服务评价功能，实现患者对医院就诊各方面的评价，包括：就医环境、就医流程、窗口人员服务态度、医师服务态度、医技人员服务态度、护理人员服务态度、医疗疗效等。具备针对每个问题，用户可选择“不满意”、“一般”、"满意”。支持用户以文字形式提交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智能预问诊</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用户就诊前，系统引导患者进入AI预诊阶段，智能采集用户病情信息，包括主诉、现病史、既往史、过敏史、家族史等，生成预诊结果给到医生节省医生写病历时间，提升医疗效率，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线上门诊</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线上门诊功能，通过预约互联网医院诊疗号源，医院统一安排专家坐班为患者提供远程问诊服务，同时支持非对接模式后台安排排班，实现患者与医生在线诊疗，在线诊疗必须具备文本输入交互、音视频通讯、图片传输、语音、历史诊疗档案调阅等各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线上咨询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患者在线上与诊疗医生进行咨询交互。咨询交互具备文本输入交互、音视频通讯、图片传输、历史诊疗档案调阅等各项功能。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复诊记录选择</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针对线上门诊业务，在患者提交病情描述时，支持对接医院系统获取患者线下就诊记录，患者可便捷选择就诊记录，无需拍照上传证明材料。方便患者提交资料，保障患者病情的真实性。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就医助手</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根据患者日常行为(如挂号、关注医生、找医生问诊、购药),智能的在互联网医院首页展示相关的医生、挂号单、问诊购药订单的快捷入口。方便患者快速找到订单或者医生主页。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处方管理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处方管理用于患者手机端接收处方后，实时进行确认，并进行在线支付同时选择相应的药房，实现互联网医院送货至患者。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处方查询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患者手机端接收到处方通知后，需及时在手机端进行确认处方，保障患者了解支付、取药等处方相关信息。患者确认并完成缴费后，处方通过平台下发至医院合作药房。患者用药知情确认：平台告知患者处方相关事宜，患者知晓外配用药流程后，在平台确认并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处方支付</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具备处方支付功能，需支持支付宝、微信、银行卡等支付渠道。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配药选择</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具备配药方式选择功能，具备支持院内药房发药配送、院外配送企业发药配送：具备修改配送方式选择功能，在未进行处方调剂前，患者可在手机上进行配送方式修改。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配送信息</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具备配送或药店自提多种收货方式：具备配送信息设置功能，包含收货人、联系电话、收货详细地址；具备新增、编辑、删除配送信息；具备设置默认地址的功能。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提醒发药</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具备提醒发药功能，对于物流配送的订单，如超过系统配置时间未发货患者可以主动提醒药店发货。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物流查询</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具备物流查询功能，支持患者通过手机端直接进行处方配送物流信息查询；支持将物流状态查询结果分享功能，能将查看的物流状态通过微信进行分享。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订单轨迹</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具备订单轨迹查询功能，支持患者通过手机端查看购药订单的每个节点，包括订单的调配、发货、签收。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药学服务</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具备用药说明、药师门诊、药学科普、智能用药指导等功能。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用药说明</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药品订单签收后，平台应推送用药说明，点击即可跳转至用药说明页，方便患者查看详细用药信息(如服药方式、用药频次、用药医嘱)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药师门诊</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提供官方药师线上服务入口，为公众提供线上与药师咨询通路，解答患者用药疑惑，响应国家政策，突显药师角色价值，解答患者用药问题。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药学科普</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支持开展线上药学知识科普工作，为公众开展安全用药知识宣讲。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智能用药指导</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提供丰富的用药知识库，根据处方信息为患者生产智能用药方案，提供药品说明、用药禁忌、不良反应、用药知识等信息，帮助患者科学用药，消除服药困惑。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护理预约管理主要用于患者对已预约的护理项目进行管理，包含护理项目预约查看，护理预约项目取消等功能，实现护理预约的管理。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护理项目预约查看</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患者提交护理项目预约后，可查看具体订单详情，包括：支付状态，未支付订单可在此完成支付，费用直接支付至医院账户；护理费用：护理费用包括上门费、服务费、耗材费用；一次性收取；项目详情：项目介绍；联系护士：订单受理后，如有变动，可电话联系护士沟通上门事宜；联系医院：如有变动，可电话联系医院沟通时间变更事宜；支持评价：服务结束后，患者可针对服务进行星级评价(最高5星);支持内容复制：点击后直接复制订单号，方便患者沟通时进行粘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护理项目预约取消</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具备护理项目预约取消功能，在开始服务前，患者可直接取消护理项目预约；护理项目预约取消后，患者支付的全部费用在1-3个工作日内按原路退回至患者的支付账户。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个人中心</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具备用户注册、修改密码、就诊人管理，医生列表，帮助与设置等各项管理。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医院信息</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就医导航支持用户从当前位置通过步行、驾车、公交等方式到达医院的路径。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医院周边企业</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支持提供医院周边的酒店、加油站、药店、银行等信息。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就医指南</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支持通过后台维护显示医院常见就医流程、挂号须知等就医指南说明。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特色医技</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支持通过后台维护显示医院特色医学技术介绍，以文字列表--文章详情方式展示。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互联网医院工作站(医生端)功能</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医生端，至少提供微信、微信小程序、PC端等。用于临床医生对互联网医院上已约患者进行诊疗处置(病历书写、诊断下达、处方开具、检查检验开具、检验检验报告及影像浏览、治疗记录等)、编制个人处方、结构化病历模板以及诊疗查询统计等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云诊室管理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能够管理已约患者，进行线上诊疗各项处理工作，具备如下功能：</w:t>
            </w:r>
          </w:p>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待就诊列表具备待就诊列表，能够显示已约患者，包含预约日期、预约号、预约人、手机号码、病情文字描述等数据项。具备诊疗开始管理，选中已约患者进行接诊处理。具备诊疗结束管理，必须按“诊疗结束”才能对下一患者进行诊疗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诊疗管理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门诊病历书写患者一次就诊允许书写多次病历(即多条病历记录),在病历书写时，已下达的主要病历信息及临床诊断能自动转入新增的医嘱处方、检验检查申请等需要填写临床诊断的各类诊疗记录中。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门诊诊断书写</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个人诊断库分类维护及个人诊断库维护功能；具备西医ICD10诊断、中医疾病症候诊断及院自备诊断；具备门诊诊断的确诊和疑诊标记功能。具备在诊断页面自动展示病人历次诊断的功能，门诊历史诊断的快速引用功能；具备在诊断页面同屏展示常用诊断，并引用到当前诊断中：具备在诊断页面同屏按科室使用频次高低展示诊断，并引用到当前诊断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电子处方(医嘱)开具</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门诊医嘱开具功能，并根据医嘱类别、医嘱执行时间(天数)等自动转换成门诊药品处方等。具备完善的处方管理功能及流程，诸如：医嘱下达、医嘱执行、处方领药、注射输液等治疗管理。电子处方包括了西药、成药以及中草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检查检验申请开具</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医生在线开具检查、检验申请单功能，各检查检验申请单应满足院内现有各业务系统数据及格式要求。具备与院内检查预约号源交互，实现医生线上预约检查申请。检查检验开具从院内系统获取相应项目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在线分诊</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具备对于与当前诊疗医生专业不匹配的患者，诊疗医生可以继续在线分诊，选择适应患者的诊疗医生。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就诊记录查看</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具备就诊记录查看功能，在线上诊疗过程中，医生能查看就诊病人的就诊记录，包含线上记录及线下记录，记录包含病历、处方、检验检查申请、检验检查报告等完整、详细的历史诊疗信息。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患者管理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持在线建立医患管理关系，添加方式支持扫医生二维码名片添加、患者在线报到、医生主动添加等，具备患者查询功能，能够查询在诊、未诊等已约患者，不同状态患者用不同颜色显示，患者列表具有姓名、性别、年龄、手机号等信息；具备显示患者完整的基本信息，并可通过其他功能浏览患者包含病历、处方、检验检查申请、检验检查报告等完整、详细的历史诊疗信息。医生可为患者添加标签，对同一标签下的患者，可进行批量管理和病情跟踪具备按照诊疗日期、诊疗科室、诊疗医生、患者信息、诊断信息等主要条件，查询患者列表；具有患者分组管理(支持按病种、患者身份、地区区域等)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模版管理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结构化电子病历模板编制功能：具备处方(医嘱)模板编制功能；具备检查检验模板编制功能。具备各模板编制的分类功能；诸如：个人模板、科室模板、全院模板等分类，具备各模板级别管理功能，诸如：不同级别的模板应具备提交、审核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互联网医院工作站(护士端)功能</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士端，至少提供微信、微信小程序、PC管理端等。用于临床护士对互联网医院上已约护理项目的患者进行护理预约处置、护理预约服务、护理预约记录，用于临床护士进行护理预约项目管理、护理查询统计以及护理排班及号源管理等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护理排班及号源管理</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具备护理项目及护理人员的排班管理，具备护理项目号源管理，按照排班管理规则、护理项目号源规则自动生成护理项目预约号源。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护理项目预约处置</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护理预约处理功能，能够浏览待处理的护理项目预约列表，包含预约人信息、预约项目、预约时间、上门服务时间、上门服务地址、病历及资料图片、护理要求描述等数据项。具备提醒功能，在有新的护理项目预约需要处理时，能提醒护士当前有新的预约需要处理。具备护理项目预约状态查看功能，分别显示进行中(即未结束的所有订单)、已完成(包括服务完成的订单及取消的订单)两种类型的护理项目预约记录，支持通过点击任一护理项目预约记录，查看预约记录的详情并能显示护理预约记录服务过程中的各状态变化的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护理项目预约服务记录</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护理项目预约服务记录完整的管理流程，主要包括：具备浏览护理预约基本信息：诸如：预约人信息、预约项目、预约时间、上门服务时间、预约状态、护理费用、护理结束时间等数据项。具备记录服务功能；诸如：护理评估登记、护理开始登记、护理结束登记以及护理过程所使用的附加项目(诸如：耗材使用)等各项功能；具备自动登记护理人员GPS位置信息。具备取消服务功能，护士上门后，评估无法进行服务时，能通过打开预约详情进行取消护理项目的服务，服务取消后具备在服务过程中，护士能根据实际服务情况选择添加、删除实际使用耗材及数量等。具备护士在实际服务中推送收费支付消息，并确认支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服务评价查看</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支持服务评价查看功能，护士通过列表能查看已结束的护理项目预约服务的评价记录，包含评价时间、评价人、评价结果等，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异常登记</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具备异常登记功能，实现护士在服务过程中，如果有异常情况发生，能及时登记的功能。同时支持消息通知功能，在异常登记后护理中心能及时收到信息。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个人信息</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个人信息具备注册、修改密码、帮助与设置等各项管理，支持修改护士个人信息。支持上传功能，护士能上传自定义头像。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云药房功能</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云药房功能用于临床药师对云药房平台上流转的电子处方(云药房：包括线上复诊续方开院内药品(比如医保用药)配送到家路径，线上复诊续方走院外药店路径，线下门诊或住院走院外药店流转路径)进行全流程管理，诸如电子处方的审核、调剂、配送以及处方库房助手等各项功能，主要要求如下：14.8处方浏览具备实时浏览新增电子处方，浏览电子处方的门诊病历、门诊诊断以及电子处方详细信息，诸如：药品基础信息、药品使用信息、药品使用备注以及各相关单号、操作信息等。具备高级组合查询功能，对处方进行查询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处方审核</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具备实时新增处方提醒，包括医生端智能审核错误处方提醒等：具备处方智能审核、人工审核：支持按逻辑进行系统的批量更新审核状态的操作具备处方审核与医生端实时交互功能。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处方调剂</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具备实时新增处方提醒，具备新增处方的不同调剂(发药)方式，允许选择新增处方的发药机构，诸如院内药房发药、院外药店发药等：具备院内药房发药的处方收费功能。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订单配送</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具备院内药房发药处方的物流配送选择功能，自动生成配送单据：具备与配送物流企业平台各数据项实时交互功能，诸如：新增订单、订单修改订单配送状态等；具备患者端、医生端等实时浏览订单状态功能。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6" w:type="dxa"/>
            <w:vAlign w:val="center"/>
          </w:tcPr>
          <w:p>
            <w:pPr>
              <w:numPr>
                <w:ilvl w:val="0"/>
                <w:numId w:val="2"/>
              </w:numPr>
              <w:bidi w:val="0"/>
              <w:ind w:left="454" w:leftChars="0" w:hanging="454" w:firstLineChars="0"/>
              <w:jc w:val="center"/>
              <w:rPr>
                <w:rFonts w:hint="eastAsia" w:ascii="仿宋_GB2312" w:hAnsi="仿宋_GB2312" w:eastAsia="仿宋_GB2312" w:cs="仿宋_GB2312"/>
                <w:sz w:val="28"/>
                <w:szCs w:val="28"/>
                <w:lang w:val="en-US" w:eastAsia="zh-CN"/>
              </w:rPr>
            </w:pPr>
          </w:p>
        </w:tc>
        <w:tc>
          <w:tcPr>
            <w:tcW w:w="1979" w:type="dxa"/>
            <w:shd w:val="clear" w:color="auto" w:fill="auto"/>
            <w:vAlign w:val="center"/>
          </w:tcPr>
          <w:p>
            <w:pPr>
              <w:bidi w:val="0"/>
              <w:ind w:left="0" w:leftChars="0" w:firstLine="0" w:firstLineChars="0"/>
              <w:jc w:val="center"/>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药品出库助手</w:t>
            </w:r>
          </w:p>
        </w:tc>
        <w:tc>
          <w:tcPr>
            <w:tcW w:w="6715" w:type="dxa"/>
            <w:shd w:val="clear" w:color="auto" w:fill="auto"/>
            <w:vAlign w:val="top"/>
          </w:tcPr>
          <w:p>
            <w:pPr>
              <w:bidi w:val="0"/>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具备处方发药、订单配送等扫码功能，完整实现药品信息、药品出库、订单配送等全流程的工作记录。具备互联网医院平台的电子处方电管码管理功能，实现对药品全流程监管。</w:t>
            </w:r>
          </w:p>
        </w:tc>
      </w:tr>
    </w:tbl>
    <w:p>
      <w:pPr>
        <w:numPr>
          <w:ilvl w:val="0"/>
          <w:numId w:val="3"/>
        </w:numPr>
        <w:wordWrap/>
        <w:spacing w:before="0" w:after="0" w:line="360" w:lineRule="auto"/>
        <w:ind w:left="0" w:leftChars="0" w:right="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其他要求</w:t>
      </w:r>
    </w:p>
    <w:p>
      <w:pPr>
        <w:pStyle w:val="14"/>
        <w:numPr>
          <w:ilvl w:val="0"/>
          <w:numId w:val="4"/>
        </w:numPr>
        <w:wordWrap/>
        <w:spacing w:before="0" w:beforeAutospacing="0" w:after="0" w:afterAutospacing="0" w:line="360" w:lineRule="auto"/>
        <w:ind w:left="0" w:leftChars="0" w:right="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软件运行发生故障时，乙方在接到甲方故障通知后4个小时内响应服务。对于电话咨询无法解决的问题，48小时内派工程技术人员到达现场维护。特殊情况在12小时内无法修复的，需在24 小时内提供使系统可正常运转的具体措施。其中发生一切 费用由乙方承担。乙方有责任对系统进行不定期的巡查检修。</w:t>
      </w:r>
    </w:p>
    <w:p>
      <w:pPr>
        <w:pStyle w:val="14"/>
        <w:numPr>
          <w:ilvl w:val="0"/>
          <w:numId w:val="4"/>
        </w:numPr>
        <w:wordWrap/>
        <w:spacing w:before="0" w:beforeAutospacing="0" w:after="0" w:afterAutospacing="0" w:line="360" w:lineRule="auto"/>
        <w:ind w:left="0" w:leftChars="0" w:right="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本项目系统软件使用及维保有效期内，本项目软件在每个使用科室使用的终端数量不受限制，数据不得加密，不得使用加密狗、打印加密、功能加密等任何软件使用约束。同时，数据库管理员用户名、密码及相关用户权限信息须如实提供给甲方，不得隐瞒。不得通过任何技术手段限制系统内容，数据表结构不得加密，且必须如实提供给甲方。</w:t>
      </w:r>
    </w:p>
    <w:p>
      <w:pPr>
        <w:pStyle w:val="14"/>
        <w:numPr>
          <w:ilvl w:val="0"/>
          <w:numId w:val="4"/>
        </w:numPr>
        <w:wordWrap/>
        <w:spacing w:before="0" w:beforeAutospacing="0" w:after="0" w:afterAutospacing="0" w:line="360" w:lineRule="auto"/>
        <w:ind w:left="0" w:leftChars="0" w:right="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本项目系统安装调试并经验收合格后，应对采购方的相关人员提供关于系统应用时技术和操作方面的培训。相关培训费用应包含在投标总价中。</w:t>
      </w:r>
    </w:p>
    <w:p>
      <w:pPr>
        <w:pStyle w:val="11"/>
        <w:widowControl w:val="0"/>
        <w:numPr>
          <w:ilvl w:val="0"/>
          <w:numId w:val="3"/>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调研说明</w:t>
      </w:r>
    </w:p>
    <w:p>
      <w:pPr>
        <w:shd w:val="solid" w:color="FFFFFF" w:fill="auto"/>
        <w:wordWrap/>
        <w:autoSpaceDN w:val="0"/>
        <w:spacing w:before="0" w:after="0" w:line="360" w:lineRule="auto"/>
        <w:ind w:left="0" w:leftChars="0" w:right="0" w:firstLine="560" w:firstLineChars="200"/>
        <w:jc w:val="both"/>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报名参加本次调研的供应商、厂家需提供如下相关资料。</w:t>
      </w:r>
    </w:p>
    <w:p>
      <w:pPr>
        <w:shd w:val="solid" w:color="FFFFFF" w:fill="auto"/>
        <w:wordWrap/>
        <w:autoSpaceDN w:val="0"/>
        <w:spacing w:before="0" w:after="0" w:line="360" w:lineRule="auto"/>
        <w:ind w:left="0" w:leftChars="0" w:right="0" w:firstLine="560" w:firstLineChars="200"/>
        <w:jc w:val="both"/>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1、报名时请携带加盖公章的项目文件回执单、营业执照复印件、公司简介（可含提供产品彩页等）。</w:t>
      </w:r>
    </w:p>
    <w:p>
      <w:pPr>
        <w:shd w:val="solid" w:color="FFFFFF" w:fill="auto"/>
        <w:wordWrap/>
        <w:autoSpaceDN w:val="0"/>
        <w:spacing w:before="0" w:after="0" w:line="360" w:lineRule="auto"/>
        <w:ind w:left="0" w:leftChars="0" w:right="0" w:firstLine="560" w:firstLineChars="200"/>
        <w:jc w:val="both"/>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2、参与项目调研供应商代表的个人授权函（需加盖供应商公章）和身份证复印件。</w:t>
      </w:r>
    </w:p>
    <w:p>
      <w:pPr>
        <w:shd w:val="solid" w:color="FFFFFF" w:fill="auto"/>
        <w:wordWrap/>
        <w:autoSpaceDN w:val="0"/>
        <w:spacing w:before="0" w:after="0" w:line="360" w:lineRule="auto"/>
        <w:ind w:left="0" w:leftChars="0" w:right="0" w:firstLine="560" w:firstLineChars="200"/>
        <w:jc w:val="both"/>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3、分别提供“信用中国”网站（www.creditchina.gov.cn）、“中国政府采购网”网站（http://www.ccgp.gov.cn/search/cr/）信用记录查询截图，无不良记录并加盖公章（截图查询日期必须在该公告日期内）。</w:t>
      </w:r>
    </w:p>
    <w:p>
      <w:pPr>
        <w:shd w:val="solid" w:color="FFFFFF" w:fill="auto"/>
        <w:wordWrap/>
        <w:autoSpaceDN w:val="0"/>
        <w:spacing w:before="0" w:after="0" w:line="360" w:lineRule="auto"/>
        <w:ind w:left="0" w:leftChars="0" w:right="0" w:firstLine="560" w:firstLineChars="200"/>
        <w:jc w:val="both"/>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4、提供近三年类似维保项目业绩清单及合同。</w:t>
      </w:r>
    </w:p>
    <w:p>
      <w:pPr>
        <w:shd w:val="solid" w:color="FFFFFF" w:fill="auto"/>
        <w:wordWrap/>
        <w:autoSpaceDN w:val="0"/>
        <w:spacing w:before="0" w:after="0" w:line="360" w:lineRule="auto"/>
        <w:ind w:left="0" w:leftChars="0" w:right="0" w:firstLine="560" w:firstLineChars="200"/>
        <w:jc w:val="both"/>
        <w:rPr>
          <w:rFonts w:hint="default"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5、提供</w:t>
      </w:r>
      <w:r>
        <w:rPr>
          <w:rFonts w:hint="default" w:ascii="仿宋_GB2312" w:hAnsi="仿宋_GB2312" w:eastAsia="仿宋_GB2312" w:cs="仿宋_GB2312"/>
          <w:b w:val="0"/>
          <w:bCs/>
          <w:sz w:val="28"/>
          <w:szCs w:val="28"/>
          <w:shd w:val="clear" w:color="auto" w:fill="FFFFFF"/>
          <w:lang w:val="en-US" w:eastAsia="zh-CN"/>
        </w:rPr>
        <w:t>互联网医院平台软件著作权证书</w:t>
      </w:r>
      <w:r>
        <w:rPr>
          <w:rFonts w:hint="eastAsia" w:ascii="仿宋_GB2312" w:hAnsi="仿宋_GB2312" w:eastAsia="仿宋_GB2312" w:cs="仿宋_GB2312"/>
          <w:b w:val="0"/>
          <w:bCs/>
          <w:sz w:val="28"/>
          <w:szCs w:val="28"/>
          <w:shd w:val="clear" w:color="auto" w:fill="FFFFFF"/>
          <w:lang w:val="en-US" w:eastAsia="zh-CN"/>
        </w:rPr>
        <w:t>、</w:t>
      </w:r>
      <w:r>
        <w:rPr>
          <w:rFonts w:hint="default" w:ascii="仿宋_GB2312" w:hAnsi="仿宋_GB2312" w:eastAsia="仿宋_GB2312" w:cs="仿宋_GB2312"/>
          <w:b w:val="0"/>
          <w:bCs/>
          <w:sz w:val="28"/>
          <w:szCs w:val="28"/>
          <w:shd w:val="clear" w:color="auto" w:fill="FFFFFF"/>
          <w:lang w:val="en-US" w:eastAsia="zh-CN"/>
        </w:rPr>
        <w:t>互联网护理软件著作权证书</w:t>
      </w:r>
      <w:r>
        <w:rPr>
          <w:rFonts w:hint="eastAsia" w:ascii="仿宋_GB2312" w:hAnsi="仿宋_GB2312" w:eastAsia="仿宋_GB2312" w:cs="仿宋_GB2312"/>
          <w:b w:val="0"/>
          <w:bCs/>
          <w:sz w:val="28"/>
          <w:szCs w:val="28"/>
          <w:shd w:val="clear" w:color="auto" w:fill="FFFFFF"/>
          <w:lang w:val="en-US" w:eastAsia="zh-CN"/>
        </w:rPr>
        <w:t>、</w:t>
      </w:r>
      <w:r>
        <w:rPr>
          <w:rFonts w:hint="default" w:ascii="仿宋_GB2312" w:hAnsi="仿宋_GB2312" w:eastAsia="仿宋_GB2312" w:cs="仿宋_GB2312"/>
          <w:b w:val="0"/>
          <w:bCs/>
          <w:sz w:val="28"/>
          <w:szCs w:val="28"/>
          <w:shd w:val="clear" w:color="auto" w:fill="FFFFFF"/>
          <w:lang w:val="en-US" w:eastAsia="zh-CN"/>
        </w:rPr>
        <w:t>互联网服务监管平台软件著作权证书</w:t>
      </w:r>
      <w:r>
        <w:rPr>
          <w:rFonts w:hint="eastAsia" w:ascii="仿宋_GB2312" w:hAnsi="仿宋_GB2312" w:eastAsia="仿宋_GB2312" w:cs="仿宋_GB2312"/>
          <w:b w:val="0"/>
          <w:bCs/>
          <w:sz w:val="28"/>
          <w:szCs w:val="28"/>
          <w:shd w:val="clear" w:color="auto" w:fill="FFFFFF"/>
          <w:lang w:val="en-US" w:eastAsia="zh-CN"/>
        </w:rPr>
        <w:t>、</w:t>
      </w:r>
      <w:r>
        <w:rPr>
          <w:rFonts w:hint="default" w:ascii="仿宋_GB2312" w:hAnsi="仿宋_GB2312" w:eastAsia="仿宋_GB2312" w:cs="仿宋_GB2312"/>
          <w:b w:val="0"/>
          <w:bCs/>
          <w:sz w:val="28"/>
          <w:szCs w:val="28"/>
          <w:shd w:val="clear" w:color="auto" w:fill="FFFFFF"/>
          <w:lang w:val="en-US" w:eastAsia="zh-CN"/>
        </w:rPr>
        <w:t>处方流转平台软件著作权证书</w:t>
      </w:r>
      <w:r>
        <w:rPr>
          <w:rFonts w:hint="eastAsia" w:ascii="仿宋_GB2312" w:hAnsi="仿宋_GB2312" w:eastAsia="仿宋_GB2312" w:cs="仿宋_GB2312"/>
          <w:b w:val="0"/>
          <w:bCs/>
          <w:sz w:val="28"/>
          <w:szCs w:val="28"/>
          <w:shd w:val="clear" w:color="auto" w:fill="FFFFFF"/>
          <w:lang w:val="en-US" w:eastAsia="zh-CN"/>
        </w:rPr>
        <w:t>复印件加盖公章。</w:t>
      </w:r>
    </w:p>
    <w:p>
      <w:pPr>
        <w:shd w:val="solid" w:color="FFFFFF" w:fill="auto"/>
        <w:wordWrap/>
        <w:autoSpaceDN w:val="0"/>
        <w:spacing w:before="0" w:after="0" w:line="360" w:lineRule="auto"/>
        <w:ind w:left="0" w:leftChars="0" w:right="0" w:firstLine="560" w:firstLineChars="200"/>
        <w:jc w:val="both"/>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6、本调研会的报价仅做为本项目公开招标的预算限价；不做参与投标的限制条件；</w:t>
      </w:r>
    </w:p>
    <w:p>
      <w:pPr>
        <w:shd w:val="solid" w:color="FFFFFF" w:fill="auto"/>
        <w:wordWrap/>
        <w:autoSpaceDN w:val="0"/>
        <w:spacing w:before="0" w:after="0" w:line="360" w:lineRule="auto"/>
        <w:ind w:left="0" w:leftChars="0" w:right="0" w:firstLine="560" w:firstLineChars="200"/>
        <w:jc w:val="both"/>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7、上述各参数将做为本项目招标的主要参数，不代表本项目公开招标的最终参数；</w:t>
      </w:r>
    </w:p>
    <w:p>
      <w:pPr>
        <w:shd w:val="solid" w:color="FFFFFF" w:fill="auto"/>
        <w:wordWrap/>
        <w:autoSpaceDN w:val="0"/>
        <w:spacing w:before="0" w:after="0" w:line="360" w:lineRule="auto"/>
        <w:ind w:left="0" w:leftChars="0" w:right="0" w:firstLine="560" w:firstLineChars="200"/>
        <w:jc w:val="both"/>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8、参加调研会的公司应将上述材料及报价整合成一个文档，加盖企业公章，交予院方留档（发送邮件到wlb@fjzlhospital.com）。</w:t>
      </w:r>
    </w:p>
    <w:p>
      <w:pPr>
        <w:pStyle w:val="11"/>
        <w:wordWrap/>
        <w:spacing w:before="0" w:after="0" w:line="360" w:lineRule="auto"/>
        <w:ind w:left="0" w:leftChars="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8"/>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firstLine="0" w:firstLineChars="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福建省肿瘤医院</w:t>
      </w:r>
    </w:p>
    <w:p>
      <w:pPr>
        <w:pStyle w:val="11"/>
        <w:wordWrap/>
        <w:spacing w:before="0" w:after="0" w:line="360" w:lineRule="auto"/>
        <w:ind w:left="0" w:leftChars="0" w:right="0" w:firstLine="0" w:firstLineChars="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年  月  日</w:t>
      </w:r>
    </w:p>
    <w:bookmarkEnd w:id="0"/>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w:pict>
        <v:rect id="Quad Arrow 1025" o:spid="_x0000_s4097" o:spt="1" style="position:absolute;left:0pt;margin-top:0pt;height:12.8pt;width:5.3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E2A57"/>
    <w:multiLevelType w:val="singleLevel"/>
    <w:tmpl w:val="A6FE2A57"/>
    <w:lvl w:ilvl="0" w:tentative="0">
      <w:start w:val="1"/>
      <w:numFmt w:val="decimal"/>
      <w:suff w:val="nothing"/>
      <w:lvlText w:val="%1、"/>
      <w:lvlJc w:val="left"/>
    </w:lvl>
  </w:abstractNum>
  <w:abstractNum w:abstractNumId="1">
    <w:nsid w:val="DFEF68F4"/>
    <w:multiLevelType w:val="singleLevel"/>
    <w:tmpl w:val="DFEF68F4"/>
    <w:lvl w:ilvl="0" w:tentative="0">
      <w:start w:val="1"/>
      <w:numFmt w:val="decimal"/>
      <w:lvlText w:val="%1"/>
      <w:lvlJc w:val="left"/>
      <w:pPr>
        <w:tabs>
          <w:tab w:val="left" w:pos="397"/>
        </w:tabs>
        <w:ind w:left="454" w:leftChars="0" w:hanging="454" w:firstLineChars="0"/>
      </w:pPr>
      <w:rPr>
        <w:rFonts w:hint="default"/>
      </w:rPr>
    </w:lvl>
  </w:abstractNum>
  <w:abstractNum w:abstractNumId="2">
    <w:nsid w:val="FB3F4598"/>
    <w:multiLevelType w:val="singleLevel"/>
    <w:tmpl w:val="FB3F4598"/>
    <w:lvl w:ilvl="0" w:tentative="0">
      <w:start w:val="2"/>
      <w:numFmt w:val="chineseCounting"/>
      <w:suff w:val="nothing"/>
      <w:lvlText w:val="%1、"/>
      <w:lvlJc w:val="left"/>
      <w:pPr>
        <w:ind w:left="-640"/>
      </w:pPr>
      <w:rPr>
        <w:rFonts w:hint="eastAsia"/>
      </w:rPr>
    </w:lvl>
  </w:abstractNum>
  <w:abstractNum w:abstractNumId="3">
    <w:nsid w:val="53551602"/>
    <w:multiLevelType w:val="singleLevel"/>
    <w:tmpl w:val="53551602"/>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zRlNzZiNjE1N2NiNDY1MjdjNTllOWUxMWU4Y2ZiZGQifQ=="/>
  </w:docVars>
  <w:rsids>
    <w:rsidRoot w:val="00000000"/>
    <w:rsid w:val="0E92478A"/>
    <w:rsid w:val="14B107D7"/>
    <w:rsid w:val="27261386"/>
    <w:rsid w:val="31F71996"/>
    <w:rsid w:val="357F501B"/>
    <w:rsid w:val="35F51248"/>
    <w:rsid w:val="36A34748"/>
    <w:rsid w:val="3BDBDE7E"/>
    <w:rsid w:val="3DE452E3"/>
    <w:rsid w:val="3EEC8A88"/>
    <w:rsid w:val="432A28BE"/>
    <w:rsid w:val="47F710F1"/>
    <w:rsid w:val="55FFDBC7"/>
    <w:rsid w:val="593DDA16"/>
    <w:rsid w:val="5A832CCE"/>
    <w:rsid w:val="5EDD652F"/>
    <w:rsid w:val="6A51544F"/>
    <w:rsid w:val="72C86FAE"/>
    <w:rsid w:val="7EAFE933"/>
    <w:rsid w:val="7FBEF979"/>
    <w:rsid w:val="C75FAED2"/>
    <w:rsid w:val="DCFE8C1D"/>
    <w:rsid w:val="DED987AE"/>
    <w:rsid w:val="FAFDCBBB"/>
    <w:rsid w:val="FBBF18C0"/>
    <w:rsid w:val="FD393AB7"/>
    <w:rsid w:val="FFDF7D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Calibri" w:hAnsi="Calibri" w:eastAsia="宋体" w:cs="黑体"/>
      <w:kern w:val="2"/>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11343</Words>
  <Characters>11534</Characters>
  <Lines>0</Lines>
  <Paragraphs>0</Paragraphs>
  <TotalTime>2</TotalTime>
  <ScaleCrop>false</ScaleCrop>
  <LinksUpToDate>false</LinksUpToDate>
  <CharactersWithSpaces>11591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2023-05-30T22:42:00Z</dcterms:created>
  <dc:creator>Admin</dc:creator>
  <cp:lastModifiedBy>蓝风</cp:lastModifiedBy>
  <cp:lastPrinted>2023-06-20T23:45:00Z</cp:lastPrinted>
  <dcterms:modified xsi:type="dcterms:W3CDTF">2025-12-09T03:52:14Z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CD1CBFDCF0B34D54A1323A555A4AB815_12</vt:lpwstr>
  </property>
  <property fmtid="{D5CDD505-2E9C-101B-9397-08002B2CF9AE}" pid="4" name="KSOTemplateDocerSaveRecord">
    <vt:lpwstr>eyJoZGlkIjoiMzcyYzQ4MzExOWIxM2ZmZWE3MDIzNjczNzVlZjFmOWYiLCJ1c2VySWQiOiIxNzAwODQwNTc2In0=</vt:lpwstr>
  </property>
</Properties>
</file>