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7546F">
      <w:pPr>
        <w:pStyle w:val="2"/>
        <w:spacing w:line="360" w:lineRule="auto"/>
        <w:jc w:val="center"/>
        <w:rPr>
          <w:rFonts w:ascii="仿宋_GB2312" w:hAnsi="仿宋_GB2312" w:eastAsia="方正小标宋简体" w:cs="仿宋_GB2312"/>
          <w:b w:val="0"/>
          <w:kern w:val="2"/>
          <w:sz w:val="32"/>
          <w:szCs w:val="32"/>
        </w:rPr>
      </w:pPr>
      <w:r>
        <w:rPr>
          <w:rFonts w:hint="eastAsia" w:ascii="方正小标宋简体" w:hAnsi="方正小标宋简体" w:eastAsia="方正小标宋简体" w:cs="方正小标宋简体"/>
          <w:b w:val="0"/>
          <w:kern w:val="2"/>
          <w:szCs w:val="44"/>
        </w:rPr>
        <w:t>福建省肿瘤医院采购调研公告</w:t>
      </w:r>
    </w:p>
    <w:p w14:paraId="3EEEE38B">
      <w:pPr>
        <w:widowControl/>
        <w:shd w:val="clear" w:color="auto" w:fill="FFFFFF"/>
        <w:adjustRightInd w:val="0"/>
        <w:snapToGrid w:val="0"/>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6"/>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14:paraId="77B75F09">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D9C0E54">
            <w:pPr>
              <w:pStyle w:val="5"/>
              <w:widowControl/>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6DEAD9F">
            <w:pPr>
              <w:widowControl/>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14:paraId="69798149">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0C5D7E7">
            <w:pPr>
              <w:widowControl/>
              <w:spacing w:line="360" w:lineRule="auto"/>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0F887AB">
            <w:pPr>
              <w:widowControl/>
              <w:spacing w:line="360" w:lineRule="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项目名称： 等级保护安全测评及安全加固服务 </w:t>
            </w:r>
          </w:p>
        </w:tc>
      </w:tr>
      <w:tr w14:paraId="05FF9C75">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561C960">
            <w:pPr>
              <w:widowControl/>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3774B61">
            <w:pPr>
              <w:spacing w:line="360" w:lineRule="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rPr>
              <w:t>调研报名时</w:t>
            </w:r>
            <w:r>
              <w:rPr>
                <w:rFonts w:hint="eastAsia" w:ascii="仿宋_GB2312" w:hAnsi="仿宋_GB2312" w:eastAsia="仿宋_GB2312" w:cs="仿宋_GB2312"/>
                <w:color w:val="000000"/>
                <w:kern w:val="0"/>
                <w:sz w:val="32"/>
                <w:szCs w:val="32"/>
                <w:highlight w:val="none"/>
              </w:rPr>
              <w:t>间： 2026 年</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u w:val="single"/>
                <w:lang w:val="en-US" w:eastAsia="zh-CN"/>
              </w:rPr>
              <w:t>6</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u w:val="single"/>
                <w:lang w:val="en-US" w:eastAsia="zh-CN"/>
              </w:rPr>
              <w:t>25</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rPr>
              <w:t>日至</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u w:val="single"/>
                <w:lang w:val="en-US" w:eastAsia="zh-CN"/>
              </w:rPr>
              <w:t>7</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u w:val="single"/>
                <w:lang w:val="en-US" w:eastAsia="zh-CN"/>
              </w:rPr>
              <w:t xml:space="preserve"> 1</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rPr>
              <w:t xml:space="preserve">日 </w:t>
            </w:r>
            <w:r>
              <w:rPr>
                <w:rFonts w:hint="eastAsia" w:ascii="仿宋_GB2312" w:hAnsi="仿宋_GB2312" w:eastAsia="仿宋_GB2312" w:cs="仿宋_GB2312"/>
                <w:color w:val="000000"/>
                <w:spacing w:val="-8"/>
                <w:kern w:val="0"/>
                <w:sz w:val="32"/>
                <w:szCs w:val="32"/>
                <w:highlight w:val="none"/>
                <w:shd w:val="clear" w:color="auto" w:fill="FFFFFF"/>
              </w:rPr>
              <w:t>(节假日除外)8：00-12：00或14：30-17：30(北京时间）</w:t>
            </w:r>
          </w:p>
          <w:p w14:paraId="5293AA78">
            <w:pPr>
              <w:widowControl/>
              <w:spacing w:line="360" w:lineRule="auto"/>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highlight w:val="none"/>
              </w:rPr>
              <w:t>调研会时间： 2026 年</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u w:val="single"/>
                <w:lang w:val="en-US" w:eastAsia="zh-CN"/>
              </w:rPr>
              <w:t>7</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u w:val="single"/>
                <w:lang w:val="en-US" w:eastAsia="zh-CN"/>
              </w:rPr>
              <w:t>2</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rPr>
              <w:t xml:space="preserve">日 </w:t>
            </w:r>
            <w:r>
              <w:rPr>
                <w:rFonts w:hint="eastAsia" w:ascii="仿宋_GB2312" w:hAnsi="仿宋_GB2312" w:eastAsia="仿宋_GB2312" w:cs="仿宋_GB2312"/>
                <w:color w:val="000000"/>
                <w:kern w:val="0"/>
                <w:sz w:val="32"/>
                <w:szCs w:val="32"/>
                <w:highlight w:val="none"/>
                <w:lang w:val="en-US" w:eastAsia="zh-CN"/>
              </w:rPr>
              <w:t>15</w:t>
            </w:r>
            <w:r>
              <w:rPr>
                <w:rFonts w:hint="eastAsia" w:ascii="仿宋_GB2312" w:hAnsi="仿宋_GB2312" w:eastAsia="仿宋_GB2312" w:cs="仿宋_GB2312"/>
                <w:color w:val="000000"/>
                <w:kern w:val="0"/>
                <w:sz w:val="32"/>
                <w:szCs w:val="32"/>
                <w:highlight w:val="none"/>
              </w:rPr>
              <w:t>:00</w:t>
            </w:r>
          </w:p>
        </w:tc>
      </w:tr>
      <w:tr w14:paraId="03EFE65C">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A21E655">
            <w:pPr>
              <w:widowControl/>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4195BE5">
            <w:pPr>
              <w:widowControl/>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有意向参与的按照附件操作要求进行线上报名。</w:t>
            </w:r>
          </w:p>
          <w:p w14:paraId="418E1CB3">
            <w:pPr>
              <w:widowControl/>
              <w:spacing w:line="360" w:lineRule="auto"/>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投标文件正本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color w:val="000000"/>
                <w:sz w:val="32"/>
                <w:szCs w:val="32"/>
                <w:u w:val="single"/>
                <w:lang w:val="en-US" w:eastAsia="zh-CN"/>
              </w:rPr>
              <w:t>叁</w:t>
            </w:r>
            <w:r>
              <w:rPr>
                <w:rFonts w:hint="eastAsia" w:ascii="仿宋_GB2312" w:hAnsi="仿宋_GB2312" w:eastAsia="仿宋_GB2312" w:cs="仿宋_GB2312"/>
                <w:color w:val="000000"/>
                <w:sz w:val="32"/>
                <w:szCs w:val="32"/>
              </w:rPr>
              <w:t>份胶装并密封加盖投标人公章。文件未胶装将视为无效。</w:t>
            </w:r>
          </w:p>
        </w:tc>
      </w:tr>
      <w:tr w14:paraId="43EC4C6F">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564F70B">
            <w:pPr>
              <w:widowControl/>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D662D80">
            <w:pPr>
              <w:widowControl/>
              <w:spacing w:line="360" w:lineRule="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投标文件递交处：福建省肿瘤医院网络技术中心</w:t>
            </w:r>
          </w:p>
        </w:tc>
      </w:tr>
      <w:tr w14:paraId="0C60B1B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B3D1C5C">
            <w:pPr>
              <w:widowControl/>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275CDB0">
            <w:pPr>
              <w:widowControl/>
              <w:spacing w:line="360" w:lineRule="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14:paraId="1F94CEB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48F0FC6">
            <w:pPr>
              <w:widowControl/>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F5D0BA7">
            <w:pPr>
              <w:widowControl/>
              <w:shd w:val="clear" w:color="auto" w:fill="FFFFFF"/>
              <w:adjustRightInd w:val="0"/>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14:paraId="2ACB6CDE">
      <w:pPr>
        <w:widowControl/>
        <w:shd w:val="clear" w:color="auto" w:fill="FFFFFF"/>
        <w:spacing w:line="360" w:lineRule="auto"/>
        <w:rPr>
          <w:rFonts w:ascii="仿宋_GB2312" w:hAnsi="仿宋_GB2312" w:eastAsia="仿宋_GB2312" w:cs="仿宋_GB2312"/>
          <w:bCs/>
          <w:color w:val="000000"/>
          <w:kern w:val="0"/>
          <w:sz w:val="32"/>
          <w:szCs w:val="32"/>
          <w:shd w:val="clear" w:color="auto" w:fill="FFFFFF"/>
        </w:rPr>
      </w:pPr>
    </w:p>
    <w:p w14:paraId="591C5C6F">
      <w:pPr>
        <w:widowControl/>
        <w:shd w:val="clear" w:color="auto" w:fill="FFFFFF"/>
        <w:spacing w:line="360" w:lineRule="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14:paraId="3012FBB9">
      <w:pPr>
        <w:widowControl/>
        <w:shd w:val="clear" w:color="auto" w:fill="FFFFFF"/>
        <w:spacing w:line="360" w:lineRule="auto"/>
        <w:ind w:firstLine="420"/>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14:paraId="634FA32C">
      <w:pPr>
        <w:widowControl/>
        <w:shd w:val="clear" w:color="auto" w:fill="FFFFFF"/>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14:paraId="0133CD51">
      <w:pPr>
        <w:widowControl/>
        <w:shd w:val="clear" w:color="auto" w:fill="FFFFFF"/>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14:paraId="3B585958">
      <w:pPr>
        <w:widowControl/>
        <w:shd w:val="clear" w:color="auto" w:fill="FFFFFF"/>
        <w:spacing w:line="360" w:lineRule="auto"/>
        <w:rPr>
          <w:rFonts w:hint="eastAsia" w:ascii="仿宋_GB2312" w:hAnsi="仿宋_GB2312" w:eastAsia="仿宋_GB2312" w:cs="仿宋_GB2312"/>
          <w:bCs/>
          <w:color w:val="000000"/>
          <w:kern w:val="0"/>
          <w:sz w:val="32"/>
          <w:szCs w:val="32"/>
          <w:shd w:val="clear" w:color="auto" w:fill="FFFFFF"/>
          <w:lang w:eastAsia="zh-CN"/>
        </w:rPr>
      </w:pPr>
      <w:r>
        <w:rPr>
          <w:rFonts w:hint="eastAsia" w:ascii="仿宋_GB2312" w:hAnsi="仿宋_GB2312" w:eastAsia="仿宋_GB2312" w:cs="仿宋_GB2312"/>
          <w:bCs/>
          <w:color w:val="000000"/>
          <w:kern w:val="0"/>
          <w:sz w:val="32"/>
          <w:szCs w:val="32"/>
          <w:shd w:val="clear" w:color="auto" w:fill="FFFFFF"/>
        </w:rPr>
        <w:t>联系人：钱工、</w:t>
      </w:r>
      <w:r>
        <w:rPr>
          <w:rFonts w:hint="eastAsia" w:ascii="仿宋_GB2312" w:hAnsi="仿宋_GB2312" w:eastAsia="仿宋_GB2312" w:cs="仿宋_GB2312"/>
          <w:bCs/>
          <w:color w:val="000000"/>
          <w:kern w:val="0"/>
          <w:sz w:val="32"/>
          <w:szCs w:val="32"/>
          <w:shd w:val="clear" w:color="auto" w:fill="FFFFFF"/>
          <w:lang w:eastAsia="zh-CN"/>
        </w:rPr>
        <w:t>郑工</w:t>
      </w:r>
    </w:p>
    <w:p w14:paraId="4768524C">
      <w:pPr>
        <w:pStyle w:val="9"/>
        <w:spacing w:line="360" w:lineRule="auto"/>
        <w:rPr>
          <w:rFonts w:ascii="仿宋_GB2312" w:hAnsi="仿宋_GB2312" w:cs="仿宋_GB2312"/>
          <w:sz w:val="32"/>
          <w:szCs w:val="32"/>
        </w:rPr>
      </w:pPr>
      <w:r>
        <w:rPr>
          <w:rFonts w:hint="eastAsia" w:ascii="仿宋_GB2312" w:hAnsi="仿宋_GB2312" w:cs="仿宋_GB2312"/>
          <w:sz w:val="32"/>
          <w:szCs w:val="32"/>
        </w:rPr>
        <w:br w:type="page"/>
      </w:r>
      <w:bookmarkStart w:id="2" w:name="_GoBack"/>
      <w:bookmarkEnd w:id="2"/>
    </w:p>
    <w:p w14:paraId="0829FDF0">
      <w:pPr>
        <w:shd w:val="clear" w:color="auto" w:fill="FFFFFF"/>
        <w:adjustRightInd w:val="0"/>
        <w:snapToGrid w:val="0"/>
        <w:ind w:firstLine="420"/>
        <w:jc w:val="center"/>
        <w:rPr>
          <w:rFonts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14:paraId="4DFF88DF">
      <w:pPr>
        <w:shd w:val="clear" w:color="auto" w:fill="FFFFFF"/>
        <w:autoSpaceDE w:val="0"/>
        <w:snapToGrid w:val="0"/>
        <w:spacing w:before="156" w:beforeLines="50" w:line="360" w:lineRule="auto"/>
        <w:rPr>
          <w:rFonts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一、采购内容</w:t>
      </w:r>
    </w:p>
    <w:tbl>
      <w:tblPr>
        <w:tblStyle w:val="6"/>
        <w:tblpPr w:leftFromText="180" w:rightFromText="180" w:vertAnchor="text" w:horzAnchor="page" w:tblpX="2477" w:tblpY="283"/>
        <w:tblOverlap w:val="never"/>
        <w:tblW w:w="80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2"/>
        <w:gridCol w:w="3178"/>
        <w:gridCol w:w="1190"/>
        <w:gridCol w:w="1875"/>
      </w:tblGrid>
      <w:tr w14:paraId="116ED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782" w:type="dxa"/>
            <w:vAlign w:val="center"/>
          </w:tcPr>
          <w:p w14:paraId="5F32C50D">
            <w:pPr>
              <w:snapToGrid w:val="0"/>
              <w:spacing w:line="312"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color w:val="000000"/>
                <w:kern w:val="0"/>
                <w:sz w:val="24"/>
              </w:rPr>
              <w:t>合同包</w:t>
            </w:r>
          </w:p>
        </w:tc>
        <w:tc>
          <w:tcPr>
            <w:tcW w:w="3178" w:type="dxa"/>
            <w:vAlign w:val="center"/>
          </w:tcPr>
          <w:p w14:paraId="39BE6F18">
            <w:pPr>
              <w:snapToGrid w:val="0"/>
              <w:spacing w:line="312" w:lineRule="auto"/>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color w:val="000000"/>
                <w:kern w:val="0"/>
                <w:sz w:val="24"/>
              </w:rPr>
              <w:t>名称</w:t>
            </w:r>
          </w:p>
        </w:tc>
        <w:tc>
          <w:tcPr>
            <w:tcW w:w="1190" w:type="dxa"/>
            <w:vAlign w:val="center"/>
          </w:tcPr>
          <w:p w14:paraId="59B8D0B9">
            <w:pPr>
              <w:snapToGrid w:val="0"/>
              <w:spacing w:line="312" w:lineRule="auto"/>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color w:val="000000"/>
                <w:kern w:val="0"/>
                <w:sz w:val="24"/>
              </w:rPr>
              <w:t>数量</w:t>
            </w:r>
          </w:p>
        </w:tc>
        <w:tc>
          <w:tcPr>
            <w:tcW w:w="1875" w:type="dxa"/>
            <w:vAlign w:val="center"/>
          </w:tcPr>
          <w:p w14:paraId="222C1D5B">
            <w:pPr>
              <w:snapToGrid w:val="0"/>
              <w:spacing w:line="312" w:lineRule="auto"/>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color w:val="000000"/>
                <w:kern w:val="0"/>
                <w:sz w:val="24"/>
              </w:rPr>
              <w:t>预算（万元）</w:t>
            </w:r>
          </w:p>
        </w:tc>
      </w:tr>
      <w:tr w14:paraId="19B20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exact"/>
        </w:trPr>
        <w:tc>
          <w:tcPr>
            <w:tcW w:w="1782" w:type="dxa"/>
            <w:vAlign w:val="center"/>
          </w:tcPr>
          <w:p w14:paraId="65687D9A">
            <w:pPr>
              <w:snapToGrid w:val="0"/>
              <w:spacing w:line="312"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b/>
                <w:bCs/>
                <w:color w:val="000000"/>
                <w:kern w:val="0"/>
                <w:sz w:val="22"/>
                <w:szCs w:val="22"/>
              </w:rPr>
              <w:t>（一）</w:t>
            </w:r>
          </w:p>
        </w:tc>
        <w:tc>
          <w:tcPr>
            <w:tcW w:w="3178" w:type="dxa"/>
            <w:vAlign w:val="center"/>
          </w:tcPr>
          <w:p w14:paraId="74A77B6C">
            <w:pPr>
              <w:snapToGrid w:val="0"/>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等级保护安全测评及安全加固服务</w:t>
            </w:r>
          </w:p>
        </w:tc>
        <w:tc>
          <w:tcPr>
            <w:tcW w:w="1190" w:type="dxa"/>
            <w:vAlign w:val="center"/>
          </w:tcPr>
          <w:p w14:paraId="5836CF73">
            <w:pPr>
              <w:autoSpaceDN w:val="0"/>
              <w:snapToGrid w:val="0"/>
              <w:spacing w:line="312" w:lineRule="auto"/>
              <w:jc w:val="center"/>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1项</w:t>
            </w:r>
          </w:p>
        </w:tc>
        <w:tc>
          <w:tcPr>
            <w:tcW w:w="1875" w:type="dxa"/>
            <w:shd w:val="clear" w:color="auto" w:fill="FFFFFF" w:themeFill="background1"/>
            <w:vAlign w:val="center"/>
          </w:tcPr>
          <w:p w14:paraId="49C15A4D">
            <w:pPr>
              <w:autoSpaceDN w:val="0"/>
              <w:snapToGrid w:val="0"/>
              <w:spacing w:line="312" w:lineRule="auto"/>
              <w:jc w:val="center"/>
              <w:textAlignment w:val="center"/>
              <w:rPr>
                <w:rFonts w:hint="eastAsia" w:ascii="仿宋_GB2312" w:hAnsi="仿宋_GB2312" w:eastAsia="仿宋_GB2312" w:cs="仿宋_GB2312"/>
                <w:kern w:val="0"/>
                <w:sz w:val="24"/>
                <w:highlight w:val="yellow"/>
              </w:rPr>
            </w:pPr>
            <w:r>
              <w:rPr>
                <w:rFonts w:hint="eastAsia" w:ascii="仿宋_GB2312" w:hAnsi="仿宋_GB2312" w:eastAsia="仿宋_GB2312" w:cs="仿宋_GB2312"/>
                <w:kern w:val="0"/>
                <w:sz w:val="24"/>
              </w:rPr>
              <w:t>80</w:t>
            </w:r>
          </w:p>
        </w:tc>
      </w:tr>
    </w:tbl>
    <w:p w14:paraId="5DFED520">
      <w:pPr>
        <w:shd w:val="clear" w:color="auto" w:fill="FFFFFF"/>
        <w:autoSpaceDE w:val="0"/>
        <w:snapToGrid w:val="0"/>
        <w:spacing w:before="156" w:beforeLines="50" w:line="360" w:lineRule="auto"/>
        <w:rPr>
          <w:rFonts w:ascii="宋体" w:hAnsi="宋体" w:cs="宋体"/>
          <w:b/>
          <w:color w:val="000000"/>
          <w:kern w:val="0"/>
          <w:sz w:val="28"/>
          <w:szCs w:val="28"/>
          <w:shd w:val="clear" w:color="auto" w:fill="FFFFFF"/>
        </w:rPr>
      </w:pPr>
    </w:p>
    <w:p w14:paraId="1443068B">
      <w:pPr>
        <w:shd w:val="clear" w:color="auto" w:fill="FFFFFF"/>
        <w:autoSpaceDE w:val="0"/>
        <w:snapToGrid w:val="0"/>
        <w:spacing w:before="156" w:beforeLines="50" w:line="360" w:lineRule="auto"/>
        <w:rPr>
          <w:rFonts w:ascii="宋体" w:hAnsi="宋体" w:cs="宋体"/>
          <w:b/>
          <w:color w:val="000000"/>
          <w:kern w:val="0"/>
          <w:sz w:val="28"/>
          <w:szCs w:val="28"/>
          <w:shd w:val="clear" w:color="auto" w:fill="FFFFFF"/>
        </w:rPr>
      </w:pPr>
    </w:p>
    <w:p w14:paraId="6A5EB4C5">
      <w:pPr>
        <w:shd w:val="clear" w:color="auto" w:fill="FFFFFF"/>
        <w:autoSpaceDE w:val="0"/>
        <w:snapToGrid w:val="0"/>
        <w:spacing w:before="156" w:beforeLines="50" w:line="360" w:lineRule="auto"/>
        <w:rPr>
          <w:rFonts w:ascii="宋体" w:hAnsi="宋体" w:cs="宋体"/>
          <w:b/>
          <w:color w:val="000000"/>
          <w:kern w:val="0"/>
          <w:sz w:val="28"/>
          <w:szCs w:val="28"/>
          <w:shd w:val="clear" w:color="auto" w:fill="FFFFFF"/>
        </w:rPr>
      </w:pPr>
    </w:p>
    <w:p w14:paraId="4E49E533">
      <w:pPr>
        <w:shd w:val="clear" w:color="auto" w:fill="FFFFFF"/>
        <w:autoSpaceDE w:val="0"/>
        <w:snapToGrid w:val="0"/>
        <w:spacing w:line="360" w:lineRule="auto"/>
        <w:rPr>
          <w:rFonts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二、技术及服务要求</w:t>
      </w:r>
    </w:p>
    <w:p w14:paraId="03EAA422">
      <w:pPr>
        <w:pStyle w:val="9"/>
        <w:snapToGrid w:val="0"/>
        <w:spacing w:line="360" w:lineRule="auto"/>
        <w:outlineLvl w:val="0"/>
        <w:rPr>
          <w:rFonts w:ascii="宋体" w:hAnsi="宋体" w:eastAsia="宋体" w:cs="宋体"/>
          <w:b/>
          <w:bCs/>
          <w:sz w:val="28"/>
          <w:szCs w:val="28"/>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125"/>
        <w:gridCol w:w="972"/>
        <w:gridCol w:w="5486"/>
      </w:tblGrid>
      <w:tr w14:paraId="7A62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5BA74E38">
            <w:pPr>
              <w:snapToGrid w:val="0"/>
              <w:spacing w:line="312" w:lineRule="auto"/>
              <w:jc w:val="center"/>
              <w:rPr>
                <w:rFonts w:hint="eastAsia"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序号</w:t>
            </w:r>
          </w:p>
        </w:tc>
        <w:tc>
          <w:tcPr>
            <w:tcW w:w="1125" w:type="dxa"/>
            <w:vAlign w:val="center"/>
          </w:tcPr>
          <w:p w14:paraId="3C709814">
            <w:pPr>
              <w:snapToGrid w:val="0"/>
              <w:spacing w:line="312" w:lineRule="auto"/>
              <w:jc w:val="center"/>
              <w:rPr>
                <w:rFonts w:hint="eastAsia"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项目</w:t>
            </w:r>
          </w:p>
        </w:tc>
        <w:tc>
          <w:tcPr>
            <w:tcW w:w="972" w:type="dxa"/>
            <w:vAlign w:val="center"/>
          </w:tcPr>
          <w:p w14:paraId="46871A05">
            <w:pPr>
              <w:snapToGrid w:val="0"/>
              <w:spacing w:line="312" w:lineRule="auto"/>
              <w:jc w:val="center"/>
              <w:rPr>
                <w:rFonts w:hint="eastAsia"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数量</w:t>
            </w:r>
          </w:p>
        </w:tc>
        <w:tc>
          <w:tcPr>
            <w:tcW w:w="5486" w:type="dxa"/>
            <w:vAlign w:val="center"/>
          </w:tcPr>
          <w:p w14:paraId="47FE1B17">
            <w:pPr>
              <w:snapToGrid w:val="0"/>
              <w:spacing w:line="312" w:lineRule="auto"/>
              <w:jc w:val="center"/>
              <w:rPr>
                <w:rFonts w:hint="eastAsia"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技术参数要求</w:t>
            </w:r>
          </w:p>
        </w:tc>
      </w:tr>
      <w:tr w14:paraId="2B8D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21E7F142">
            <w:pPr>
              <w:snapToGrid w:val="0"/>
              <w:spacing w:line="312" w:lineRule="auto"/>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125" w:type="dxa"/>
            <w:vAlign w:val="center"/>
          </w:tcPr>
          <w:p w14:paraId="5A1F3FBA">
            <w:pPr>
              <w:snapToGrid w:val="0"/>
              <w:spacing w:line="312"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等级保护测评服务</w:t>
            </w:r>
          </w:p>
        </w:tc>
        <w:tc>
          <w:tcPr>
            <w:tcW w:w="972" w:type="dxa"/>
            <w:vAlign w:val="center"/>
          </w:tcPr>
          <w:p w14:paraId="7BDC98BC">
            <w:pPr>
              <w:snapToGrid w:val="0"/>
              <w:spacing w:line="312" w:lineRule="auto"/>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1项</w:t>
            </w:r>
          </w:p>
        </w:tc>
        <w:tc>
          <w:tcPr>
            <w:tcW w:w="5486" w:type="dxa"/>
          </w:tcPr>
          <w:p w14:paraId="58DC6027">
            <w:pPr>
              <w:snapToGrid w:val="0"/>
              <w:spacing w:line="312"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对医院重要信息系统（HIS、LIS、PACS、EMR、协同办公系统、移动APP、门户网站、互联网医疗及处方流转服务平台（含慢病管理）、福建省肿瘤登记信息直报平台、医院信息集成平台、病理质控与资料管理系统、分子病理质控管理系统）进行三级等级保护测评服务。</w:t>
            </w:r>
          </w:p>
          <w:p w14:paraId="19619BC0">
            <w:pPr>
              <w:snapToGrid w:val="0"/>
              <w:spacing w:line="312"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2、测评内容覆盖安全物理环境、安全通信网络、安全区域边界、安全计算环境、安全管理中心、安全管理制度等方面的内容。</w:t>
            </w:r>
          </w:p>
          <w:p w14:paraId="50A0D796">
            <w:pPr>
              <w:snapToGrid w:val="0"/>
              <w:spacing w:line="312"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3、由中标方委托具备等保测评资质的机构实施，最终正式测评报告需由机构盖章，并通过官方备案。</w:t>
            </w:r>
          </w:p>
          <w:p w14:paraId="457B703B">
            <w:pPr>
              <w:snapToGrid w:val="0"/>
              <w:spacing w:line="312" w:lineRule="auto"/>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4"/>
              </w:rPr>
              <w:t>4、服务期限自合同签订起1年，或测评完成，以先到为止。</w:t>
            </w:r>
          </w:p>
        </w:tc>
      </w:tr>
      <w:tr w14:paraId="7CC3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69A8AE4C">
            <w:pPr>
              <w:snapToGrid w:val="0"/>
              <w:spacing w:line="312" w:lineRule="auto"/>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125" w:type="dxa"/>
            <w:vAlign w:val="center"/>
          </w:tcPr>
          <w:p w14:paraId="073392B3">
            <w:pPr>
              <w:snapToGrid w:val="0"/>
              <w:spacing w:line="312" w:lineRule="auto"/>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网络安全运营服务</w:t>
            </w:r>
          </w:p>
        </w:tc>
        <w:tc>
          <w:tcPr>
            <w:tcW w:w="972" w:type="dxa"/>
            <w:vAlign w:val="center"/>
          </w:tcPr>
          <w:p w14:paraId="608F7E85">
            <w:pPr>
              <w:snapToGrid w:val="0"/>
              <w:spacing w:line="312" w:lineRule="auto"/>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1项</w:t>
            </w:r>
          </w:p>
        </w:tc>
        <w:tc>
          <w:tcPr>
            <w:tcW w:w="5486" w:type="dxa"/>
            <w:vAlign w:val="center"/>
          </w:tcPr>
          <w:p w14:paraId="7BF59592">
            <w:pPr>
              <w:spacing w:line="315" w:lineRule="atLeas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1、等级保护咨询服务</w:t>
            </w:r>
          </w:p>
          <w:p w14:paraId="1777F967">
            <w:pPr>
              <w:spacing w:line="315" w:lineRule="atLeas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（1）对上述12个等保测评信息系统提供资产分析服务、风险评估服务、差距评估、安全加固服务、等保制度建设服务、辅助测评一站式服务。</w:t>
            </w:r>
          </w:p>
          <w:p w14:paraId="70A7A587">
            <w:pPr>
              <w:spacing w:line="315" w:lineRule="atLeas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（2）交付成果包括：《信息系统基本情况调查表》、《等级保护安全评估与整改建议》、《等级保护安全管理制度汇编》等。</w:t>
            </w:r>
          </w:p>
          <w:p w14:paraId="6A862653">
            <w:pPr>
              <w:spacing w:line="315" w:lineRule="atLeas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（3）服务期限自合同签订起1年，或测评完成，以先到为止。</w:t>
            </w:r>
          </w:p>
          <w:p w14:paraId="377928C7">
            <w:pPr>
              <w:spacing w:line="315" w:lineRule="atLeas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2、网络安全运营服务</w:t>
            </w:r>
          </w:p>
          <w:p w14:paraId="3E1E1FFA">
            <w:pPr>
              <w:spacing w:line="315" w:lineRule="atLeas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对医院关键业务系统提供网络安全运营服务，服务内容包括：</w:t>
            </w:r>
          </w:p>
          <w:p w14:paraId="24BD90D0">
            <w:pPr>
              <w:spacing w:line="315" w:lineRule="atLeast"/>
              <w:ind w:left="239" w:leftChars="114" w:firstLine="240" w:firstLineChars="1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（1）安全评估服务(4次/年): 制定安全规划及开展安全建设提供安全决策支持</w:t>
            </w:r>
            <w:r>
              <w:rPr>
                <w:rFonts w:hint="eastAsia" w:ascii="仿宋_GB2312" w:hAnsi="仿宋_GB2312" w:eastAsia="仿宋_GB2312" w:cs="仿宋_GB2312"/>
                <w:kern w:val="0"/>
                <w:sz w:val="24"/>
                <w:lang w:eastAsia="zh-CN"/>
              </w:rPr>
              <w:t>。</w:t>
            </w:r>
          </w:p>
          <w:p w14:paraId="176950FC">
            <w:pPr>
              <w:spacing w:line="315" w:lineRule="atLeas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交付成果：《安全评估报告》4份</w:t>
            </w:r>
          </w:p>
          <w:p w14:paraId="3E5489B8">
            <w:pPr>
              <w:numPr>
                <w:ilvl w:val="0"/>
                <w:numId w:val="1"/>
              </w:numPr>
              <w:spacing w:line="315" w:lineRule="atLeas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渗透测试服务(1次/年):针对目标系统开展黑客模拟攻击渗透测试服务，全面检测被测系统安全性;在网络攻防演练提供专业攻防人员和相关安全设备支持。</w:t>
            </w:r>
          </w:p>
          <w:p w14:paraId="4C343E32">
            <w:pPr>
              <w:spacing w:line="315" w:lineRule="atLeas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交付成果：《渗透测试报告》1份</w:t>
            </w:r>
          </w:p>
          <w:p w14:paraId="0B42E2A7">
            <w:pPr>
              <w:numPr>
                <w:ilvl w:val="0"/>
                <w:numId w:val="1"/>
              </w:numPr>
              <w:spacing w:line="315" w:lineRule="atLeas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应用安全检测服务(4次/年)：采用自动化检测工具和专业攻防人员全面检测Web应用程序安全，提供安全加固指导。</w:t>
            </w:r>
          </w:p>
          <w:p w14:paraId="1FFDD605">
            <w:pPr>
              <w:spacing w:line="315" w:lineRule="atLeas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交付成果：《应用安全检测报告》 4份</w:t>
            </w:r>
          </w:p>
          <w:p w14:paraId="2FA788ED">
            <w:pPr>
              <w:spacing w:line="315" w:lineRule="atLeas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rPr>
              <w:t>针对新上线</w:t>
            </w:r>
            <w:r>
              <w:rPr>
                <w:rFonts w:hint="eastAsia" w:ascii="仿宋_GB2312" w:hAnsi="仿宋_GB2312" w:eastAsia="仿宋_GB2312" w:cs="仿宋_GB2312"/>
                <w:kern w:val="0"/>
                <w:sz w:val="24"/>
                <w:lang w:val="en-US" w:eastAsia="zh-CN"/>
              </w:rPr>
              <w:t>互联网应用</w:t>
            </w:r>
            <w:r>
              <w:rPr>
                <w:rFonts w:hint="eastAsia" w:ascii="仿宋_GB2312" w:hAnsi="仿宋_GB2312" w:eastAsia="仿宋_GB2312" w:cs="仿宋_GB2312"/>
                <w:kern w:val="0"/>
                <w:sz w:val="24"/>
              </w:rPr>
              <w:t>系统开展上线</w:t>
            </w:r>
            <w:r>
              <w:rPr>
                <w:rFonts w:hint="eastAsia" w:ascii="仿宋_GB2312" w:hAnsi="仿宋_GB2312" w:eastAsia="仿宋_GB2312" w:cs="仿宋_GB2312"/>
                <w:kern w:val="0"/>
                <w:sz w:val="24"/>
                <w:lang w:val="en-US" w:eastAsia="zh-CN"/>
              </w:rPr>
              <w:t>评估</w:t>
            </w:r>
            <w:r>
              <w:rPr>
                <w:rFonts w:hint="eastAsia" w:ascii="仿宋_GB2312" w:hAnsi="仿宋_GB2312" w:eastAsia="仿宋_GB2312" w:cs="仿宋_GB2312"/>
                <w:kern w:val="0"/>
                <w:sz w:val="24"/>
              </w:rPr>
              <w:t>，包括：安全漏洞扫描</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渗透测试，实现从</w:t>
            </w:r>
            <w:r>
              <w:rPr>
                <w:rFonts w:hint="eastAsia" w:ascii="仿宋_GB2312" w:hAnsi="仿宋_GB2312" w:eastAsia="仿宋_GB2312" w:cs="仿宋_GB2312"/>
                <w:kern w:val="0"/>
                <w:sz w:val="24"/>
                <w:lang w:val="en-US" w:eastAsia="zh-CN"/>
              </w:rPr>
              <w:t>系统上线的安全合规</w:t>
            </w:r>
            <w:r>
              <w:rPr>
                <w:rFonts w:hint="eastAsia" w:ascii="仿宋_GB2312" w:hAnsi="仿宋_GB2312" w:eastAsia="仿宋_GB2312" w:cs="仿宋_GB2312"/>
                <w:kern w:val="0"/>
                <w:sz w:val="24"/>
              </w:rPr>
              <w:t>管理，</w:t>
            </w:r>
          </w:p>
          <w:p w14:paraId="142F7010">
            <w:pPr>
              <w:spacing w:line="315" w:lineRule="atLeas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3、MSS安全运营托管服务</w:t>
            </w:r>
          </w:p>
          <w:p w14:paraId="7AEACD42">
            <w:pPr>
              <w:spacing w:line="315" w:lineRule="atLeas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通过云端安全运营专家基于采购人本地部署的安全运营管理平台，面向采购人提供7*24小时的云端安全运营服务，持续监控互联网网络安全问题，对安全告警日志进行实时分析、研判、告警和处置建议的闭环，实现快速检测处置威胁事件。</w:t>
            </w:r>
          </w:p>
          <w:p w14:paraId="1CD146B4">
            <w:pPr>
              <w:spacing w:line="315" w:lineRule="atLeas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威胁分析与研判服务：通过安全运营管理平台结合安全专家人工分析，开展安全威胁分析和安全威胁情报服务，主要围绕：SQL注入、WEBSHELL检测、反序列化、Struts2、反弹SHELL、第三方漏洞（REDIS）、暴力破解成功检测、恶意域名检测、挖矿木马、僵尸网络、TeamView协议、SOCKS隧道、其他状态等内容；采用攻击专家模型对web攻击、APT攻击、爆破等各类高级威胁事件深度分析，结合最新威胁情报和业务应用情况，排查安全隐患，并形成处置和整改建议，提升客户对安全事件的分析和研判能力。交付成果：每日安全简报；</w:t>
            </w:r>
          </w:p>
          <w:p w14:paraId="23922642">
            <w:pPr>
              <w:spacing w:line="315" w:lineRule="atLeas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威胁情报服务：云端安全运营管理平台与医院互联网安全运营管理平台开展持续性的安全威胁情报交换，共享恶意软件、攻击技术以及攻击者的基本信息等，确保互联网安全运营管理平台时刻保持关注当前的最新安全威胁情报，确保自身安全控制的有效性和灵活性。交付成果：按需提供《威胁情报更新记录》；（提供承诺函，并承担定制接口所需费用）</w:t>
            </w:r>
          </w:p>
          <w:p w14:paraId="38D274AA">
            <w:pPr>
              <w:spacing w:line="315" w:lineRule="atLeas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网站安全监控服务（全年）：1年365天通过专业的网站安全监控平台对网站提供网站可用性监控、域名劫持监控等，网站安全监控平台具备至少200多个分布式监测的能力，实现对网站稳定性和可用性分析，支持http（https）、ftp、ping、smtp等多种协议，覆盖中国移动、中国联通、中国电信、教育网等主流网络运营商线路，构建起强大的网站监测网络；提供网站高级安全监控，对网站进行周期性轮询监控，内容覆盖网页敏感词内容监控弱口令监控、挂马监控、暗链监控等；网站安全监控人工告警，配备7*24小时的值班，第一时间进行人工验证，并告警。交付成果：《网站安全监控报告》4份；</w:t>
            </w:r>
          </w:p>
          <w:p w14:paraId="7CD26A8E">
            <w:pPr>
              <w:spacing w:line="315" w:lineRule="atLeas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（4）告警与处置服务：运营过程中根据发生的告警情况，进行分析和处置，同时给出设备策略等准确的优化与加固建议。交付成果：按需提供安全处置建议。</w:t>
            </w:r>
          </w:p>
          <w:p w14:paraId="3AD0F13C">
            <w:pPr>
              <w:spacing w:line="315" w:lineRule="atLeast"/>
              <w:ind w:firstLine="480" w:firstLineChars="20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4"/>
              </w:rPr>
              <w:t>采用的云端安全运营管理平台支持与医院现有的互联网防火墙、Web应用防火墙等进行策略联动，实现网络安全运维自动告警、阻断，提升安全防护能力和抗攻击水平。（提供承诺函，并承担定制接口所需费用）</w:t>
            </w:r>
          </w:p>
        </w:tc>
      </w:tr>
      <w:tr w14:paraId="2BA7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0" w:type="dxa"/>
            <w:vAlign w:val="center"/>
          </w:tcPr>
          <w:p w14:paraId="6CE1EAF0">
            <w:pPr>
              <w:spacing w:line="315" w:lineRule="atLeas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125" w:type="dxa"/>
            <w:vAlign w:val="center"/>
          </w:tcPr>
          <w:p w14:paraId="31FEF831">
            <w:pPr>
              <w:spacing w:line="315" w:lineRule="atLeas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安全加固服务</w:t>
            </w:r>
          </w:p>
        </w:tc>
        <w:tc>
          <w:tcPr>
            <w:tcW w:w="972" w:type="dxa"/>
            <w:vAlign w:val="center"/>
          </w:tcPr>
          <w:p w14:paraId="1D844526">
            <w:pPr>
              <w:spacing w:line="315" w:lineRule="atLeas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1项</w:t>
            </w:r>
          </w:p>
        </w:tc>
        <w:tc>
          <w:tcPr>
            <w:tcW w:w="5486" w:type="dxa"/>
            <w:vAlign w:val="center"/>
          </w:tcPr>
          <w:p w14:paraId="765D7202">
            <w:pPr>
              <w:spacing w:line="315" w:lineRule="atLeas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1、安全加固服务(4次/年)：根据安全评估和测试服务的结果，提供应用安全、操作系统安全、Web服务器（中间件）、数据库安全加固辅导服务。</w:t>
            </w:r>
          </w:p>
          <w:p w14:paraId="79EBA132">
            <w:pPr>
              <w:spacing w:line="315" w:lineRule="atLeas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交付成果：《安全加固报告》4份</w:t>
            </w:r>
          </w:p>
          <w:p w14:paraId="5F93FFB6">
            <w:pPr>
              <w:spacing w:line="315" w:lineRule="atLeas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安全培训服务(1次/年)：面向全院新员工讲座开展网络安全意识培训(一节课30-60分钟)，培训内容包含不限于以下方面：安全标准、政策法规解读，信息安全意识、信息安全发展方向，周期性安全服务报告解读，可定制培训内容。</w:t>
            </w:r>
          </w:p>
          <w:p w14:paraId="4BC5CF65">
            <w:pPr>
              <w:spacing w:line="315" w:lineRule="atLeas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交付成果：《安全培训PPT》1份</w:t>
            </w:r>
          </w:p>
          <w:p w14:paraId="7EB22D34">
            <w:pPr>
              <w:spacing w:line="315" w:lineRule="atLeas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应急响应服务（按需提供）：当医院网络和信息系统遇到黑客攻击或网页篡改等恶性事件，提供7*24小时电话响应或即时通讯或邮件等方式解疑答惑；远程支持无法解决时，提供30分钟内突发安全事件现场应急响应服务。</w:t>
            </w:r>
          </w:p>
          <w:p w14:paraId="20C4741F">
            <w:pPr>
              <w:spacing w:line="315" w:lineRule="atLeas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交付成果：按需提供《应急响应报告》。</w:t>
            </w:r>
          </w:p>
        </w:tc>
      </w:tr>
      <w:tr w14:paraId="43A2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56B92A2E">
            <w:pPr>
              <w:spacing w:line="315" w:lineRule="atLeas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125" w:type="dxa"/>
            <w:vAlign w:val="center"/>
          </w:tcPr>
          <w:p w14:paraId="18940C04">
            <w:pPr>
              <w:spacing w:line="315" w:lineRule="atLeas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网络安全审计系统扩容升级服务</w:t>
            </w:r>
          </w:p>
        </w:tc>
        <w:tc>
          <w:tcPr>
            <w:tcW w:w="972" w:type="dxa"/>
            <w:vAlign w:val="center"/>
          </w:tcPr>
          <w:p w14:paraId="029DBF1D">
            <w:pPr>
              <w:spacing w:line="315" w:lineRule="atLeas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1项</w:t>
            </w:r>
          </w:p>
        </w:tc>
        <w:tc>
          <w:tcPr>
            <w:tcW w:w="5486" w:type="dxa"/>
            <w:vAlign w:val="center"/>
          </w:tcPr>
          <w:p w14:paraId="78B95DD9">
            <w:pPr>
              <w:spacing w:line="315" w:lineRule="atLeas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对现有无线区域的网络安全审计系统提供功能模、性能升级服务，需满足以下要求：</w:t>
            </w:r>
          </w:p>
          <w:p w14:paraId="6AACFC12">
            <w:pPr>
              <w:pStyle w:val="12"/>
              <w:numPr>
                <w:ilvl w:val="0"/>
                <w:numId w:val="2"/>
              </w:numPr>
              <w:spacing w:line="315" w:lineRule="atLeast"/>
              <w:ind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模块化设计，提供千兆电口、千兆SFP接口、扩展槽。适用带宽不小于1000M，网络吞吐量大小于10G，最大并发连接数不少于160万，每秒最大新建连接数不低于50000。</w:t>
            </w:r>
          </w:p>
          <w:p w14:paraId="7A525560">
            <w:pPr>
              <w:pStyle w:val="12"/>
              <w:numPr>
                <w:ilvl w:val="0"/>
                <w:numId w:val="2"/>
              </w:numPr>
              <w:spacing w:line="315" w:lineRule="atLeast"/>
              <w:ind w:firstLineChars="0"/>
              <w:jc w:val="left"/>
              <w:rPr>
                <w:rFonts w:hint="eastAsia" w:ascii="仿宋_GB2312" w:hAnsi="仿宋_GB2312" w:eastAsia="仿宋_GB2312" w:cs="仿宋_GB2312"/>
              </w:rPr>
            </w:pPr>
            <w:bookmarkStart w:id="0" w:name="OLE_LINK1"/>
            <w:bookmarkStart w:id="1" w:name="OLE_LINK2"/>
            <w:r>
              <w:rPr>
                <w:rFonts w:hint="eastAsia" w:ascii="仿宋_GB2312" w:hAnsi="仿宋_GB2312" w:eastAsia="仿宋_GB2312" w:cs="仿宋_GB2312"/>
                <w:b/>
                <w:bCs/>
                <w:kern w:val="0"/>
                <w:sz w:val="24"/>
              </w:rPr>
              <w:t>智能行为检测功能模块升级，</w:t>
            </w:r>
            <w:r>
              <w:rPr>
                <w:rFonts w:hint="eastAsia" w:ascii="仿宋_GB2312" w:hAnsi="仿宋_GB2312" w:eastAsia="仿宋_GB2312" w:cs="仿宋_GB2312"/>
                <w:kern w:val="0"/>
                <w:sz w:val="24"/>
              </w:rPr>
              <w:t>基于用户访问日志构建基线模型，检测异常访问行为（如短时间内高频连接境外IP、非工作时间访问境外敏感资源），结合机器学习模型动态更新协议特征库，识别新型翻墙工具（如WireGuard流量伪装行为），支持地理围栏（Geo-IP）技术，实时拦截访问境外非法网站。</w:t>
            </w:r>
            <w:bookmarkEnd w:id="0"/>
            <w:bookmarkEnd w:id="1"/>
          </w:p>
        </w:tc>
      </w:tr>
    </w:tbl>
    <w:p w14:paraId="442E7899">
      <w:pPr>
        <w:rPr>
          <w:rFonts w:ascii="宋体" w:hAnsi="宋体" w:cs="宋体"/>
          <w:sz w:val="28"/>
          <w:szCs w:val="28"/>
        </w:rPr>
      </w:pPr>
    </w:p>
    <w:p w14:paraId="45D559F4">
      <w:pPr>
        <w:rPr>
          <w:rFonts w:ascii="宋体" w:hAnsi="宋体" w:cs="宋体"/>
          <w:sz w:val="28"/>
          <w:szCs w:val="28"/>
        </w:rPr>
      </w:pPr>
    </w:p>
    <w:p w14:paraId="24E8AD59">
      <w:pPr>
        <w:rPr>
          <w:rFonts w:ascii="宋体" w:hAnsi="宋体" w:cs="宋体"/>
          <w:sz w:val="28"/>
          <w:szCs w:val="28"/>
        </w:rPr>
      </w:pPr>
      <w:r>
        <w:rPr>
          <w:rFonts w:hint="eastAsia" w:ascii="宋体" w:hAnsi="宋体" w:cs="宋体"/>
          <w:sz w:val="28"/>
          <w:szCs w:val="28"/>
        </w:rPr>
        <w:br w:type="page"/>
      </w:r>
    </w:p>
    <w:p w14:paraId="0D4F02A8">
      <w:pPr>
        <w:pStyle w:val="9"/>
        <w:numPr>
          <w:ilvl w:val="0"/>
          <w:numId w:val="3"/>
        </w:numPr>
        <w:spacing w:line="360" w:lineRule="auto"/>
        <w:rPr>
          <w:rFonts w:ascii="仿宋_GB2312" w:hAnsi="仿宋_GB2312" w:cs="仿宋_GB2312"/>
          <w:b/>
          <w:bCs/>
          <w:sz w:val="32"/>
          <w:szCs w:val="32"/>
        </w:rPr>
      </w:pPr>
      <w:r>
        <w:rPr>
          <w:rFonts w:hint="eastAsia" w:ascii="仿宋_GB2312" w:hAnsi="仿宋_GB2312" w:cs="仿宋_GB2312"/>
          <w:b/>
          <w:bCs/>
          <w:sz w:val="32"/>
          <w:szCs w:val="32"/>
        </w:rPr>
        <w:t>其他要求：</w:t>
      </w:r>
    </w:p>
    <w:p w14:paraId="2B2599E9">
      <w:pPr>
        <w:spacing w:line="59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1.按照《网络安全法》、等级保护等相关要求进行规划和建设；符合《信息安全技术网络安全等级保护基本要求》GB/T22239-2019（三级）要求（下文简称：三级等保），并在三级等保测评中协助完成测评工作。</w:t>
      </w:r>
    </w:p>
    <w:p w14:paraId="5C8E3FEE">
      <w:pPr>
        <w:spacing w:line="59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2.项目实施应尽可能小地影响系统和网络的正常运行，不能对现有网络的运行和业务的正常提供产生显著影响(包括系统性能明显下降、网络拥塞、服务中断等)；</w:t>
      </w:r>
    </w:p>
    <w:p w14:paraId="583787D1">
      <w:pPr>
        <w:spacing w:line="59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3.对服务过程中的过程数据和结果数据严格保密，未经授权不泄露给任何单位和个人，不利用此数据进行任何侵害用户单位的行为。</w:t>
      </w:r>
    </w:p>
    <w:p w14:paraId="65624E84">
      <w:pPr>
        <w:pStyle w:val="9"/>
        <w:rPr>
          <w:rFonts w:ascii="仿宋_GB2312" w:hAnsi="仿宋_GB2312" w:cs="仿宋_GB2312"/>
          <w:color w:val="000000"/>
          <w:kern w:val="0"/>
          <w:sz w:val="32"/>
          <w:szCs w:val="32"/>
        </w:rPr>
      </w:pPr>
    </w:p>
    <w:p w14:paraId="076B05E2">
      <w:pPr>
        <w:pStyle w:val="9"/>
        <w:numPr>
          <w:ilvl w:val="0"/>
          <w:numId w:val="3"/>
        </w:numPr>
        <w:spacing w:line="360" w:lineRule="auto"/>
        <w:rPr>
          <w:rFonts w:ascii="仿宋_GB2312" w:hAnsi="仿宋_GB2312" w:cs="仿宋_GB2312"/>
          <w:b/>
          <w:bCs/>
          <w:sz w:val="32"/>
          <w:szCs w:val="32"/>
        </w:rPr>
      </w:pPr>
      <w:r>
        <w:rPr>
          <w:rFonts w:hint="eastAsia" w:ascii="仿宋_GB2312" w:hAnsi="仿宋_GB2312" w:cs="仿宋_GB2312"/>
          <w:b/>
          <w:bCs/>
          <w:sz w:val="32"/>
          <w:szCs w:val="32"/>
        </w:rPr>
        <w:t>调研说明</w:t>
      </w:r>
    </w:p>
    <w:p w14:paraId="6333DA05">
      <w:pPr>
        <w:spacing w:line="59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报名参加本次调研的供应商、厂家需提供如下相关资料。</w:t>
      </w:r>
    </w:p>
    <w:p w14:paraId="694DB26D">
      <w:pPr>
        <w:spacing w:line="59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报名时请携带加盖公章的项目文件回执单、营业执照复印件、公司简介（可含提供设备彩页等）</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参与人员授权等相关授权、报名联系人近半年医社保证明（需同一界面同时显示人员和公司名称）。</w:t>
      </w:r>
    </w:p>
    <w:p w14:paraId="5F28E6DC">
      <w:pPr>
        <w:spacing w:line="59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2.需求调研</w:t>
      </w:r>
      <w:r>
        <w:rPr>
          <w:rFonts w:hint="eastAsia" w:ascii="仿宋_GB2312" w:hAnsi="仿宋_GB2312" w:eastAsia="仿宋_GB2312" w:cs="仿宋_GB2312"/>
          <w:color w:val="000000"/>
          <w:kern w:val="0"/>
          <w:sz w:val="32"/>
          <w:szCs w:val="32"/>
        </w:rPr>
        <w:t>会时提交相关材料纸质胶装1正</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副。内容包含但不限于：报名文件所含内容及以下所提及内容</w:t>
      </w:r>
      <w:r>
        <w:rPr>
          <w:rFonts w:hint="eastAsia" w:ascii="仿宋_GB2312" w:hAnsi="仿宋_GB2312" w:eastAsia="仿宋_GB2312" w:cs="仿宋_GB2312"/>
          <w:color w:val="000000"/>
          <w:kern w:val="0"/>
          <w:sz w:val="32"/>
          <w:szCs w:val="32"/>
          <w:lang w:eastAsia="zh-CN"/>
        </w:rPr>
        <w:t>。</w:t>
      </w:r>
    </w:p>
    <w:p w14:paraId="44D0CCFA">
      <w:pPr>
        <w:spacing w:line="59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2.1</w:t>
      </w:r>
      <w:r>
        <w:rPr>
          <w:rFonts w:hint="eastAsia" w:ascii="仿宋_GB2312" w:hAnsi="仿宋_GB2312" w:eastAsia="仿宋_GB2312" w:cs="仿宋_GB2312"/>
          <w:color w:val="000000"/>
          <w:kern w:val="0"/>
          <w:sz w:val="32"/>
          <w:szCs w:val="32"/>
        </w:rPr>
        <w:t>、分别提供“信用中国”网站（www.creditchina.gov.cn）、“中国政府采购网”网站（http://www.ccgp.gov.cn/search/cr/）信用记录查询截图，无不良记录并加盖公章（截图查询日期必须在该公告日期内）。</w:t>
      </w:r>
    </w:p>
    <w:p w14:paraId="248F132B">
      <w:pPr>
        <w:spacing w:line="59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2.2</w:t>
      </w:r>
      <w:r>
        <w:rPr>
          <w:rFonts w:hint="eastAsia" w:ascii="仿宋_GB2312" w:hAnsi="仿宋_GB2312" w:eastAsia="仿宋_GB2312" w:cs="仿宋_GB2312"/>
          <w:color w:val="000000"/>
          <w:kern w:val="0"/>
          <w:sz w:val="32"/>
          <w:szCs w:val="32"/>
        </w:rPr>
        <w:t>、提供业绩清单及近3年省内同类项目中标案例；</w:t>
      </w:r>
    </w:p>
    <w:p w14:paraId="1FDF21FA">
      <w:pPr>
        <w:spacing w:line="59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、本调研会的报价仅做为本项目公开招标的预算限价；不做参与投标的限制条件；</w:t>
      </w:r>
    </w:p>
    <w:p w14:paraId="4E2746FD">
      <w:pPr>
        <w:spacing w:line="59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、上述各参数将做为本项目招标的主要参数，不代表本项目公开招标的最终参数；</w:t>
      </w:r>
    </w:p>
    <w:p w14:paraId="53DB4993">
      <w:pPr>
        <w:spacing w:line="590" w:lineRule="exact"/>
        <w:ind w:firstLine="640" w:firstLineChars="200"/>
        <w:rPr>
          <w:rFonts w:hint="eastAsia"/>
          <w:sz w:val="28"/>
          <w:szCs w:val="28"/>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参加调研会的公司应准备PPT材料（含方案介绍、服务及集成能力、应用案例、报价等）、技术参数等材料，每公司讲解时间30分钟内（含答疑10分钟）；同时上述材料须交予院方留档（发送邮件到wlb@fjzlhospital.com，并提供U盘留档）</w:t>
      </w:r>
      <w:r>
        <w:rPr>
          <w:rFonts w:hint="eastAsia"/>
          <w:sz w:val="28"/>
          <w:szCs w:val="28"/>
        </w:rPr>
        <w:t>。</w:t>
      </w:r>
    </w:p>
    <w:p w14:paraId="35C08939">
      <w:pPr>
        <w:pStyle w:val="9"/>
        <w:spacing w:line="360" w:lineRule="auto"/>
        <w:ind w:firstLine="608" w:firstLineChars="200"/>
        <w:rPr>
          <w:rFonts w:ascii="仿宋_GB2312" w:hAnsi="仿宋_GB2312" w:cs="仿宋_GB2312"/>
          <w:color w:val="000000"/>
          <w:spacing w:val="-8"/>
          <w:kern w:val="0"/>
          <w:sz w:val="32"/>
          <w:szCs w:val="32"/>
          <w:shd w:val="clear" w:color="auto" w:fill="FFFFFF"/>
        </w:rPr>
      </w:pPr>
    </w:p>
    <w:p w14:paraId="08840895">
      <w:pPr>
        <w:pStyle w:val="9"/>
        <w:spacing w:line="360" w:lineRule="auto"/>
        <w:rPr>
          <w:rFonts w:ascii="仿宋_GB2312" w:hAnsi="仿宋_GB2312" w:cs="仿宋_GB2312"/>
          <w:sz w:val="32"/>
          <w:szCs w:val="32"/>
        </w:rPr>
      </w:pPr>
      <w:r>
        <w:rPr>
          <w:rFonts w:hint="eastAsia" w:ascii="仿宋_GB2312" w:hAnsi="仿宋_GB2312" w:cs="仿宋_GB2312"/>
          <w:sz w:val="32"/>
          <w:szCs w:val="32"/>
        </w:rPr>
        <w:br w:type="page"/>
      </w:r>
    </w:p>
    <w:p w14:paraId="4C4A00B0">
      <w:pPr>
        <w:shd w:val="solid" w:color="FFFFFF" w:fill="auto"/>
        <w:autoSpaceDN w:val="0"/>
        <w:spacing w:line="360" w:lineRule="auto"/>
        <w:jc w:val="center"/>
        <w:rPr>
          <w:rFonts w:ascii="仿宋_GB2312" w:hAnsi="仿宋_GB2312" w:eastAsia="仿宋_GB2312" w:cs="仿宋_GB2312"/>
          <w:b/>
          <w:color w:val="000000"/>
          <w:sz w:val="32"/>
          <w:szCs w:val="32"/>
          <w:shd w:val="clear" w:color="auto" w:fill="FFFFFF"/>
        </w:rPr>
      </w:pPr>
    </w:p>
    <w:p w14:paraId="4E09417E">
      <w:pPr>
        <w:shd w:val="solid" w:color="FFFFFF" w:fill="auto"/>
        <w:autoSpaceDN w:val="0"/>
        <w:spacing w:line="360" w:lineRule="auto"/>
        <w:jc w:val="center"/>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14:paraId="54226BA5">
      <w:pPr>
        <w:shd w:val="solid" w:color="FFFFFF" w:fill="auto"/>
        <w:autoSpaceDN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6"/>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14:paraId="6767ACA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47886FDC">
            <w:pPr>
              <w:shd w:val="solid" w:color="FFFFFF" w:fill="auto"/>
              <w:autoSpaceDN w:val="0"/>
              <w:spacing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838195F">
            <w:pPr>
              <w:shd w:val="solid" w:color="FFFFFF" w:fill="auto"/>
              <w:autoSpaceDN w:val="0"/>
              <w:spacing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B32322A">
            <w:pPr>
              <w:shd w:val="solid" w:color="FFFFFF" w:fill="auto"/>
              <w:autoSpaceDN w:val="0"/>
              <w:spacing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4FBB8199">
            <w:pPr>
              <w:shd w:val="solid" w:color="FFFFFF" w:fill="auto"/>
              <w:autoSpaceDN w:val="0"/>
              <w:spacing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14:paraId="7E673CB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0F57C6AF">
            <w:pPr>
              <w:shd w:val="solid" w:color="FFFFFF" w:fill="auto"/>
              <w:autoSpaceDN w:val="0"/>
              <w:spacing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56DE1A5">
            <w:pPr>
              <w:shd w:val="solid" w:color="FFFFFF" w:fill="auto"/>
              <w:autoSpaceDN w:val="0"/>
              <w:spacing w:line="360" w:lineRule="auto"/>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3764803">
            <w:pPr>
              <w:shd w:val="solid" w:color="FFFFFF" w:fill="auto"/>
              <w:autoSpaceDN w:val="0"/>
              <w:spacing w:line="360" w:lineRule="auto"/>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BB58975">
            <w:pPr>
              <w:shd w:val="solid" w:color="FFFFFF" w:fill="auto"/>
              <w:autoSpaceDN w:val="0"/>
              <w:spacing w:line="360" w:lineRule="auto"/>
              <w:rPr>
                <w:rFonts w:ascii="仿宋_GB2312" w:hAnsi="仿宋_GB2312" w:eastAsia="仿宋_GB2312" w:cs="仿宋_GB2312"/>
                <w:bCs/>
                <w:sz w:val="28"/>
                <w:szCs w:val="28"/>
                <w:shd w:val="clear" w:color="auto" w:fill="FFFFFF"/>
              </w:rPr>
            </w:pPr>
          </w:p>
        </w:tc>
      </w:tr>
      <w:tr w14:paraId="56B4CE0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599067C8">
            <w:pPr>
              <w:shd w:val="solid" w:color="FFFFFF" w:fill="auto"/>
              <w:autoSpaceDN w:val="0"/>
              <w:spacing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3EA4BE2">
            <w:pPr>
              <w:shd w:val="solid" w:color="FFFFFF" w:fill="auto"/>
              <w:autoSpaceDN w:val="0"/>
              <w:spacing w:line="360" w:lineRule="auto"/>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E6DE9FB">
            <w:pPr>
              <w:shd w:val="solid" w:color="FFFFFF" w:fill="auto"/>
              <w:autoSpaceDN w:val="0"/>
              <w:spacing w:line="360" w:lineRule="auto"/>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9B60398">
            <w:pPr>
              <w:shd w:val="solid" w:color="FFFFFF" w:fill="auto"/>
              <w:autoSpaceDN w:val="0"/>
              <w:spacing w:line="360" w:lineRule="auto"/>
              <w:rPr>
                <w:rFonts w:ascii="仿宋_GB2312" w:hAnsi="仿宋_GB2312" w:eastAsia="仿宋_GB2312" w:cs="仿宋_GB2312"/>
                <w:bCs/>
                <w:sz w:val="28"/>
                <w:szCs w:val="28"/>
                <w:shd w:val="clear" w:color="auto" w:fill="FFFFFF"/>
              </w:rPr>
            </w:pPr>
          </w:p>
        </w:tc>
      </w:tr>
    </w:tbl>
    <w:p w14:paraId="7150233A">
      <w:pPr>
        <w:shd w:val="solid" w:color="FFFFFF" w:fill="auto"/>
        <w:autoSpaceDN w:val="0"/>
        <w:spacing w:line="360" w:lineRule="auto"/>
        <w:rPr>
          <w:rFonts w:ascii="仿宋_GB2312" w:hAnsi="仿宋_GB2312" w:eastAsia="仿宋_GB2312" w:cs="仿宋_GB2312"/>
          <w:bCs/>
          <w:sz w:val="32"/>
          <w:szCs w:val="32"/>
          <w:shd w:val="clear" w:color="auto" w:fill="FFFFFF"/>
        </w:rPr>
      </w:pPr>
    </w:p>
    <w:p w14:paraId="2A64559E">
      <w:pPr>
        <w:shd w:val="solid" w:color="FFFFFF" w:fill="auto"/>
        <w:autoSpaceDN w:val="0"/>
        <w:spacing w:line="360" w:lineRule="auto"/>
        <w:rPr>
          <w:rFonts w:ascii="仿宋_GB2312" w:hAnsi="仿宋_GB2312" w:eastAsia="仿宋_GB2312" w:cs="仿宋_GB2312"/>
          <w:bCs/>
          <w:sz w:val="32"/>
          <w:szCs w:val="32"/>
          <w:shd w:val="clear" w:color="auto" w:fill="FFFFFF"/>
        </w:rPr>
      </w:pPr>
    </w:p>
    <w:p w14:paraId="66355774">
      <w:pPr>
        <w:shd w:val="solid" w:color="FFFFFF" w:fill="auto"/>
        <w:autoSpaceDN w:val="0"/>
        <w:spacing w:line="360" w:lineRule="auto"/>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14:paraId="2768DACE">
      <w:pPr>
        <w:shd w:val="solid" w:color="FFFFFF" w:fill="auto"/>
        <w:autoSpaceDN w:val="0"/>
        <w:spacing w:line="360" w:lineRule="auto"/>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14:paraId="7C9EC642">
      <w:pPr>
        <w:shd w:val="solid" w:color="FFFFFF" w:fill="auto"/>
        <w:autoSpaceDN w:val="0"/>
        <w:spacing w:line="360" w:lineRule="auto"/>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14:paraId="7228BF5E">
      <w:pPr>
        <w:shd w:val="solid" w:color="FFFFFF" w:fill="auto"/>
        <w:autoSpaceDN w:val="0"/>
        <w:spacing w:line="360" w:lineRule="auto"/>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14:paraId="204280D9">
      <w:pPr>
        <w:shd w:val="solid" w:color="FFFFFF" w:fill="auto"/>
        <w:autoSpaceDN w:val="0"/>
        <w:spacing w:line="360" w:lineRule="auto"/>
        <w:rPr>
          <w:rFonts w:ascii="仿宋_GB2312" w:hAnsi="仿宋_GB2312" w:eastAsia="仿宋_GB2312" w:cs="仿宋_GB2312"/>
          <w:bCs/>
          <w:sz w:val="32"/>
          <w:szCs w:val="32"/>
          <w:shd w:val="clear" w:color="auto" w:fill="FFFFFF"/>
        </w:rPr>
      </w:pPr>
    </w:p>
    <w:p w14:paraId="3255B683">
      <w:pPr>
        <w:pStyle w:val="9"/>
        <w:spacing w:line="360" w:lineRule="auto"/>
        <w:rPr>
          <w:rFonts w:ascii="仿宋_GB2312" w:hAnsi="仿宋_GB2312" w:cs="仿宋_GB2312"/>
          <w:bCs/>
          <w:sz w:val="32"/>
          <w:szCs w:val="32"/>
          <w:shd w:val="clear" w:color="auto" w:fill="FFFFFF"/>
        </w:rPr>
      </w:pPr>
    </w:p>
    <w:p w14:paraId="1D47837A">
      <w:pPr>
        <w:pStyle w:val="9"/>
        <w:spacing w:line="360" w:lineRule="auto"/>
        <w:rPr>
          <w:rFonts w:ascii="仿宋_GB2312" w:hAnsi="仿宋_GB2312" w:cs="仿宋_GB2312"/>
          <w:sz w:val="32"/>
          <w:szCs w:val="32"/>
        </w:rPr>
      </w:pPr>
      <w:r>
        <w:rPr>
          <w:rFonts w:hint="eastAsia" w:ascii="仿宋_GB2312" w:hAnsi="仿宋_GB2312" w:cs="仿宋_GB2312"/>
          <w:sz w:val="32"/>
          <w:szCs w:val="32"/>
        </w:rPr>
        <w:t xml:space="preserve">                                     福建省肿瘤医院</w:t>
      </w:r>
    </w:p>
    <w:p w14:paraId="5B8BA886">
      <w:pPr>
        <w:pStyle w:val="9"/>
        <w:spacing w:line="360" w:lineRule="auto"/>
        <w:rPr>
          <w:rFonts w:ascii="仿宋_GB2312" w:hAnsi="仿宋_GB2312" w:cs="仿宋_GB2312"/>
          <w:sz w:val="32"/>
          <w:szCs w:val="32"/>
        </w:rPr>
      </w:pPr>
      <w:r>
        <w:rPr>
          <w:rFonts w:hint="eastAsia" w:ascii="仿宋_GB2312" w:hAnsi="仿宋_GB2312" w:cs="仿宋_GB2312"/>
          <w:sz w:val="32"/>
          <w:szCs w:val="32"/>
        </w:rPr>
        <w:t xml:space="preserve">                                        年  月  日</w:t>
      </w:r>
    </w:p>
    <w:p w14:paraId="17CD0848">
      <w:pPr>
        <w:pStyle w:val="9"/>
        <w:rPr>
          <w:rFonts w:ascii="仿宋_GB2312" w:hAnsi="仿宋_GB2312" w:cs="仿宋_GB2312"/>
          <w:color w:val="000000"/>
          <w:kern w:val="0"/>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宋体">
    <w:panose1 w:val="02010600040101010101"/>
    <w:charset w:val="86"/>
    <w:family w:val="auto"/>
    <w:pitch w:val="default"/>
    <w:sig w:usb0="00000287" w:usb1="080F0000" w:usb2="00000000" w:usb3="00000000" w:csb0="0004009F" w:csb1="DFD7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 w:name="simsun">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84FA7">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9724A">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299724A">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7A0C7">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2F2079"/>
    <w:multiLevelType w:val="multilevel"/>
    <w:tmpl w:val="3F2F2079"/>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3551602"/>
    <w:multiLevelType w:val="singleLevel"/>
    <w:tmpl w:val="53551602"/>
    <w:lvl w:ilvl="0" w:tentative="0">
      <w:start w:val="3"/>
      <w:numFmt w:val="chineseCounting"/>
      <w:suff w:val="nothing"/>
      <w:lvlText w:val="%1、"/>
      <w:lvlJc w:val="left"/>
      <w:rPr>
        <w:rFonts w:hint="eastAsia"/>
      </w:rPr>
    </w:lvl>
  </w:abstractNum>
  <w:abstractNum w:abstractNumId="2">
    <w:nsid w:val="6987EA66"/>
    <w:multiLevelType w:val="singleLevel"/>
    <w:tmpl w:val="6987EA66"/>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1A1"/>
    <w:rsid w:val="00036B2E"/>
    <w:rsid w:val="00054F58"/>
    <w:rsid w:val="00062341"/>
    <w:rsid w:val="001F3146"/>
    <w:rsid w:val="00275B5E"/>
    <w:rsid w:val="002C3B99"/>
    <w:rsid w:val="002C4CF6"/>
    <w:rsid w:val="002E00BC"/>
    <w:rsid w:val="003B0B55"/>
    <w:rsid w:val="00437A8A"/>
    <w:rsid w:val="00473F10"/>
    <w:rsid w:val="004C004C"/>
    <w:rsid w:val="004D1FC0"/>
    <w:rsid w:val="005010D2"/>
    <w:rsid w:val="0050351A"/>
    <w:rsid w:val="00517C37"/>
    <w:rsid w:val="00537905"/>
    <w:rsid w:val="005825D6"/>
    <w:rsid w:val="005E6ADA"/>
    <w:rsid w:val="00644F97"/>
    <w:rsid w:val="006669AF"/>
    <w:rsid w:val="00673DD6"/>
    <w:rsid w:val="006D714C"/>
    <w:rsid w:val="0072159A"/>
    <w:rsid w:val="007A0EE5"/>
    <w:rsid w:val="007A28A7"/>
    <w:rsid w:val="008425EF"/>
    <w:rsid w:val="008D41A1"/>
    <w:rsid w:val="00915F1B"/>
    <w:rsid w:val="00A0397E"/>
    <w:rsid w:val="00A5650D"/>
    <w:rsid w:val="00AA421C"/>
    <w:rsid w:val="00B2063C"/>
    <w:rsid w:val="00B3083F"/>
    <w:rsid w:val="00CD21D2"/>
    <w:rsid w:val="00D23FFA"/>
    <w:rsid w:val="00DF386F"/>
    <w:rsid w:val="00E93716"/>
    <w:rsid w:val="00FA032A"/>
    <w:rsid w:val="00FF7C6A"/>
    <w:rsid w:val="09462CBE"/>
    <w:rsid w:val="0F226C90"/>
    <w:rsid w:val="19A6429B"/>
    <w:rsid w:val="1BE797E3"/>
    <w:rsid w:val="2AB66315"/>
    <w:rsid w:val="345B0173"/>
    <w:rsid w:val="3A5D01E7"/>
    <w:rsid w:val="3ABE48E3"/>
    <w:rsid w:val="3DAC723C"/>
    <w:rsid w:val="41C221AA"/>
    <w:rsid w:val="5BFB5F2A"/>
    <w:rsid w:val="67440B13"/>
    <w:rsid w:val="69AB4284"/>
    <w:rsid w:val="71DC6704"/>
    <w:rsid w:val="75F924A6"/>
    <w:rsid w:val="7E475E63"/>
    <w:rsid w:val="BBDE3F42"/>
    <w:rsid w:val="FA671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line="336" w:lineRule="auto"/>
      <w:jc w:val="left"/>
    </w:pPr>
    <w:rPr>
      <w:rFonts w:ascii="宋体" w:hAnsi="宋体"/>
      <w:kern w:val="0"/>
      <w:sz w:val="24"/>
    </w:rPr>
  </w:style>
  <w:style w:type="character" w:styleId="8">
    <w:name w:val="Strong"/>
    <w:basedOn w:val="7"/>
    <w:qFormat/>
    <w:uiPriority w:val="22"/>
    <w:rPr>
      <w:b/>
      <w:bCs/>
    </w:rPr>
  </w:style>
  <w:style w:type="paragraph" w:customStyle="1" w:styleId="9">
    <w:name w:val="Fließtext"/>
    <w:basedOn w:val="1"/>
    <w:autoRedefine/>
    <w:qFormat/>
    <w:uiPriority w:val="0"/>
    <w:pPr>
      <w:overflowPunct w:val="0"/>
      <w:autoSpaceDE w:val="0"/>
      <w:autoSpaceDN w:val="0"/>
      <w:adjustRightInd w:val="0"/>
      <w:textAlignment w:val="baseline"/>
    </w:pPr>
    <w:rPr>
      <w:rFonts w:eastAsia="仿宋_GB2312"/>
      <w:kern w:val="28"/>
      <w:sz w:val="24"/>
      <w:szCs w:val="20"/>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2550</Words>
  <Characters>2751</Characters>
  <Lines>26</Lines>
  <Paragraphs>7</Paragraphs>
  <TotalTime>72</TotalTime>
  <ScaleCrop>false</ScaleCrop>
  <LinksUpToDate>false</LinksUpToDate>
  <CharactersWithSpaces>2795</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2026-03-26T23:06:00Z</dcterms:created>
  <dc:creator>Administrator</dc:creator>
  <cp:lastModifiedBy>高镜杰</cp:lastModifiedBy>
  <dcterms:modified xsi:type="dcterms:W3CDTF">2026-06-25T10:05:49Z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eyJoZGlkIjoiZjc5YTJlMGM4MjZmMzk1NzBlNjM0MTU2M2E5ZjljZWYiLCJ1c2VySWQiOiIxNzcxNTI2MTg5In0=</vt:lpwstr>
  </property>
  <property fmtid="{D5CDD505-2E9C-101B-9397-08002B2CF9AE}" pid="3" name="KSOProductBuildVer">
    <vt:lpwstr>2052-12.1.2.25882</vt:lpwstr>
  </property>
  <property fmtid="{D5CDD505-2E9C-101B-9397-08002B2CF9AE}" pid="4" name="ICV">
    <vt:lpwstr>24DC1DCAD4B77B32E9793C6AB50D43AB_43</vt:lpwstr>
  </property>
</Properties>
</file>