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E0054">
      <w:pPr>
        <w:shd w:val="clear" w:color="auto" w:fill="FFFFFF"/>
        <w:adjustRightInd w:val="0"/>
        <w:snapToGrid w:val="0"/>
        <w:spacing w:before="156" w:beforeLines="50" w:line="59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b/>
          <w:color w:val="000000"/>
          <w:sz w:val="32"/>
          <w:szCs w:val="32"/>
          <w:shd w:val="clear" w:color="auto" w:fill="FFFFFF"/>
        </w:rPr>
        <w:t>第一部分 须知前附表</w:t>
      </w:r>
    </w:p>
    <w:tbl>
      <w:tblPr>
        <w:tblStyle w:val="16"/>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732E005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55">
            <w:pPr>
              <w:pStyle w:val="14"/>
              <w:widowControl/>
              <w:spacing w:line="360"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56">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b/>
                <w:color w:val="000000"/>
                <w:sz w:val="32"/>
                <w:szCs w:val="32"/>
              </w:rPr>
              <w:t>主　　　要　　　 内　　　 容</w:t>
            </w:r>
          </w:p>
        </w:tc>
      </w:tr>
      <w:tr w14:paraId="732E005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58">
            <w:pPr>
              <w:spacing w:line="315" w:lineRule="atLeast"/>
              <w:jc w:val="center"/>
              <w:rPr>
                <w:rFonts w:ascii="FangSong_GB2312" w:hAnsi="FangSong_GB2312" w:eastAsia="FangSong_GB2312" w:cs="FangSong_GB2312"/>
                <w:color w:val="000000"/>
                <w:sz w:val="32"/>
                <w:szCs w:val="32"/>
              </w:rPr>
            </w:pPr>
            <w:r>
              <w:rPr>
                <w:rFonts w:hint="eastAsia" w:ascii="FangSong_GB2312" w:hAnsi="FangSong_GB2312" w:eastAsia="FangSong_GB2312" w:cs="FangSong_GB2312"/>
                <w:color w:val="00000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59">
            <w:pPr>
              <w:spacing w:line="315" w:lineRule="atLeast"/>
              <w:rPr>
                <w:rFonts w:ascii="FangSong_GB2312" w:hAnsi="FangSong_GB2312" w:eastAsia="FangSong_GB2312" w:cs="FangSong_GB2312"/>
                <w:color w:val="000000"/>
                <w:sz w:val="32"/>
                <w:szCs w:val="32"/>
              </w:rPr>
            </w:pPr>
            <w:r>
              <w:rPr>
                <w:rFonts w:hint="eastAsia" w:ascii="FangSong_GB2312" w:hAnsi="FangSong_GB2312" w:eastAsia="FangSong_GB2312" w:cs="FangSong_GB2312"/>
                <w:color w:val="000000"/>
                <w:sz w:val="32"/>
                <w:szCs w:val="32"/>
              </w:rPr>
              <w:t xml:space="preserve">项目名称：核心系统磁盘存储及授权项目  </w:t>
            </w:r>
          </w:p>
        </w:tc>
      </w:tr>
      <w:tr w14:paraId="732E005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5B">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5C">
            <w:pPr>
              <w:spacing w:before="150" w:line="560" w:lineRule="exact"/>
              <w:rPr>
                <w:rFonts w:ascii="FangSong_GB2312" w:hAnsi="FangSong_GB2312" w:eastAsia="FangSong_GB2312" w:cs="FangSong_GB2312"/>
                <w:color w:val="000000"/>
                <w:sz w:val="32"/>
                <w:szCs w:val="32"/>
              </w:rPr>
            </w:pPr>
            <w:r>
              <w:rPr>
                <w:rFonts w:hint="eastAsia" w:ascii="FangSong_GB2312" w:hAnsi="FangSong_GB2312" w:eastAsia="FangSong_GB2312" w:cs="FangSong_GB2312"/>
                <w:color w:val="000000"/>
                <w:sz w:val="32"/>
                <w:szCs w:val="32"/>
              </w:rPr>
              <w:t>调研报名时间： 2026 年</w:t>
            </w:r>
            <w:r>
              <w:rPr>
                <w:rFonts w:hint="eastAsia" w:ascii="FangSong_GB2312" w:hAnsi="FangSong_GB2312" w:eastAsia="FangSong_GB2312" w:cs="FangSong_GB2312"/>
                <w:color w:val="000000"/>
                <w:sz w:val="32"/>
                <w:szCs w:val="32"/>
                <w:u w:val="single"/>
                <w:lang w:val="en-US" w:eastAsia="zh-CN"/>
              </w:rPr>
              <w:t>7</w:t>
            </w:r>
            <w:r>
              <w:rPr>
                <w:rFonts w:hint="eastAsia" w:ascii="FangSong_GB2312" w:hAnsi="FangSong_GB2312" w:eastAsia="FangSong_GB2312" w:cs="FangSong_GB2312"/>
                <w:color w:val="000000"/>
                <w:sz w:val="32"/>
                <w:szCs w:val="32"/>
              </w:rPr>
              <w:t xml:space="preserve">月 </w:t>
            </w:r>
            <w:r>
              <w:rPr>
                <w:rFonts w:hint="eastAsia" w:ascii="FangSong_GB2312" w:hAnsi="FangSong_GB2312" w:eastAsia="FangSong_GB2312" w:cs="FangSong_GB2312"/>
                <w:color w:val="000000"/>
                <w:sz w:val="32"/>
                <w:szCs w:val="32"/>
                <w:u w:val="single"/>
                <w:lang w:val="en-US" w:eastAsia="zh-CN"/>
              </w:rPr>
              <w:t>8</w:t>
            </w:r>
            <w:r>
              <w:rPr>
                <w:rFonts w:hint="eastAsia" w:ascii="FangSong_GB2312" w:hAnsi="FangSong_GB2312" w:eastAsia="FangSong_GB2312" w:cs="FangSong_GB2312"/>
                <w:color w:val="000000"/>
                <w:sz w:val="32"/>
                <w:szCs w:val="32"/>
              </w:rPr>
              <w:t xml:space="preserve">日至 </w:t>
            </w:r>
            <w:r>
              <w:rPr>
                <w:rFonts w:hint="eastAsia" w:ascii="FangSong_GB2312" w:hAnsi="FangSong_GB2312" w:eastAsia="FangSong_GB2312" w:cs="FangSong_GB2312"/>
                <w:color w:val="000000"/>
                <w:sz w:val="32"/>
                <w:szCs w:val="32"/>
                <w:u w:val="single"/>
                <w:lang w:val="en-US" w:eastAsia="zh-CN"/>
              </w:rPr>
              <w:t>7</w:t>
            </w:r>
            <w:r>
              <w:rPr>
                <w:rFonts w:hint="eastAsia" w:ascii="FangSong_GB2312" w:hAnsi="FangSong_GB2312" w:eastAsia="FangSong_GB2312" w:cs="FangSong_GB2312"/>
                <w:color w:val="000000"/>
                <w:sz w:val="32"/>
                <w:szCs w:val="32"/>
              </w:rPr>
              <w:t>月</w:t>
            </w:r>
            <w:r>
              <w:rPr>
                <w:rFonts w:hint="eastAsia" w:ascii="FangSong_GB2312" w:hAnsi="FangSong_GB2312" w:eastAsia="FangSong_GB2312" w:cs="FangSong_GB2312"/>
                <w:color w:val="000000"/>
                <w:sz w:val="32"/>
                <w:szCs w:val="32"/>
                <w:u w:val="single"/>
                <w:lang w:val="en-US" w:eastAsia="zh-CN"/>
              </w:rPr>
              <w:t>14</w:t>
            </w:r>
            <w:r>
              <w:rPr>
                <w:rFonts w:hint="eastAsia" w:ascii="FangSong_GB2312" w:hAnsi="FangSong_GB2312" w:eastAsia="FangSong_GB2312" w:cs="FangSong_GB2312"/>
                <w:color w:val="000000"/>
                <w:sz w:val="32"/>
                <w:szCs w:val="32"/>
              </w:rPr>
              <w:t xml:space="preserve">日 </w:t>
            </w:r>
            <w:r>
              <w:rPr>
                <w:rFonts w:hint="eastAsia" w:ascii="FangSong_GB2312" w:hAnsi="FangSong_GB2312" w:eastAsia="FangSong_GB2312" w:cs="FangSong_GB2312"/>
                <w:color w:val="000000"/>
                <w:spacing w:val="-8"/>
                <w:sz w:val="32"/>
                <w:szCs w:val="32"/>
                <w:shd w:val="clear" w:color="auto" w:fill="FFFFFF"/>
              </w:rPr>
              <w:t>(节假日除外)8：00-12：00或14：00-17：30(北京时间）</w:t>
            </w:r>
          </w:p>
          <w:p w14:paraId="732E005D">
            <w:pPr>
              <w:spacing w:line="315" w:lineRule="atLeast"/>
              <w:rPr>
                <w:rFonts w:ascii="FangSong_GB2312" w:hAnsi="FangSong_GB2312" w:eastAsia="FangSong_GB2312" w:cs="FangSong_GB2312"/>
                <w:color w:val="000000"/>
                <w:sz w:val="32"/>
                <w:szCs w:val="32"/>
                <w:u w:val="single"/>
              </w:rPr>
            </w:pPr>
            <w:r>
              <w:rPr>
                <w:rFonts w:hint="eastAsia" w:ascii="FangSong_GB2312" w:hAnsi="FangSong_GB2312" w:eastAsia="FangSong_GB2312" w:cs="FangSong_GB2312"/>
                <w:color w:val="000000"/>
                <w:sz w:val="32"/>
                <w:szCs w:val="32"/>
              </w:rPr>
              <w:t>调研会时间： 2026 年</w:t>
            </w:r>
            <w:r>
              <w:rPr>
                <w:rFonts w:hint="eastAsia" w:ascii="FangSong_GB2312" w:hAnsi="FangSong_GB2312" w:eastAsia="FangSong_GB2312" w:cs="FangSong_GB2312"/>
                <w:color w:val="000000"/>
                <w:sz w:val="32"/>
                <w:szCs w:val="32"/>
                <w:u w:val="single"/>
                <w:lang w:val="en-US" w:eastAsia="zh-CN"/>
              </w:rPr>
              <w:t>7</w:t>
            </w:r>
            <w:r>
              <w:rPr>
                <w:rFonts w:hint="eastAsia" w:ascii="FangSong_GB2312" w:hAnsi="FangSong_GB2312" w:eastAsia="FangSong_GB2312" w:cs="FangSong_GB2312"/>
                <w:color w:val="000000"/>
                <w:sz w:val="32"/>
                <w:szCs w:val="32"/>
              </w:rPr>
              <w:t xml:space="preserve">月 </w:t>
            </w:r>
            <w:r>
              <w:rPr>
                <w:rFonts w:hint="eastAsia" w:ascii="FangSong_GB2312" w:hAnsi="FangSong_GB2312" w:eastAsia="FangSong_GB2312" w:cs="FangSong_GB2312"/>
                <w:color w:val="000000"/>
                <w:sz w:val="32"/>
                <w:szCs w:val="32"/>
                <w:u w:val="single"/>
                <w:lang w:val="en-US" w:eastAsia="zh-CN"/>
              </w:rPr>
              <w:t>16</w:t>
            </w:r>
            <w:r>
              <w:rPr>
                <w:rFonts w:hint="eastAsia" w:ascii="FangSong_GB2312" w:hAnsi="FangSong_GB2312" w:eastAsia="FangSong_GB2312" w:cs="FangSong_GB2312"/>
                <w:color w:val="000000"/>
                <w:sz w:val="32"/>
                <w:szCs w:val="32"/>
              </w:rPr>
              <w:t xml:space="preserve">日 </w:t>
            </w:r>
            <w:r>
              <w:rPr>
                <w:rFonts w:hint="eastAsia" w:ascii="FangSong_GB2312" w:hAnsi="FangSong_GB2312" w:eastAsia="FangSong_GB2312" w:cs="FangSong_GB2312"/>
                <w:color w:val="000000"/>
                <w:sz w:val="32"/>
                <w:szCs w:val="32"/>
                <w:lang w:val="en-US" w:eastAsia="zh-CN"/>
              </w:rPr>
              <w:t>15</w:t>
            </w:r>
            <w:r>
              <w:rPr>
                <w:rFonts w:hint="eastAsia" w:ascii="FangSong_GB2312" w:hAnsi="FangSong_GB2312" w:eastAsia="FangSong_GB2312" w:cs="FangSong_GB2312"/>
                <w:color w:val="000000"/>
                <w:sz w:val="32"/>
                <w:szCs w:val="32"/>
              </w:rPr>
              <w:t>:00</w:t>
            </w:r>
          </w:p>
        </w:tc>
      </w:tr>
      <w:tr w14:paraId="732E006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5F">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60">
            <w:pPr>
              <w:spacing w:line="315" w:lineRule="atLeast"/>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文件正本</w:t>
            </w:r>
            <w:r>
              <w:rPr>
                <w:rFonts w:hint="eastAsia" w:ascii="FangSong_GB2312" w:hAnsi="FangSong_GB2312" w:eastAsia="FangSong_GB2312" w:cs="FangSong_GB2312"/>
                <w:bCs/>
                <w:color w:val="000000"/>
                <w:sz w:val="32"/>
                <w:szCs w:val="32"/>
                <w:u w:val="single"/>
              </w:rPr>
              <w:t>壹</w:t>
            </w:r>
            <w:r>
              <w:rPr>
                <w:rFonts w:hint="eastAsia" w:ascii="FangSong_GB2312" w:hAnsi="FangSong_GB2312" w:eastAsia="FangSong_GB2312" w:cs="FangSong_GB2312"/>
                <w:color w:val="000000"/>
                <w:sz w:val="32"/>
                <w:szCs w:val="32"/>
              </w:rPr>
              <w:t>份,副本</w:t>
            </w:r>
            <w:r>
              <w:rPr>
                <w:rFonts w:hint="eastAsia" w:ascii="FangSong_GB2312" w:hAnsi="FangSong_GB2312" w:eastAsia="FangSong_GB2312" w:cs="FangSong_GB2312"/>
                <w:bCs/>
                <w:color w:val="000000"/>
                <w:sz w:val="32"/>
                <w:szCs w:val="32"/>
                <w:u w:val="single"/>
              </w:rPr>
              <w:t>壹</w:t>
            </w:r>
            <w:r>
              <w:rPr>
                <w:rFonts w:hint="eastAsia" w:ascii="FangSong_GB2312" w:hAnsi="FangSong_GB2312" w:eastAsia="FangSong_GB2312" w:cs="FangSong_GB2312"/>
                <w:color w:val="000000"/>
                <w:sz w:val="32"/>
                <w:szCs w:val="32"/>
              </w:rPr>
              <w:t>份胶装并密封加盖投标人公章。文件未胶装将视为无效。</w:t>
            </w:r>
          </w:p>
        </w:tc>
      </w:tr>
      <w:tr w14:paraId="732E006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62">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63">
            <w:pPr>
              <w:spacing w:line="315" w:lineRule="atLeast"/>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文件递交处：福建省肿瘤医院网络技术中心</w:t>
            </w:r>
          </w:p>
        </w:tc>
      </w:tr>
      <w:tr w14:paraId="732E006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65">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66">
            <w:pPr>
              <w:spacing w:line="315" w:lineRule="atLeast"/>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上述时间、地点如有变动，以单位届时通知为准。</w:t>
            </w:r>
          </w:p>
        </w:tc>
      </w:tr>
      <w:tr w14:paraId="732E006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68">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69">
            <w:pPr>
              <w:shd w:val="clear" w:color="auto" w:fill="FFFFFF"/>
              <w:adjustRightInd w:val="0"/>
              <w:snapToGrid w:val="0"/>
              <w:rPr>
                <w:rFonts w:ascii="FangSong_GB2312" w:hAnsi="FangSong_GB2312" w:eastAsia="FangSong_GB2312" w:cs="FangSong_GB2312"/>
                <w:sz w:val="32"/>
                <w:szCs w:val="32"/>
              </w:rPr>
            </w:pPr>
            <w:r>
              <w:rPr>
                <w:rFonts w:hint="eastAsia" w:ascii="FangSong_GB2312" w:hAnsi="FangSong_GB2312" w:eastAsia="FangSong_GB2312" w:cs="FangSong_GB2312"/>
                <w:bCs/>
                <w:color w:val="000000"/>
                <w:sz w:val="32"/>
                <w:szCs w:val="32"/>
                <w:shd w:val="clear" w:color="auto" w:fill="FFFFFF"/>
              </w:rPr>
              <w:t>采购报名、采购调研等采购过程中有任何异议，可联系我院监督科室。电话：83660063-8407；83660063-8467。</w:t>
            </w:r>
          </w:p>
        </w:tc>
      </w:tr>
    </w:tbl>
    <w:p w14:paraId="732E006B">
      <w:pPr>
        <w:shd w:val="clear" w:color="auto" w:fill="FFFFFF"/>
        <w:spacing w:line="336" w:lineRule="auto"/>
        <w:rPr>
          <w:rFonts w:ascii="FangSong_GB2312" w:hAnsi="FangSong_GB2312" w:eastAsia="FangSong_GB2312" w:cs="FangSong_GB2312"/>
          <w:bCs/>
          <w:color w:val="000000"/>
          <w:sz w:val="32"/>
          <w:szCs w:val="32"/>
          <w:shd w:val="clear" w:color="auto" w:fill="FFFFFF"/>
        </w:rPr>
      </w:pPr>
    </w:p>
    <w:p w14:paraId="732E006C">
      <w:pPr>
        <w:shd w:val="clear" w:color="auto" w:fill="FFFFFF"/>
        <w:spacing w:line="336" w:lineRule="auto"/>
        <w:rPr>
          <w:rFonts w:ascii="FangSong_GB2312" w:hAnsi="FangSong_GB2312" w:eastAsia="FangSong_GB2312" w:cs="FangSong_GB2312"/>
          <w:bCs/>
          <w:color w:val="000000"/>
          <w:sz w:val="32"/>
          <w:szCs w:val="32"/>
          <w:shd w:val="clear" w:color="auto" w:fill="FFFFFF"/>
        </w:rPr>
      </w:pPr>
      <w:r>
        <w:rPr>
          <w:rFonts w:hint="eastAsia" w:ascii="FangSong_GB2312" w:hAnsi="FangSong_GB2312" w:eastAsia="FangSong_GB2312" w:cs="FangSong_GB2312"/>
          <w:bCs/>
          <w:color w:val="000000"/>
          <w:sz w:val="32"/>
          <w:szCs w:val="32"/>
          <w:shd w:val="clear" w:color="auto" w:fill="FFFFFF"/>
        </w:rPr>
        <w:t xml:space="preserve">地　址： 福建省福州市福马路420号 </w:t>
      </w:r>
    </w:p>
    <w:p w14:paraId="732E006D">
      <w:pPr>
        <w:shd w:val="clear" w:color="auto" w:fill="FFFFFF"/>
        <w:spacing w:line="336" w:lineRule="auto"/>
        <w:rPr>
          <w:rFonts w:ascii="FangSong_GB2312" w:hAnsi="FangSong_GB2312" w:eastAsia="FangSong_GB2312" w:cs="FangSong_GB2312"/>
          <w:bCs/>
          <w:sz w:val="32"/>
          <w:szCs w:val="32"/>
        </w:rPr>
      </w:pPr>
      <w:r>
        <w:rPr>
          <w:rFonts w:hint="eastAsia" w:ascii="FangSong_GB2312" w:hAnsi="FangSong_GB2312" w:eastAsia="FangSong_GB2312" w:cs="FangSong_GB2312"/>
          <w:bCs/>
          <w:color w:val="000000"/>
          <w:sz w:val="32"/>
          <w:szCs w:val="32"/>
          <w:shd w:val="clear" w:color="auto" w:fill="FFFFFF"/>
        </w:rPr>
        <w:t>福建省肿瘤医院科研楼四楼网络技术中心</w:t>
      </w:r>
    </w:p>
    <w:p w14:paraId="732E006E">
      <w:pPr>
        <w:shd w:val="clear" w:color="auto" w:fill="FFFFFF"/>
        <w:spacing w:line="440" w:lineRule="atLeast"/>
        <w:rPr>
          <w:rFonts w:ascii="FangSong_GB2312" w:hAnsi="FangSong_GB2312" w:eastAsia="FangSong_GB2312" w:cs="FangSong_GB2312"/>
          <w:bCs/>
          <w:sz w:val="32"/>
          <w:szCs w:val="32"/>
        </w:rPr>
      </w:pPr>
      <w:r>
        <w:rPr>
          <w:rFonts w:hint="eastAsia" w:ascii="FangSong_GB2312" w:hAnsi="FangSong_GB2312" w:eastAsia="FangSong_GB2312" w:cs="FangSong_GB2312"/>
          <w:bCs/>
          <w:color w:val="000000"/>
          <w:sz w:val="32"/>
          <w:szCs w:val="32"/>
          <w:shd w:val="clear" w:color="auto" w:fill="FFFFFF"/>
        </w:rPr>
        <w:t>邮　编： 350014　 </w:t>
      </w:r>
    </w:p>
    <w:p w14:paraId="45AF006A">
      <w:pPr>
        <w:shd w:val="clear" w:color="auto" w:fill="FFFFFF"/>
        <w:spacing w:line="440" w:lineRule="atLeast"/>
        <w:rPr>
          <w:rFonts w:hint="eastAsia" w:ascii="FangSong_GB2312" w:hAnsi="FangSong_GB2312" w:eastAsia="FangSong_GB2312" w:cs="FangSong_GB2312"/>
          <w:bCs/>
          <w:color w:val="000000"/>
          <w:sz w:val="32"/>
          <w:szCs w:val="32"/>
          <w:shd w:val="clear" w:color="auto" w:fill="FFFFFF"/>
        </w:rPr>
      </w:pPr>
      <w:r>
        <w:rPr>
          <w:rFonts w:hint="eastAsia" w:ascii="FangSong_GB2312" w:hAnsi="FangSong_GB2312" w:eastAsia="FangSong_GB2312" w:cs="FangSong_GB2312"/>
          <w:bCs/>
          <w:color w:val="000000"/>
          <w:sz w:val="32"/>
          <w:szCs w:val="32"/>
          <w:shd w:val="clear" w:color="auto" w:fill="FFFFFF"/>
        </w:rPr>
        <w:t xml:space="preserve">报名联系电话：0591-62002097、83660063-8822、83660063-8279 </w:t>
      </w:r>
    </w:p>
    <w:p w14:paraId="732E0070">
      <w:pPr>
        <w:shd w:val="clear" w:color="auto" w:fill="FFFFFF"/>
        <w:spacing w:line="440" w:lineRule="atLeast"/>
        <w:rPr>
          <w:rFonts w:ascii="FangSong_GB2312" w:hAnsi="FangSong_GB2312" w:eastAsia="FangSong_GB2312" w:cs="FangSong_GB2312"/>
          <w:bCs/>
          <w:color w:val="000000"/>
          <w:sz w:val="32"/>
          <w:szCs w:val="32"/>
          <w:shd w:val="clear" w:color="auto" w:fill="FFFFFF"/>
        </w:rPr>
      </w:pPr>
      <w:r>
        <w:rPr>
          <w:rFonts w:hint="eastAsia" w:ascii="FangSong_GB2312" w:hAnsi="FangSong_GB2312" w:eastAsia="FangSong_GB2312" w:cs="FangSong_GB2312"/>
          <w:bCs/>
          <w:color w:val="000000"/>
          <w:sz w:val="32"/>
          <w:szCs w:val="32"/>
          <w:shd w:val="clear" w:color="auto" w:fill="FFFFFF"/>
        </w:rPr>
        <w:t xml:space="preserve">联系人： 杜工、郑工 </w:t>
      </w:r>
    </w:p>
    <w:p w14:paraId="3444AF3C">
      <w:pPr>
        <w:shd w:val="clear" w:color="auto" w:fill="FFFFFF"/>
        <w:adjustRightInd w:val="0"/>
        <w:snapToGrid w:val="0"/>
        <w:spacing w:before="156" w:beforeLines="50" w:line="590" w:lineRule="exact"/>
        <w:jc w:val="center"/>
        <w:rPr>
          <w:rFonts w:hint="eastAsia"/>
        </w:rPr>
      </w:pPr>
    </w:p>
    <w:p w14:paraId="732E0071">
      <w:pPr>
        <w:shd w:val="clear" w:color="auto" w:fill="FFFFFF"/>
        <w:adjustRightInd w:val="0"/>
        <w:snapToGrid w:val="0"/>
        <w:spacing w:before="156" w:beforeLines="50" w:line="590" w:lineRule="exact"/>
        <w:jc w:val="center"/>
      </w:pPr>
      <w:r>
        <w:rPr>
          <w:rFonts w:hint="eastAsia" w:ascii="FangSong_GB2312" w:hAnsi="FangSong_GB2312" w:eastAsia="FangSong_GB2312" w:cs="FangSong_GB2312"/>
          <w:b/>
          <w:color w:val="000000"/>
          <w:sz w:val="32"/>
          <w:szCs w:val="32"/>
          <w:shd w:val="clear" w:color="auto" w:fill="FFFFFF"/>
        </w:rPr>
        <w:t>第二部分 具体要求</w:t>
      </w:r>
    </w:p>
    <w:p w14:paraId="732E0072">
      <w:pPr>
        <w:numPr>
          <w:ilvl w:val="0"/>
          <w:numId w:val="1"/>
        </w:numPr>
        <w:spacing w:line="360" w:lineRule="auto"/>
        <w:rPr>
          <w:b/>
          <w:bCs/>
          <w:sz w:val="28"/>
          <w:szCs w:val="28"/>
        </w:rPr>
      </w:pPr>
      <w:r>
        <w:rPr>
          <w:rFonts w:hint="eastAsia"/>
          <w:b/>
          <w:bCs/>
          <w:sz w:val="28"/>
          <w:szCs w:val="28"/>
        </w:rPr>
        <w:t>采购内容</w:t>
      </w:r>
    </w:p>
    <w:tbl>
      <w:tblPr>
        <w:tblStyle w:val="16"/>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3983"/>
        <w:gridCol w:w="777"/>
        <w:gridCol w:w="1144"/>
      </w:tblGrid>
      <w:tr w14:paraId="732E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1" w:type="pct"/>
            <w:tcBorders>
              <w:top w:val="single" w:color="auto" w:sz="4" w:space="0"/>
              <w:left w:val="single" w:color="auto" w:sz="4" w:space="0"/>
              <w:bottom w:val="single" w:color="auto" w:sz="4" w:space="0"/>
              <w:right w:val="single" w:color="auto" w:sz="4" w:space="0"/>
            </w:tcBorders>
            <w:vAlign w:val="center"/>
          </w:tcPr>
          <w:p w14:paraId="732E0073">
            <w:pPr>
              <w:spacing w:line="360" w:lineRule="auto"/>
              <w:jc w:val="center"/>
            </w:pPr>
            <w:r>
              <w:rPr>
                <w:rFonts w:hint="eastAsia"/>
              </w:rPr>
              <w:t>设备名称</w:t>
            </w:r>
          </w:p>
        </w:tc>
        <w:tc>
          <w:tcPr>
            <w:tcW w:w="2333" w:type="pct"/>
            <w:tcBorders>
              <w:top w:val="single" w:color="auto" w:sz="4" w:space="0"/>
              <w:left w:val="single" w:color="auto" w:sz="4" w:space="0"/>
              <w:bottom w:val="single" w:color="auto" w:sz="4" w:space="0"/>
              <w:right w:val="single" w:color="auto" w:sz="4" w:space="0"/>
            </w:tcBorders>
            <w:vAlign w:val="center"/>
          </w:tcPr>
          <w:p w14:paraId="732E0074">
            <w:pPr>
              <w:spacing w:line="360" w:lineRule="auto"/>
              <w:jc w:val="center"/>
            </w:pPr>
            <w:r>
              <w:rPr>
                <w:rFonts w:hint="eastAsia"/>
              </w:rPr>
              <w:t>主要参数</w:t>
            </w:r>
          </w:p>
        </w:tc>
        <w:tc>
          <w:tcPr>
            <w:tcW w:w="455" w:type="pct"/>
            <w:tcBorders>
              <w:top w:val="single" w:color="auto" w:sz="4" w:space="0"/>
              <w:left w:val="single" w:color="auto" w:sz="4" w:space="0"/>
              <w:bottom w:val="single" w:color="auto" w:sz="4" w:space="0"/>
              <w:right w:val="single" w:color="auto" w:sz="4" w:space="0"/>
            </w:tcBorders>
            <w:vAlign w:val="center"/>
          </w:tcPr>
          <w:p w14:paraId="732E0075">
            <w:pPr>
              <w:spacing w:line="360" w:lineRule="auto"/>
              <w:jc w:val="center"/>
            </w:pPr>
            <w:r>
              <w:rPr>
                <w:rFonts w:hint="eastAsia"/>
              </w:rPr>
              <w:t>数量</w:t>
            </w:r>
          </w:p>
        </w:tc>
        <w:tc>
          <w:tcPr>
            <w:tcW w:w="670" w:type="pct"/>
            <w:tcBorders>
              <w:top w:val="single" w:color="auto" w:sz="4" w:space="0"/>
              <w:left w:val="single" w:color="auto" w:sz="4" w:space="0"/>
              <w:bottom w:val="single" w:color="auto" w:sz="4" w:space="0"/>
              <w:right w:val="single" w:color="auto" w:sz="4" w:space="0"/>
            </w:tcBorders>
            <w:vAlign w:val="center"/>
          </w:tcPr>
          <w:p w14:paraId="732E0076">
            <w:pPr>
              <w:jc w:val="center"/>
            </w:pPr>
            <w:r>
              <w:rPr>
                <w:rFonts w:hint="eastAsia"/>
              </w:rPr>
              <w:t>预算</w:t>
            </w:r>
          </w:p>
          <w:p w14:paraId="732E0077">
            <w:pPr>
              <w:jc w:val="center"/>
            </w:pPr>
            <w:r>
              <w:rPr>
                <w:rFonts w:hint="eastAsia"/>
              </w:rPr>
              <w:t>(万元)</w:t>
            </w:r>
          </w:p>
        </w:tc>
      </w:tr>
      <w:tr w14:paraId="732E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1541" w:type="pct"/>
            <w:tcBorders>
              <w:top w:val="single" w:color="auto" w:sz="4" w:space="0"/>
              <w:left w:val="single" w:color="auto" w:sz="4" w:space="0"/>
              <w:bottom w:val="single" w:color="auto" w:sz="4" w:space="0"/>
              <w:right w:val="single" w:color="auto" w:sz="4" w:space="0"/>
            </w:tcBorders>
            <w:vAlign w:val="center"/>
          </w:tcPr>
          <w:p w14:paraId="732E0079">
            <w:pPr>
              <w:spacing w:line="360" w:lineRule="auto"/>
              <w:jc w:val="center"/>
            </w:pPr>
            <w:r>
              <w:rPr>
                <w:rFonts w:hint="eastAsia"/>
              </w:rPr>
              <w:t>灾备授权</w:t>
            </w:r>
          </w:p>
        </w:tc>
        <w:tc>
          <w:tcPr>
            <w:tcW w:w="2333" w:type="pct"/>
            <w:tcBorders>
              <w:top w:val="single" w:color="auto" w:sz="4" w:space="0"/>
              <w:left w:val="single" w:color="auto" w:sz="4" w:space="0"/>
              <w:bottom w:val="single" w:color="auto" w:sz="4" w:space="0"/>
              <w:right w:val="single" w:color="auto" w:sz="4" w:space="0"/>
            </w:tcBorders>
            <w:vAlign w:val="center"/>
          </w:tcPr>
          <w:p w14:paraId="732E007A">
            <w:pPr>
              <w:numPr>
                <w:ilvl w:val="0"/>
                <w:numId w:val="2"/>
              </w:numPr>
              <w:spacing w:line="360" w:lineRule="auto"/>
            </w:pPr>
            <w:r>
              <w:rPr>
                <w:rFonts w:hint="eastAsia"/>
              </w:rPr>
              <w:t>在原有备份系统D</w:t>
            </w:r>
            <w:r>
              <w:t>DVE</w:t>
            </w:r>
            <w:r>
              <w:rPr>
                <w:rFonts w:hint="eastAsia"/>
              </w:rPr>
              <w:t>基础上升级扩容，由6</w:t>
            </w:r>
            <w:r>
              <w:t>0TB</w:t>
            </w:r>
            <w:r>
              <w:rPr>
                <w:rFonts w:hint="eastAsia"/>
              </w:rPr>
              <w:t>升级扩容到96TB；</w:t>
            </w:r>
          </w:p>
          <w:p w14:paraId="732E007B">
            <w:pPr>
              <w:numPr>
                <w:ilvl w:val="0"/>
                <w:numId w:val="2"/>
              </w:numPr>
              <w:spacing w:line="360" w:lineRule="auto"/>
            </w:pPr>
            <w:r>
              <w:rPr>
                <w:rFonts w:hint="eastAsia"/>
              </w:rPr>
              <w:t>构建统一备份资源池，按需调整备份策略和备份业务；</w:t>
            </w:r>
          </w:p>
          <w:p w14:paraId="732E007C">
            <w:pPr>
              <w:numPr>
                <w:ilvl w:val="0"/>
                <w:numId w:val="2"/>
              </w:numPr>
              <w:spacing w:line="360" w:lineRule="auto"/>
            </w:pPr>
            <w:r>
              <w:rPr>
                <w:rFonts w:hint="eastAsia"/>
              </w:rPr>
              <w:t>配合院方进行各评级的备份恢复演练；</w:t>
            </w:r>
          </w:p>
          <w:p w14:paraId="732E007D">
            <w:pPr>
              <w:numPr>
                <w:ilvl w:val="0"/>
                <w:numId w:val="2"/>
              </w:numPr>
              <w:spacing w:line="360" w:lineRule="auto"/>
            </w:pPr>
            <w:r>
              <w:rPr>
                <w:rFonts w:hint="eastAsia"/>
              </w:rPr>
              <w:t>提供NETWOKER备份软件5年</w:t>
            </w:r>
            <w:r>
              <w:rPr>
                <w:rFonts w:hint="eastAsia"/>
                <w:lang w:val="en-US" w:eastAsia="zh-CN"/>
              </w:rPr>
              <w:t>金牌</w:t>
            </w:r>
            <w:r>
              <w:rPr>
                <w:rFonts w:hint="eastAsia"/>
              </w:rPr>
              <w:t>技术支持服务和5年</w:t>
            </w:r>
            <w:r>
              <w:rPr>
                <w:rFonts w:hint="eastAsia"/>
                <w:lang w:val="en-US" w:eastAsia="zh-CN"/>
              </w:rPr>
              <w:t>运维保障</w:t>
            </w:r>
            <w:r>
              <w:rPr>
                <w:rFonts w:hint="eastAsia"/>
              </w:rPr>
              <w:t>服务；</w:t>
            </w:r>
          </w:p>
        </w:tc>
        <w:tc>
          <w:tcPr>
            <w:tcW w:w="455" w:type="pct"/>
            <w:tcBorders>
              <w:top w:val="single" w:color="auto" w:sz="4" w:space="0"/>
              <w:left w:val="single" w:color="auto" w:sz="4" w:space="0"/>
              <w:bottom w:val="single" w:color="auto" w:sz="4" w:space="0"/>
              <w:right w:val="single" w:color="auto" w:sz="4" w:space="0"/>
            </w:tcBorders>
            <w:vAlign w:val="center"/>
          </w:tcPr>
          <w:p w14:paraId="732E007E">
            <w:pPr>
              <w:spacing w:line="360" w:lineRule="auto"/>
              <w:jc w:val="center"/>
            </w:pPr>
            <w:r>
              <w:rPr>
                <w:rFonts w:hint="eastAsia"/>
              </w:rPr>
              <w:t>1</w:t>
            </w:r>
          </w:p>
        </w:tc>
        <w:tc>
          <w:tcPr>
            <w:tcW w:w="670" w:type="pct"/>
            <w:tcBorders>
              <w:top w:val="single" w:color="auto" w:sz="4" w:space="0"/>
              <w:left w:val="single" w:color="auto" w:sz="4" w:space="0"/>
              <w:bottom w:val="single" w:color="auto" w:sz="4" w:space="0"/>
              <w:right w:val="single" w:color="auto" w:sz="4" w:space="0"/>
            </w:tcBorders>
            <w:vAlign w:val="center"/>
          </w:tcPr>
          <w:p w14:paraId="732E007F">
            <w:pPr>
              <w:spacing w:line="360" w:lineRule="auto"/>
              <w:jc w:val="center"/>
            </w:pPr>
            <w:r>
              <w:rPr>
                <w:rFonts w:hint="eastAsia"/>
              </w:rPr>
              <w:t>36</w:t>
            </w:r>
          </w:p>
        </w:tc>
      </w:tr>
      <w:tr w14:paraId="732E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1541" w:type="pct"/>
            <w:tcBorders>
              <w:top w:val="single" w:color="auto" w:sz="4" w:space="0"/>
              <w:left w:val="single" w:color="auto" w:sz="4" w:space="0"/>
              <w:bottom w:val="single" w:color="auto" w:sz="4" w:space="0"/>
              <w:right w:val="single" w:color="auto" w:sz="4" w:space="0"/>
            </w:tcBorders>
            <w:vAlign w:val="center"/>
          </w:tcPr>
          <w:p w14:paraId="732E0081">
            <w:pPr>
              <w:spacing w:line="360" w:lineRule="auto"/>
              <w:jc w:val="center"/>
            </w:pPr>
            <w:r>
              <w:rPr>
                <w:rFonts w:hint="eastAsia"/>
              </w:rPr>
              <w:t>灾备磁盘存储</w:t>
            </w:r>
          </w:p>
        </w:tc>
        <w:tc>
          <w:tcPr>
            <w:tcW w:w="2333" w:type="pct"/>
            <w:tcBorders>
              <w:top w:val="single" w:color="auto" w:sz="4" w:space="0"/>
              <w:left w:val="single" w:color="auto" w:sz="4" w:space="0"/>
              <w:bottom w:val="single" w:color="auto" w:sz="4" w:space="0"/>
              <w:right w:val="single" w:color="auto" w:sz="4" w:space="0"/>
            </w:tcBorders>
            <w:vAlign w:val="center"/>
          </w:tcPr>
          <w:p w14:paraId="732E0082">
            <w:pPr>
              <w:numPr>
                <w:ilvl w:val="0"/>
                <w:numId w:val="3"/>
              </w:numPr>
              <w:spacing w:line="360" w:lineRule="auto"/>
            </w:pPr>
            <w:r>
              <w:rPr>
                <w:rFonts w:hint="eastAsia"/>
              </w:rPr>
              <w:t>在原存储基础上扩容升级，扩容后增加的可用容量不低于65TB，并入原有容灾资源池，</w:t>
            </w:r>
          </w:p>
          <w:p w14:paraId="732E0083">
            <w:pPr>
              <w:numPr>
                <w:ilvl w:val="0"/>
                <w:numId w:val="3"/>
              </w:numPr>
              <w:spacing w:line="360" w:lineRule="auto"/>
            </w:pPr>
            <w:r>
              <w:rPr>
                <w:rFonts w:hint="eastAsia"/>
              </w:rPr>
              <w:t>升级容灾存储的软件版本，调整容灾策略和容灾业务规划；</w:t>
            </w:r>
          </w:p>
          <w:p w14:paraId="732E0084">
            <w:pPr>
              <w:numPr>
                <w:ilvl w:val="0"/>
                <w:numId w:val="3"/>
              </w:numPr>
              <w:spacing w:line="360" w:lineRule="auto"/>
            </w:pPr>
            <w:r>
              <w:rPr>
                <w:rFonts w:hint="eastAsia"/>
              </w:rPr>
              <w:t>每季度进行一次</w:t>
            </w:r>
            <w:r>
              <w:rPr>
                <w:rFonts w:hint="eastAsia"/>
                <w:lang w:val="en-US" w:eastAsia="zh-CN"/>
              </w:rPr>
              <w:t>以上</w:t>
            </w:r>
            <w:r>
              <w:rPr>
                <w:rFonts w:hint="eastAsia"/>
              </w:rPr>
              <w:t>容灾恢复演练，硬件随原主机保修服务；</w:t>
            </w:r>
          </w:p>
          <w:p w14:paraId="732E0085">
            <w:pPr>
              <w:numPr>
                <w:ilvl w:val="0"/>
                <w:numId w:val="3"/>
              </w:numPr>
              <w:spacing w:line="360" w:lineRule="auto"/>
            </w:pPr>
            <w:r>
              <w:rPr>
                <w:rFonts w:hint="eastAsia"/>
              </w:rPr>
              <w:t>提供RP4VM软件5年</w:t>
            </w:r>
            <w:r>
              <w:rPr>
                <w:rFonts w:hint="eastAsia"/>
                <w:lang w:val="en-US" w:eastAsia="zh-CN"/>
              </w:rPr>
              <w:t>金牌</w:t>
            </w:r>
            <w:r>
              <w:rPr>
                <w:rFonts w:hint="eastAsia"/>
              </w:rPr>
              <w:t>技术支持服务和5年</w:t>
            </w:r>
            <w:r>
              <w:rPr>
                <w:rFonts w:hint="eastAsia"/>
                <w:lang w:val="en-US" w:eastAsia="zh-CN"/>
              </w:rPr>
              <w:t>运维保障</w:t>
            </w:r>
            <w:r>
              <w:rPr>
                <w:rFonts w:hint="eastAsia"/>
              </w:rPr>
              <w:t>服务；</w:t>
            </w:r>
          </w:p>
        </w:tc>
        <w:tc>
          <w:tcPr>
            <w:tcW w:w="455" w:type="pct"/>
            <w:tcBorders>
              <w:top w:val="single" w:color="auto" w:sz="4" w:space="0"/>
              <w:left w:val="single" w:color="auto" w:sz="4" w:space="0"/>
              <w:bottom w:val="single" w:color="auto" w:sz="4" w:space="0"/>
              <w:right w:val="single" w:color="auto" w:sz="4" w:space="0"/>
            </w:tcBorders>
            <w:vAlign w:val="center"/>
          </w:tcPr>
          <w:p w14:paraId="732E0086">
            <w:pPr>
              <w:spacing w:line="360" w:lineRule="auto"/>
              <w:jc w:val="center"/>
            </w:pPr>
            <w:r>
              <w:rPr>
                <w:rFonts w:hint="eastAsia"/>
              </w:rPr>
              <w:t>1</w:t>
            </w:r>
          </w:p>
        </w:tc>
        <w:tc>
          <w:tcPr>
            <w:tcW w:w="670" w:type="pct"/>
            <w:tcBorders>
              <w:top w:val="single" w:color="auto" w:sz="4" w:space="0"/>
              <w:left w:val="single" w:color="auto" w:sz="4" w:space="0"/>
              <w:bottom w:val="single" w:color="auto" w:sz="4" w:space="0"/>
              <w:right w:val="single" w:color="auto" w:sz="4" w:space="0"/>
            </w:tcBorders>
            <w:vAlign w:val="center"/>
          </w:tcPr>
          <w:p w14:paraId="732E0087">
            <w:pPr>
              <w:spacing w:line="360" w:lineRule="auto"/>
              <w:jc w:val="center"/>
            </w:pPr>
            <w:r>
              <w:rPr>
                <w:rFonts w:hint="eastAsia"/>
              </w:rPr>
              <w:t>65</w:t>
            </w:r>
          </w:p>
        </w:tc>
      </w:tr>
    </w:tbl>
    <w:p w14:paraId="732E0089">
      <w:pPr>
        <w:spacing w:line="360" w:lineRule="auto"/>
        <w:rPr>
          <w:sz w:val="28"/>
          <w:szCs w:val="28"/>
        </w:rPr>
      </w:pPr>
      <w:r>
        <w:rPr>
          <w:rFonts w:hint="eastAsia"/>
          <w:b/>
          <w:bCs/>
          <w:sz w:val="28"/>
          <w:szCs w:val="28"/>
        </w:rPr>
        <w:t>三、其他要求</w:t>
      </w:r>
    </w:p>
    <w:p w14:paraId="732E008A">
      <w:pPr>
        <w:spacing w:line="360" w:lineRule="auto"/>
        <w:rPr>
          <w:sz w:val="28"/>
          <w:szCs w:val="28"/>
        </w:rPr>
      </w:pPr>
      <w:r>
        <w:rPr>
          <w:rFonts w:hint="eastAsia"/>
          <w:sz w:val="28"/>
          <w:szCs w:val="28"/>
        </w:rPr>
        <w:t>1、本项目实施主要包含：各硬件设备上架、软硬件安装调试、系统集成以及涉及相关虚拟机迁移、变更工作；</w:t>
      </w:r>
    </w:p>
    <w:p w14:paraId="732E008B">
      <w:pPr>
        <w:spacing w:line="360" w:lineRule="auto"/>
        <w:rPr>
          <w:sz w:val="28"/>
          <w:szCs w:val="28"/>
        </w:rPr>
      </w:pPr>
      <w:r>
        <w:rPr>
          <w:rFonts w:hint="eastAsia"/>
          <w:sz w:val="28"/>
          <w:szCs w:val="28"/>
        </w:rPr>
        <w:t>2、本预算价包含设备价格、实施费用（含相关光纤</w:t>
      </w:r>
      <w:r>
        <w:rPr>
          <w:rFonts w:hint="eastAsia"/>
          <w:sz w:val="28"/>
          <w:szCs w:val="28"/>
          <w:lang w:val="en-US" w:eastAsia="zh-CN"/>
        </w:rPr>
        <w:t>跳线</w:t>
      </w:r>
      <w:r>
        <w:rPr>
          <w:rFonts w:hint="eastAsia"/>
          <w:sz w:val="28"/>
          <w:szCs w:val="28"/>
        </w:rPr>
        <w:t>辅材，机柜</w:t>
      </w:r>
      <w:r>
        <w:rPr>
          <w:rFonts w:hint="eastAsia"/>
          <w:sz w:val="28"/>
          <w:szCs w:val="28"/>
          <w:lang w:val="en-US" w:eastAsia="zh-CN"/>
        </w:rPr>
        <w:t>及线路</w:t>
      </w:r>
      <w:r>
        <w:rPr>
          <w:rFonts w:hint="eastAsia"/>
          <w:sz w:val="28"/>
          <w:szCs w:val="28"/>
        </w:rPr>
        <w:t>整理、标签及设备接地服务）、集成费用及约定保修期内的维修及服务费用等，本预算价为含税开票价格。</w:t>
      </w:r>
    </w:p>
    <w:p w14:paraId="732E008D">
      <w:pPr>
        <w:spacing w:line="360" w:lineRule="auto"/>
        <w:rPr>
          <w:sz w:val="28"/>
          <w:szCs w:val="28"/>
        </w:rPr>
      </w:pPr>
      <w:r>
        <w:rPr>
          <w:rFonts w:hint="eastAsia"/>
          <w:b/>
          <w:bCs/>
          <w:sz w:val="28"/>
          <w:szCs w:val="28"/>
        </w:rPr>
        <w:t>四、调研说明</w:t>
      </w:r>
    </w:p>
    <w:p w14:paraId="78927B62">
      <w:pPr>
        <w:spacing w:line="360" w:lineRule="auto"/>
        <w:rPr>
          <w:rFonts w:hint="eastAsia"/>
          <w:sz w:val="28"/>
          <w:szCs w:val="28"/>
        </w:rPr>
      </w:pPr>
      <w:r>
        <w:rPr>
          <w:rFonts w:hint="eastAsia"/>
          <w:sz w:val="28"/>
          <w:szCs w:val="28"/>
        </w:rPr>
        <w:t>报名参加本次调研的供应商、厂家需提供如下相关资料。</w:t>
      </w:r>
    </w:p>
    <w:p w14:paraId="7B40FF61">
      <w:pPr>
        <w:spacing w:line="360" w:lineRule="auto"/>
        <w:rPr>
          <w:rFonts w:hint="eastAsia"/>
          <w:sz w:val="28"/>
          <w:szCs w:val="28"/>
        </w:rPr>
      </w:pPr>
      <w:r>
        <w:rPr>
          <w:rFonts w:hint="eastAsia"/>
          <w:sz w:val="28"/>
          <w:szCs w:val="28"/>
        </w:rPr>
        <w:t>1、报名时请携带加盖公章的项目文件回执单、营业执照复印件、公司简介（可含提供设备彩页等）、参与人员授权等相关授权、报名联系人近半年医</w:t>
      </w:r>
      <w:bookmarkStart w:id="0" w:name="_GoBack"/>
      <w:bookmarkEnd w:id="0"/>
      <w:r>
        <w:rPr>
          <w:rFonts w:hint="eastAsia"/>
          <w:sz w:val="28"/>
          <w:szCs w:val="28"/>
        </w:rPr>
        <w:t>社保证明（需同一界面同时显示人员和公司名称）。</w:t>
      </w:r>
    </w:p>
    <w:p w14:paraId="1AB45ECC">
      <w:pPr>
        <w:spacing w:line="360" w:lineRule="auto"/>
        <w:rPr>
          <w:rFonts w:hint="eastAsia"/>
          <w:sz w:val="28"/>
          <w:szCs w:val="28"/>
        </w:rPr>
      </w:pPr>
      <w:r>
        <w:rPr>
          <w:rFonts w:hint="eastAsia"/>
          <w:sz w:val="28"/>
          <w:szCs w:val="28"/>
        </w:rPr>
        <w:t>2、</w:t>
      </w:r>
      <w:r>
        <w:rPr>
          <w:rFonts w:hint="eastAsia"/>
          <w:sz w:val="28"/>
          <w:szCs w:val="28"/>
          <w:lang w:val="en-US" w:eastAsia="zh-CN"/>
        </w:rPr>
        <w:t>采购</w:t>
      </w:r>
      <w:r>
        <w:rPr>
          <w:rFonts w:hint="eastAsia"/>
          <w:sz w:val="28"/>
          <w:szCs w:val="28"/>
        </w:rPr>
        <w:t>调研会时提交相关材料纸质胶装1正3副。内容包含但不限于：报名文件所含内容及以下所提及内容。</w:t>
      </w:r>
    </w:p>
    <w:p w14:paraId="11C58C02">
      <w:pPr>
        <w:spacing w:line="360" w:lineRule="auto"/>
        <w:ind w:firstLine="280" w:firstLineChars="100"/>
        <w:rPr>
          <w:rFonts w:hint="eastAsia"/>
          <w:sz w:val="28"/>
          <w:szCs w:val="28"/>
        </w:rPr>
      </w:pPr>
      <w:r>
        <w:rPr>
          <w:rFonts w:hint="eastAsia"/>
          <w:sz w:val="28"/>
          <w:szCs w:val="28"/>
        </w:rPr>
        <w:t>2.1、分别提供“信用中国”网站（www.creditchina.gov.cn）、“中国政府采购网”网站（http://www.ccgp.gov.cn/search/cr/）信用记录查询截图，无不良记录并加盖公章（截图查询日期必须在该公告日期内）。</w:t>
      </w:r>
    </w:p>
    <w:p w14:paraId="424123B4">
      <w:pPr>
        <w:spacing w:line="360" w:lineRule="auto"/>
        <w:ind w:firstLine="280" w:firstLineChars="100"/>
        <w:rPr>
          <w:rFonts w:hint="eastAsia"/>
          <w:sz w:val="28"/>
          <w:szCs w:val="28"/>
        </w:rPr>
      </w:pPr>
      <w:r>
        <w:rPr>
          <w:rFonts w:hint="eastAsia"/>
          <w:sz w:val="28"/>
          <w:szCs w:val="28"/>
        </w:rPr>
        <w:t>2.2、提供业绩清单及近3年省内同类项目中标案例；</w:t>
      </w:r>
    </w:p>
    <w:p w14:paraId="22DA6C60">
      <w:pPr>
        <w:spacing w:line="360" w:lineRule="auto"/>
        <w:rPr>
          <w:rFonts w:hint="eastAsia"/>
          <w:sz w:val="28"/>
          <w:szCs w:val="28"/>
        </w:rPr>
      </w:pPr>
      <w:r>
        <w:rPr>
          <w:rFonts w:hint="eastAsia"/>
          <w:sz w:val="28"/>
          <w:szCs w:val="28"/>
        </w:rPr>
        <w:t>3、本调研会的报价仅做为本项目公开招标的预算限价；不做参与投标的限制条件；</w:t>
      </w:r>
    </w:p>
    <w:p w14:paraId="19E44EB3">
      <w:pPr>
        <w:spacing w:line="360" w:lineRule="auto"/>
        <w:rPr>
          <w:rFonts w:hint="eastAsia"/>
          <w:sz w:val="28"/>
          <w:szCs w:val="28"/>
        </w:rPr>
      </w:pPr>
      <w:r>
        <w:rPr>
          <w:rFonts w:hint="eastAsia"/>
          <w:sz w:val="28"/>
          <w:szCs w:val="28"/>
        </w:rPr>
        <w:t>4、上述各参数将做为本项目招标的主要参数，不代表本项目公开招标的最终参数；</w:t>
      </w:r>
    </w:p>
    <w:p w14:paraId="732E0096">
      <w:pPr>
        <w:spacing w:line="360" w:lineRule="auto"/>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5、参加调研会的公司应准备PPT材料（含方案介绍、服务及集成能力、应用案例、报价等）、技术参数等材料，每公司讲解时间30分钟内（含答疑10分钟）；同时上述材料须交予院方留档（发送邮件到wlb@fjzlhospital.com，并提供U盘留档）。</w:t>
      </w:r>
    </w:p>
    <w:p w14:paraId="6C49C88A">
      <w:pPr>
        <w:widowControl w:val="0"/>
        <w:shd w:val="solid" w:color="FFFFFF" w:fill="auto"/>
        <w:autoSpaceDN w:val="0"/>
        <w:spacing w:after="0" w:line="360" w:lineRule="auto"/>
        <w:jc w:val="center"/>
        <w:rPr>
          <w:rFonts w:hint="eastAsia" w:ascii="仿宋_GB2312" w:hAnsi="仿宋_GB2312" w:eastAsia="仿宋_GB2312" w:cs="仿宋_GB2312"/>
          <w:b/>
          <w:kern w:val="2"/>
          <w:sz w:val="32"/>
          <w:szCs w:val="32"/>
          <w:shd w:val="clear" w:color="auto" w:fill="FFFFFF"/>
        </w:rPr>
      </w:pPr>
      <w:r>
        <w:rPr>
          <w:rFonts w:hint="eastAsia" w:ascii="仿宋_GB2312" w:hAnsi="仿宋_GB2312" w:eastAsia="仿宋_GB2312" w:cs="仿宋_GB2312"/>
          <w:b/>
          <w:color w:val="000000"/>
          <w:kern w:val="2"/>
          <w:sz w:val="32"/>
          <w:szCs w:val="32"/>
          <w:shd w:val="clear" w:color="auto" w:fill="FFFFFF"/>
        </w:rPr>
        <w:t>项目文件回执单</w:t>
      </w:r>
    </w:p>
    <w:p w14:paraId="659F567C">
      <w:pPr>
        <w:widowControl w:val="0"/>
        <w:shd w:val="solid" w:color="FFFFFF" w:fill="auto"/>
        <w:autoSpaceDN w:val="0"/>
        <w:spacing w:after="0" w:line="360" w:lineRule="auto"/>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shd w:val="clear" w:color="auto" w:fill="FFFFFF"/>
        </w:rPr>
        <w:t>请有意向参与的公司在项目公示期内携带回执单至福建省肿瘤医院网络技术中心报名。</w:t>
      </w:r>
    </w:p>
    <w:tbl>
      <w:tblPr>
        <w:tblStyle w:val="16"/>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112767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CC5B2BB">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766880D">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37E2593">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97463D9">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品牌及型号</w:t>
            </w:r>
          </w:p>
        </w:tc>
      </w:tr>
      <w:tr w14:paraId="0A105A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FCBD99A">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A67BA3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860B96F">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1B6BA27">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r w14:paraId="786A36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0694BE2">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290D97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9F4A00D">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ACCE11">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bl>
    <w:p w14:paraId="1DBE4070">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26BAD80A">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68FEB8D1">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公司名称：</w:t>
      </w:r>
    </w:p>
    <w:p w14:paraId="0F052B2E">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 xml:space="preserve">联系人：　 </w:t>
      </w:r>
    </w:p>
    <w:p w14:paraId="545643D9">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联系电话：</w:t>
      </w:r>
    </w:p>
    <w:p w14:paraId="0C75C842">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公司盖章：</w:t>
      </w:r>
    </w:p>
    <w:p w14:paraId="1D903916">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40EAC1CE">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bCs/>
          <w:kern w:val="28"/>
          <w:sz w:val="32"/>
          <w:szCs w:val="32"/>
          <w:shd w:val="clear" w:color="auto" w:fill="FFFFFF"/>
          <w:lang w:val="en-US" w:eastAsia="zh-CN" w:bidi="ar-SA"/>
        </w:rPr>
      </w:pPr>
    </w:p>
    <w:p w14:paraId="0919DA40">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福建省肿瘤医院</w:t>
      </w:r>
    </w:p>
    <w:p w14:paraId="529A0EE8">
      <w:pPr>
        <w:widowControl w:val="0"/>
        <w:overflowPunct w:val="0"/>
        <w:autoSpaceDE w:val="0"/>
        <w:autoSpaceDN w:val="0"/>
        <w:adjustRightInd w:val="0"/>
        <w:spacing w:after="0" w:line="360" w:lineRule="auto"/>
        <w:jc w:val="both"/>
        <w:textAlignment w:val="baseline"/>
        <w:rPr>
          <w:rFonts w:hint="eastAsia"/>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8"/>
          <w:sz w:val="32"/>
          <w:szCs w:val="32"/>
          <w:lang w:val="en-US" w:eastAsia="zh-CN" w:bidi="ar-SA"/>
        </w:rPr>
        <w:t xml:space="preserve">                                        年  月  日</w:t>
      </w:r>
    </w:p>
    <w:p w14:paraId="48A02E85">
      <w:pPr>
        <w:spacing w:line="360" w:lineRule="auto"/>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B28E3"/>
    <w:multiLevelType w:val="singleLevel"/>
    <w:tmpl w:val="D1DB28E3"/>
    <w:lvl w:ilvl="0" w:tentative="0">
      <w:start w:val="1"/>
      <w:numFmt w:val="chineseCounting"/>
      <w:suff w:val="nothing"/>
      <w:lvlText w:val="%1、"/>
      <w:lvlJc w:val="left"/>
      <w:rPr>
        <w:rFonts w:hint="eastAsia"/>
      </w:rPr>
    </w:lvl>
  </w:abstractNum>
  <w:abstractNum w:abstractNumId="1">
    <w:nsid w:val="3DE31A7C"/>
    <w:multiLevelType w:val="singleLevel"/>
    <w:tmpl w:val="3DE31A7C"/>
    <w:lvl w:ilvl="0" w:tentative="0">
      <w:start w:val="1"/>
      <w:numFmt w:val="decimal"/>
      <w:suff w:val="nothing"/>
      <w:lvlText w:val="%1、"/>
      <w:lvlJc w:val="left"/>
    </w:lvl>
  </w:abstractNum>
  <w:abstractNum w:abstractNumId="2">
    <w:nsid w:val="61337B12"/>
    <w:multiLevelType w:val="singleLevel"/>
    <w:tmpl w:val="61337B1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8F"/>
    <w:rsid w:val="0001520C"/>
    <w:rsid w:val="000157E9"/>
    <w:rsid w:val="000261DE"/>
    <w:rsid w:val="00083860"/>
    <w:rsid w:val="000938D8"/>
    <w:rsid w:val="0015036D"/>
    <w:rsid w:val="00197F32"/>
    <w:rsid w:val="001C688B"/>
    <w:rsid w:val="00243177"/>
    <w:rsid w:val="002C6790"/>
    <w:rsid w:val="0033197C"/>
    <w:rsid w:val="00336716"/>
    <w:rsid w:val="003845EC"/>
    <w:rsid w:val="003A4CFC"/>
    <w:rsid w:val="003D42F8"/>
    <w:rsid w:val="004D4B50"/>
    <w:rsid w:val="005024FF"/>
    <w:rsid w:val="00573C32"/>
    <w:rsid w:val="005836B0"/>
    <w:rsid w:val="005A4BFE"/>
    <w:rsid w:val="005D2A90"/>
    <w:rsid w:val="00626290"/>
    <w:rsid w:val="00661FB1"/>
    <w:rsid w:val="0066308F"/>
    <w:rsid w:val="006F0715"/>
    <w:rsid w:val="007113EF"/>
    <w:rsid w:val="007848DA"/>
    <w:rsid w:val="007E3FB5"/>
    <w:rsid w:val="008925E5"/>
    <w:rsid w:val="00910A05"/>
    <w:rsid w:val="00937657"/>
    <w:rsid w:val="00945C22"/>
    <w:rsid w:val="009C1A48"/>
    <w:rsid w:val="00A218D9"/>
    <w:rsid w:val="00A650EC"/>
    <w:rsid w:val="00A658C4"/>
    <w:rsid w:val="00A86432"/>
    <w:rsid w:val="00AA47F7"/>
    <w:rsid w:val="00B30434"/>
    <w:rsid w:val="00B47D35"/>
    <w:rsid w:val="00BF2BBB"/>
    <w:rsid w:val="00CA2C49"/>
    <w:rsid w:val="00CB3C03"/>
    <w:rsid w:val="00CE5BD1"/>
    <w:rsid w:val="00CE63F2"/>
    <w:rsid w:val="00D97C84"/>
    <w:rsid w:val="00DB3297"/>
    <w:rsid w:val="00DC7002"/>
    <w:rsid w:val="00DE1F02"/>
    <w:rsid w:val="00F527F1"/>
    <w:rsid w:val="00F60AB8"/>
    <w:rsid w:val="00FF1EB3"/>
    <w:rsid w:val="00FF7615"/>
    <w:rsid w:val="01E960A6"/>
    <w:rsid w:val="023A2E4D"/>
    <w:rsid w:val="02E46EDB"/>
    <w:rsid w:val="048D195A"/>
    <w:rsid w:val="0A917CCA"/>
    <w:rsid w:val="0B112BB9"/>
    <w:rsid w:val="11513D10"/>
    <w:rsid w:val="132C2BB7"/>
    <w:rsid w:val="143D057B"/>
    <w:rsid w:val="146A52E1"/>
    <w:rsid w:val="15CE31CD"/>
    <w:rsid w:val="169F267D"/>
    <w:rsid w:val="16FB6380"/>
    <w:rsid w:val="18C96881"/>
    <w:rsid w:val="1E112B5D"/>
    <w:rsid w:val="1F04572B"/>
    <w:rsid w:val="1F776993"/>
    <w:rsid w:val="20222AC1"/>
    <w:rsid w:val="217C0935"/>
    <w:rsid w:val="242D4BD3"/>
    <w:rsid w:val="24A3214B"/>
    <w:rsid w:val="24E14A0E"/>
    <w:rsid w:val="27EA55BE"/>
    <w:rsid w:val="28F951A2"/>
    <w:rsid w:val="28FE2577"/>
    <w:rsid w:val="29A7676B"/>
    <w:rsid w:val="29C16695"/>
    <w:rsid w:val="2A9A62D0"/>
    <w:rsid w:val="2CA214A8"/>
    <w:rsid w:val="306F0914"/>
    <w:rsid w:val="35542AA5"/>
    <w:rsid w:val="36A75FFC"/>
    <w:rsid w:val="47F87A42"/>
    <w:rsid w:val="483343F3"/>
    <w:rsid w:val="49791BAF"/>
    <w:rsid w:val="4B271062"/>
    <w:rsid w:val="50852AB2"/>
    <w:rsid w:val="50BF54EF"/>
    <w:rsid w:val="533F3D6F"/>
    <w:rsid w:val="55AA4D69"/>
    <w:rsid w:val="55F21D17"/>
    <w:rsid w:val="57B114D5"/>
    <w:rsid w:val="5A0B17F5"/>
    <w:rsid w:val="5B5E287E"/>
    <w:rsid w:val="5BEF0C8B"/>
    <w:rsid w:val="5C513794"/>
    <w:rsid w:val="5CCC3817"/>
    <w:rsid w:val="5D7A14C5"/>
    <w:rsid w:val="609A4358"/>
    <w:rsid w:val="657038D9"/>
    <w:rsid w:val="660117AA"/>
    <w:rsid w:val="6D731AC2"/>
    <w:rsid w:val="6E6E29DA"/>
    <w:rsid w:val="70290C0C"/>
    <w:rsid w:val="72706649"/>
    <w:rsid w:val="7557320A"/>
    <w:rsid w:val="780C1937"/>
    <w:rsid w:val="7855070D"/>
    <w:rsid w:val="7883136E"/>
    <w:rsid w:val="7AEF5911"/>
    <w:rsid w:val="7D0F2399"/>
    <w:rsid w:val="7E6F077A"/>
    <w:rsid w:val="7FBD1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widowControl w:val="0"/>
      <w:spacing w:before="480" w:after="80"/>
      <w:jc w:val="both"/>
      <w:outlineLvl w:val="0"/>
    </w:pPr>
    <w:rPr>
      <w:rFonts w:asciiTheme="majorHAnsi" w:hAnsiTheme="majorHAnsi" w:eastAsiaTheme="majorEastAsia" w:cstheme="majorBidi"/>
      <w:color w:val="2F5597" w:themeColor="accent1" w:themeShade="BF"/>
      <w:kern w:val="2"/>
      <w:sz w:val="48"/>
      <w:szCs w:val="48"/>
    </w:rPr>
  </w:style>
  <w:style w:type="paragraph" w:styleId="3">
    <w:name w:val="heading 2"/>
    <w:basedOn w:val="1"/>
    <w:next w:val="1"/>
    <w:link w:val="20"/>
    <w:semiHidden/>
    <w:unhideWhenUsed/>
    <w:qFormat/>
    <w:uiPriority w:val="9"/>
    <w:pPr>
      <w:keepNext/>
      <w:keepLines/>
      <w:widowControl w:val="0"/>
      <w:spacing w:before="160" w:after="80"/>
      <w:jc w:val="both"/>
      <w:outlineLvl w:val="1"/>
    </w:pPr>
    <w:rPr>
      <w:rFonts w:asciiTheme="majorHAnsi" w:hAnsiTheme="majorHAnsi" w:eastAsiaTheme="majorEastAsia" w:cstheme="majorBidi"/>
      <w:color w:val="2F5597" w:themeColor="accent1" w:themeShade="BF"/>
      <w:kern w:val="2"/>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2">
    <w:name w:val="header"/>
    <w:basedOn w:val="1"/>
    <w:link w:val="37"/>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3">
    <w:name w:val="Subtitle"/>
    <w:basedOn w:val="1"/>
    <w:next w:val="1"/>
    <w:link w:val="29"/>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4">
    <w:name w:val="Normal (Web)"/>
    <w:basedOn w:val="1"/>
    <w:qFormat/>
    <w:uiPriority w:val="0"/>
    <w:pPr>
      <w:widowControl w:val="0"/>
      <w:spacing w:after="160" w:line="336" w:lineRule="auto"/>
    </w:pPr>
    <w:rPr>
      <w:rFonts w:cs="黑体"/>
    </w:rPr>
  </w:style>
  <w:style w:type="paragraph" w:styleId="15">
    <w:name w:val="Title"/>
    <w:basedOn w:val="1"/>
    <w:next w:val="1"/>
    <w:link w:val="28"/>
    <w:qFormat/>
    <w:uiPriority w:val="10"/>
    <w:pPr>
      <w:widowControl w:val="0"/>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Heading 1 Char"/>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Heading 2 Char"/>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3 Char"/>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4 Char"/>
    <w:basedOn w:val="18"/>
    <w:link w:val="5"/>
    <w:semiHidden/>
    <w:qFormat/>
    <w:uiPriority w:val="9"/>
    <w:rPr>
      <w:rFonts w:cstheme="majorBidi"/>
      <w:color w:val="2F5597" w:themeColor="accent1" w:themeShade="BF"/>
      <w:sz w:val="28"/>
      <w:szCs w:val="28"/>
    </w:rPr>
  </w:style>
  <w:style w:type="character" w:customStyle="1" w:styleId="23">
    <w:name w:val="Heading 5 Char"/>
    <w:basedOn w:val="18"/>
    <w:link w:val="6"/>
    <w:semiHidden/>
    <w:qFormat/>
    <w:uiPriority w:val="9"/>
    <w:rPr>
      <w:rFonts w:cstheme="majorBidi"/>
      <w:color w:val="2F5597" w:themeColor="accent1" w:themeShade="BF"/>
      <w:sz w:val="24"/>
      <w:szCs w:val="24"/>
    </w:rPr>
  </w:style>
  <w:style w:type="character" w:customStyle="1" w:styleId="24">
    <w:name w:val="Heading 6 Char"/>
    <w:basedOn w:val="18"/>
    <w:link w:val="7"/>
    <w:semiHidden/>
    <w:qFormat/>
    <w:uiPriority w:val="9"/>
    <w:rPr>
      <w:rFonts w:cstheme="majorBidi"/>
      <w:b/>
      <w:bCs/>
      <w:color w:val="2F5597" w:themeColor="accent1" w:themeShade="BF"/>
    </w:rPr>
  </w:style>
  <w:style w:type="character" w:customStyle="1" w:styleId="25">
    <w:name w:val="Heading 7 Char"/>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Heading 8 Char"/>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Heading 9 Char"/>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Title Char"/>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31">
    <w:name w:val="Quote Char"/>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widowControl w:val="0"/>
      <w:ind w:left="720"/>
      <w:contextualSpacing/>
      <w:jc w:val="both"/>
    </w:pPr>
    <w:rPr>
      <w:rFonts w:asciiTheme="minorHAnsi" w:hAnsiTheme="minorHAnsi" w:eastAsiaTheme="minorEastAsia" w:cstheme="minorBidi"/>
      <w:kern w:val="2"/>
      <w:sz w:val="21"/>
      <w:szCs w:val="22"/>
    </w:rPr>
  </w:style>
  <w:style w:type="character" w:customStyle="1" w:styleId="33">
    <w:name w:val="Intense Emphasis1"/>
    <w:basedOn w:val="18"/>
    <w:qFormat/>
    <w:uiPriority w:val="21"/>
    <w:rPr>
      <w:i/>
      <w:iCs/>
      <w:color w:val="2F5597" w:themeColor="accent1" w:themeShade="BF"/>
    </w:rPr>
  </w:style>
  <w:style w:type="paragraph" w:styleId="34">
    <w:name w:val="Intense Quote"/>
    <w:basedOn w:val="1"/>
    <w:next w:val="1"/>
    <w:link w:val="35"/>
    <w:qFormat/>
    <w:uiPriority w:val="30"/>
    <w:pPr>
      <w:widowControl w:val="0"/>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 w:val="21"/>
      <w:szCs w:val="22"/>
    </w:rPr>
  </w:style>
  <w:style w:type="character" w:customStyle="1" w:styleId="35">
    <w:name w:val="Intense Quote Char"/>
    <w:basedOn w:val="18"/>
    <w:link w:val="34"/>
    <w:qFormat/>
    <w:uiPriority w:val="30"/>
    <w:rPr>
      <w:i/>
      <w:iCs/>
      <w:color w:val="2F5597" w:themeColor="accent1" w:themeShade="BF"/>
    </w:rPr>
  </w:style>
  <w:style w:type="character" w:customStyle="1" w:styleId="36">
    <w:name w:val="Intense Reference1"/>
    <w:basedOn w:val="18"/>
    <w:qFormat/>
    <w:uiPriority w:val="32"/>
    <w:rPr>
      <w:b/>
      <w:bCs/>
      <w:smallCaps/>
      <w:color w:val="2F5597" w:themeColor="accent1" w:themeShade="BF"/>
      <w:spacing w:val="5"/>
    </w:rPr>
  </w:style>
  <w:style w:type="character" w:customStyle="1" w:styleId="37">
    <w:name w:val="Header Char"/>
    <w:basedOn w:val="18"/>
    <w:link w:val="12"/>
    <w:qFormat/>
    <w:uiPriority w:val="99"/>
    <w:rPr>
      <w:sz w:val="18"/>
      <w:szCs w:val="18"/>
    </w:rPr>
  </w:style>
  <w:style w:type="character" w:customStyle="1" w:styleId="38">
    <w:name w:val="Footer Char"/>
    <w:basedOn w:val="18"/>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Dell Technologies</Company>
  <Pages>5</Pages>
  <Words>997</Words>
  <Characters>1151</Characters>
  <Lines>8</Lines>
  <Paragraphs>2</Paragraphs>
  <TotalTime>14</TotalTime>
  <ScaleCrop>false</ScaleCrop>
  <LinksUpToDate>false</LinksUpToDate>
  <CharactersWithSpaces>1194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2026-07-07T02:39:00Z</dcterms:created>
  <dc:creator>晨 江</dc:creator>
  <cp:lastModifiedBy>郑薇</cp:lastModifiedBy>
  <cp:lastPrinted>2026-07-07T07:37:35Z</cp:lastPrinted>
  <dcterms:modified xsi:type="dcterms:W3CDTF">2026-07-07T08:40:53Z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D2CDF39AEDE94CE683AA193E73E0F2DE_13</vt:lpwstr>
  </property>
  <property fmtid="{D5CDD505-2E9C-101B-9397-08002B2CF9AE}" pid="5" name="MSIP_Label_dad3be33-4108-4738-9e07-d8656a181486_Enabled">
    <vt:lpwstr>true</vt:lpwstr>
  </property>
  <property fmtid="{D5CDD505-2E9C-101B-9397-08002B2CF9AE}" pid="6" name="MSIP_Label_dad3be33-4108-4738-9e07-d8656a181486_SetDate">
    <vt:lpwstr>2026-07-07T02:39:30Z</vt:lpwstr>
  </property>
  <property fmtid="{D5CDD505-2E9C-101B-9397-08002B2CF9AE}" pid="7" name="MSIP_Label_dad3be33-4108-4738-9e07-d8656a181486_Method">
    <vt:lpwstr>Privileged</vt:lpwstr>
  </property>
  <property fmtid="{D5CDD505-2E9C-101B-9397-08002B2CF9AE}" pid="8" name="MSIP_Label_dad3be33-4108-4738-9e07-d8656a181486_Name">
    <vt:lpwstr>Public No Visual Label</vt:lpwstr>
  </property>
  <property fmtid="{D5CDD505-2E9C-101B-9397-08002B2CF9AE}" pid="9" name="MSIP_Label_dad3be33-4108-4738-9e07-d8656a181486_SiteId">
    <vt:lpwstr>945c199a-83a2-4e80-9f8c-5a91be5752dd</vt:lpwstr>
  </property>
  <property fmtid="{D5CDD505-2E9C-101B-9397-08002B2CF9AE}" pid="10" name="MSIP_Label_dad3be33-4108-4738-9e07-d8656a181486_ActionId">
    <vt:lpwstr>9d21044a-046a-414e-adbe-577ccdc47e27</vt:lpwstr>
  </property>
  <property fmtid="{D5CDD505-2E9C-101B-9397-08002B2CF9AE}" pid="11" name="MSIP_Label_dad3be33-4108-4738-9e07-d8656a181486_ContentBits">
    <vt:lpwstr>0</vt:lpwstr>
  </property>
  <property fmtid="{D5CDD505-2E9C-101B-9397-08002B2CF9AE}" pid="12" name="MSIP_Label_dad3be33-4108-4738-9e07-d8656a181486_Tag">
    <vt:lpwstr>10, 0, 1, 1</vt:lpwstr>
  </property>
</Properties>
</file>